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4859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3143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ind w:left="0" w:right="0" w:firstLine="450"/>
        <w:jc w:val="left"/>
        <w:rPr/>
      </w:pPr>
      <w:r>
        <w:rPr>
          <w:rFonts w:ascii="Times New Roman;sans-serif" w:hAnsi="Times New Roman;sans-serif"/>
          <w:b w:val="false"/>
          <w:color w:val="000000"/>
          <w:sz w:val="20"/>
        </w:rPr>
        <w:t>For the quarterly period ended March 31, 2025</w:t>
      </w: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________to________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001-35944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88" w:type="dxa"/>
        <w:jc w:val="center"/>
        <w:tblInd w:w="0" w:type="dxa"/>
        <w:tblLayout w:type="fixed"/>
        <w:tblCellMar>
          <w:top w:w="28" w:type="dxa"/>
          <w:left w:w="28" w:type="dxa"/>
          <w:bottom w:w="28" w:type="dxa"/>
          <w:right w:w="28" w:type="dxa"/>
        </w:tblCellMar>
      </w:tblPr>
      <w:tblGrid>
        <w:gridCol w:w="1607"/>
        <w:gridCol w:w="1418"/>
        <w:gridCol w:w="1430"/>
        <w:gridCol w:w="519"/>
        <w:gridCol w:w="519"/>
        <w:gridCol w:w="521"/>
        <w:gridCol w:w="1070"/>
        <w:gridCol w:w="1070"/>
        <w:gridCol w:w="1534"/>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33-0963637</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201 Mittel Drive, Wood Dale, IL</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60191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(630) 350-9400</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PSIX</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Stock Market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60"/>
        <w:ind w:left="0" w:right="0" w:firstLine="45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10"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As of April 30, 2025, there were 23,008,218 </w:t>
      </w:r>
      <w:r>
        <w:rPr>
          <w:rFonts w:ascii="Times New Roman;sans-serif" w:hAnsi="Times New Roman;sans-serif"/>
          <w:b w:val="false"/>
          <w:color w:val="000000"/>
          <w:sz w:val="20"/>
        </w:rPr>
        <w:t>outstanding shares of the Common Stock of the registrant.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32"/>
        <w:gridCol w:w="293"/>
        <w:gridCol w:w="293"/>
        <w:gridCol w:w="2646"/>
        <w:gridCol w:w="2646"/>
        <w:gridCol w:w="2651"/>
        <w:gridCol w:w="390"/>
        <w:gridCol w:w="390"/>
        <w:gridCol w:w="564"/>
      </w:tblGrid>
      <w:tr>
        <w:trPr/>
        <w:tc>
          <w:tcPr>
            <w:tcW w:w="3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PART I – FINANCIAL INFORMATION</w:t>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Forward-Looking Statements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10">
              <w:r>
                <w:rPr>
                  <w:rStyle w:val="InternetLink"/>
                  <w:rFonts w:ascii="Times New Roman;sans-serif" w:hAnsi="Times New Roman;sans-serif"/>
                  <w:b w:val="false"/>
                  <w:color w:val="0000FF"/>
                  <w:sz w:val="18"/>
                  <w:u w:val="single"/>
                </w:rPr>
                <w:t>3</w:t>
              </w:r>
            </w:hyperlink>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Statements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16">
              <w:r>
                <w:rPr>
                  <w:rStyle w:val="InternetLink"/>
                  <w:rFonts w:ascii="Times New Roman;sans-serif" w:hAnsi="Times New Roman;sans-serif"/>
                  <w:b w:val="false"/>
                  <w:color w:val="0000FF"/>
                  <w:sz w:val="18"/>
                  <w:u w:val="single"/>
                </w:rPr>
                <w:t>4</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Balance Sheets as of March 31, 2025 (Unaudited) and December 31, 2024</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19">
              <w:r>
                <w:rPr>
                  <w:rStyle w:val="InternetLink"/>
                  <w:rFonts w:ascii="Times New Roman;sans-serif" w:hAnsi="Times New Roman;sans-serif"/>
                  <w:b w:val="false"/>
                  <w:color w:val="0000FF"/>
                  <w:sz w:val="18"/>
                  <w:u w:val="single"/>
                </w:rPr>
                <w:t>4</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Income for the three months ended March 31, 2025 and 2024 (Unaudited)</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22">
              <w:r>
                <w:rPr>
                  <w:rStyle w:val="InternetLink"/>
                  <w:rFonts w:ascii="Times New Roman;sans-serif" w:hAnsi="Times New Roman;sans-serif"/>
                  <w:b w:val="false"/>
                  <w:color w:val="0000FF"/>
                  <w:sz w:val="18"/>
                  <w:u w:val="single"/>
                </w:rPr>
                <w:t>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Stockholders’ Equity for the three months ended March 31, 2025 and 2024 (Unaudited)</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28">
              <w:r>
                <w:rPr>
                  <w:rStyle w:val="InternetLink"/>
                  <w:rFonts w:ascii="Times New Roman;sans-serif" w:hAnsi="Times New Roman;sans-serif"/>
                  <w:b w:val="false"/>
                  <w:color w:val="0000FF"/>
                  <w:sz w:val="18"/>
                  <w:u w:val="single"/>
                </w:rPr>
                <w:t>6</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Cash Flows for the three months ended March 31, 2025 and 2024 (Unaudited)</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34">
              <w:r>
                <w:rPr>
                  <w:rStyle w:val="InternetLink"/>
                  <w:rFonts w:ascii="Times New Roman;sans-serif" w:hAnsi="Times New Roman;sans-serif"/>
                  <w:b w:val="false"/>
                  <w:color w:val="0000FF"/>
                  <w:sz w:val="18"/>
                  <w:u w:val="single"/>
                </w:rPr>
                <w:t>7</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 (Unaudited)</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37">
              <w:r>
                <w:rPr>
                  <w:rStyle w:val="InternetLink"/>
                  <w:rFonts w:ascii="Times New Roman;sans-serif" w:hAnsi="Times New Roman;sans-serif"/>
                  <w:b w:val="false"/>
                  <w:color w:val="0000FF"/>
                  <w:sz w:val="18"/>
                  <w:u w:val="single"/>
                </w:rPr>
                <w:t>8</w:t>
              </w:r>
            </w:hyperlink>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Management’s Discussion and Analysis of Financial Condition and Results of Operations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115">
              <w:r>
                <w:rPr>
                  <w:rStyle w:val="InternetLink"/>
                  <w:rFonts w:ascii="Times New Roman;sans-serif" w:hAnsi="Times New Roman;sans-serif"/>
                  <w:b w:val="false"/>
                  <w:color w:val="0000FF"/>
                  <w:sz w:val="18"/>
                  <w:u w:val="single"/>
                </w:rPr>
                <w:t>27</w:t>
              </w:r>
            </w:hyperlink>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Quantitative and Qualitative Disclosures About Market Risk</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190">
              <w:r>
                <w:rPr>
                  <w:rStyle w:val="InternetLink"/>
                  <w:rFonts w:ascii="Times New Roman;sans-serif" w:hAnsi="Times New Roman;sans-serif"/>
                  <w:b w:val="false"/>
                  <w:color w:val="0000FF"/>
                  <w:sz w:val="18"/>
                  <w:u w:val="single"/>
                </w:rPr>
                <w:t>34</w:t>
              </w:r>
            </w:hyperlink>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Controls and Procedures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193">
              <w:r>
                <w:rPr>
                  <w:rStyle w:val="InternetLink"/>
                  <w:rFonts w:ascii="Times New Roman;sans-serif" w:hAnsi="Times New Roman;sans-serif"/>
                  <w:b w:val="false"/>
                  <w:color w:val="0000FF"/>
                  <w:sz w:val="18"/>
                  <w:u w:val="single"/>
                </w:rPr>
                <w:t>34</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PART II – OTHER INFORMATION</w:t>
            </w:r>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Proceedings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199">
              <w:r>
                <w:rPr>
                  <w:rStyle w:val="InternetLink"/>
                  <w:rFonts w:ascii="Times New Roman;sans-serif" w:hAnsi="Times New Roman;sans-serif"/>
                  <w:b w:val="false"/>
                  <w:color w:val="0000FF"/>
                  <w:sz w:val="18"/>
                  <w:u w:val="single"/>
                </w:rPr>
                <w:t>35</w:t>
              </w:r>
            </w:hyperlink>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Factors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202">
              <w:r>
                <w:rPr>
                  <w:rStyle w:val="InternetLink"/>
                  <w:rFonts w:ascii="Times New Roman;sans-serif" w:hAnsi="Times New Roman;sans-serif"/>
                  <w:b w:val="false"/>
                  <w:color w:val="0000FF"/>
                  <w:sz w:val="18"/>
                  <w:u w:val="single"/>
                </w:rPr>
                <w:t>35</w:t>
              </w:r>
            </w:hyperlink>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Unregistered Sales of Equity Securities and Use of Proceeds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205">
              <w:r>
                <w:rPr>
                  <w:rStyle w:val="InternetLink"/>
                  <w:rFonts w:ascii="Times New Roman;sans-serif" w:hAnsi="Times New Roman;sans-serif"/>
                  <w:b w:val="false"/>
                  <w:color w:val="0000FF"/>
                  <w:sz w:val="18"/>
                  <w:u w:val="single"/>
                </w:rPr>
                <w:t>35</w:t>
              </w:r>
            </w:hyperlink>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Defaults Upon Senior Securities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208">
              <w:r>
                <w:rPr>
                  <w:rStyle w:val="InternetLink"/>
                  <w:rFonts w:ascii="Times New Roman;sans-serif" w:hAnsi="Times New Roman;sans-serif"/>
                  <w:b w:val="false"/>
                  <w:color w:val="0000FF"/>
                  <w:sz w:val="18"/>
                  <w:u w:val="single"/>
                </w:rPr>
                <w:t>35</w:t>
              </w:r>
            </w:hyperlink>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 Safety Disclosures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211">
              <w:r>
                <w:rPr>
                  <w:rStyle w:val="InternetLink"/>
                  <w:rFonts w:ascii="Times New Roman;sans-serif" w:hAnsi="Times New Roman;sans-serif"/>
                  <w:b w:val="false"/>
                  <w:color w:val="0000FF"/>
                  <w:sz w:val="18"/>
                  <w:u w:val="single"/>
                </w:rPr>
                <w:t>35</w:t>
              </w:r>
            </w:hyperlink>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Information</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214">
              <w:r>
                <w:rPr>
                  <w:rStyle w:val="InternetLink"/>
                  <w:rFonts w:ascii="Times New Roman;sans-serif" w:hAnsi="Times New Roman;sans-serif"/>
                  <w:b w:val="false"/>
                  <w:color w:val="0000FF"/>
                  <w:sz w:val="18"/>
                  <w:u w:val="single"/>
                </w:rPr>
                <w:t>35</w:t>
              </w:r>
            </w:hyperlink>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217">
              <w:r>
                <w:rPr>
                  <w:rStyle w:val="InternetLink"/>
                  <w:rFonts w:ascii="Times New Roman;sans-serif" w:hAnsi="Times New Roman;sans-serif"/>
                  <w:b w:val="false"/>
                  <w:color w:val="0000FF"/>
                  <w:sz w:val="18"/>
                  <w:u w:val="single"/>
                </w:rPr>
                <w:t>36</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72a96f812546388f867de201874a5b_220">
              <w:r>
                <w:rPr>
                  <w:rStyle w:val="InternetLink"/>
                  <w:rFonts w:ascii="Times New Roman;sans-serif" w:hAnsi="Times New Roman;sans-serif"/>
                  <w:b w:val="false"/>
                  <w:color w:val="0000FF"/>
                  <w:sz w:val="18"/>
                  <w:u w:val="single"/>
                </w:rPr>
                <w:t>36</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statements contained in this Quarterly Report on Form 10-Q for the three months ended March 31, 2025, (the “Quarterly Report”)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Power Solutions International, Inc.’s, a Delaware corporation (“Power Solutions,” “PSI” or the “Company”), projected sales, potential profitability and liquidity, strategic initiatives, future business strategies, warranty mitigation efforts and market opportunities, improvements in its business, improvement of product margins, and product market conditions and trends.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 cautions that the risks, uncertainties and other factors that could cause its actual results to differ materially from those expressed in, or implied by, the forward-looking statements include, without limitation, the factors discussed in the Company’s Annual Report on Form 10-K for the year ended December 31, 2024, and from time to time in the Company’s subsequent filings with the United States Securities and Exchange Commission (the “SEC”); the impact of the macro-economic environment in both the U.S. and internationally on our business and expectations regarding growth of the industry; uncertainties arising from global events (including the Russia-Ukraine and Israel-Hamas conflicts), natural disasters or pandemics, and their impact on material prices; the effects of strategic investments on our operations, including our efforts to expand our global market share and actions taken to increase sales growth; the ability to develop and successfully launch new products; labor costs and other employment-related costs; loss of suppliers and disruptions in the supply of raw materials; the Company’s ability to continue as a going concern; the Company’s ability to raise additional capital when needed and its liquidity; uncertainties around the Company’s ability to meet funding conditions under its financing arrangements and access to capital thereunder; the potential acceleration of the maturity at any time of the loans under the Company’s uncommitted revolving credit agreement through the exercise by any lender of its demand right in its Revolving Credit Agreement;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and exports; the impact of supply chain interruptions and raw material shortages, including compliance disruptions such as the Uyghur Forced Labor Prevention Act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and the impact of unanticipated changes in our effective tax rate, the adoption of new tax legislation or exposure to additional income tax liabilities.</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 is subject to the reporting and information requirements of the Exchange Act, and as a result, it is obligated to file annual, quarterly and current reports, proxy and information statements and other information with the SEC. The Company makes these filings available free of charge on its website (http://www.psiengines.com) as soon as reasonably practicable after it electronically files them with, or furnishes them to, the SEC. Information on the Company’s website does not constitute part of this Quarterly Report. In addition, the SEC maintains a website (http://www.sec.gov) that contains the annual, quarterly and current reports, proxy and information statements, and other information the Company electronically files with, or furnishes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703"/>
        <w:gridCol w:w="1907"/>
        <w:gridCol w:w="1914"/>
        <w:gridCol w:w="109"/>
        <w:gridCol w:w="109"/>
        <w:gridCol w:w="109"/>
        <w:gridCol w:w="303"/>
        <w:gridCol w:w="1139"/>
        <w:gridCol w:w="168"/>
        <w:gridCol w:w="109"/>
        <w:gridCol w:w="109"/>
        <w:gridCol w:w="109"/>
        <w:gridCol w:w="255"/>
        <w:gridCol w:w="958"/>
        <w:gridCol w:w="204"/>
      </w:tblGrid>
      <w:tr>
        <w:trPr/>
        <w:tc>
          <w:tcPr>
            <w:tcW w:w="2703"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par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$1,852 and $1,889 as of March 31, 2025 and December 31, 2024, respectively; (from related parties $902 and $1,383 as of March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68,958 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93,872 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254,335 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23,275 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372,728 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328,182 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shd w:fill="CCEEFF" w:val="clear"/>
              </w:rPr>
            </w:pPr>
            <w:r>
              <w:rPr>
                <w:rFonts w:ascii="Times New Roman;sans-serif" w:hAnsi="Times New Roman;sans-serif"/>
                <w:b w:val="false"/>
                <w:color w:val="000000"/>
                <w:sz w:val="18"/>
                <w:shd w:fill="CCEEFF" w:val="clear"/>
              </w:rPr>
              <w:t>Accounts payable (to related parties $14,534 and $14,427 as of March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58,208 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short-term financing (from related parties $15,000 and $25,000 as of March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accrue</w:t>
            </w:r>
            <w:r>
              <w:rPr>
                <w:rFonts w:ascii="Times New Roman;sans-serif" w:hAnsi="Times New Roman;sans-serif"/>
                <w:b w:val="false"/>
                <w:color w:val="000000"/>
                <w:sz w:val="18"/>
                <w:shd w:fill="CCEEFF" w:val="clear"/>
              </w:rPr>
              <w:t xml:space="preserve">d liabilities (to related parties $508 and </w:t>
            </w:r>
            <w:r>
              <w:rPr>
                <w:rFonts w:ascii="Times New Roman;sans-serif" w:hAnsi="Times New Roman;sans-serif"/>
                <w:b w:val="false"/>
                <w:color w:val="000000"/>
                <w:sz w:val="18"/>
              </w:rPr>
              <w:t>$807 as of March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239,510 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227,567 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262,932 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$0.001 par value; 50,000 shares authorized; 23,117 shares issued; 23,008 and 23,000 shares outstanding at March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157,561 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(72,429)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(91,511)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shd w:fill="CCEEFF" w:val="clear"/>
              </w:rPr>
              <w:t>Treasury stock, at cost, 109 and 117 shares a</w:t>
            </w:r>
            <w:r>
              <w:rPr>
                <w:rFonts w:ascii="Times New Roman;sans-serif" w:hAnsi="Times New Roman;sans-serif"/>
                <w:b w:val="false"/>
                <w:color w:val="000000"/>
                <w:sz w:val="18"/>
              </w:rPr>
              <w:t>t March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84,343 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65,250 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372,728 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328,182 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84"/>
        <w:gridCol w:w="2136"/>
        <w:gridCol w:w="2146"/>
        <w:gridCol w:w="109"/>
        <w:gridCol w:w="109"/>
        <w:gridCol w:w="109"/>
        <w:gridCol w:w="249"/>
        <w:gridCol w:w="938"/>
        <w:gridCol w:w="138"/>
        <w:gridCol w:w="138"/>
        <w:gridCol w:w="138"/>
        <w:gridCol w:w="138"/>
        <w:gridCol w:w="249"/>
        <w:gridCol w:w="823"/>
        <w:gridCol w:w="201"/>
      </w:tblGrid>
      <w:tr>
        <w:trPr/>
        <w:tc>
          <w:tcPr>
            <w:tcW w:w="258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sales</w:t>
            </w:r>
          </w:p>
          <w:p>
            <w:pPr>
              <w:pStyle w:val="TableContents"/>
              <w:bidi w:val="0"/>
              <w:spacing w:lineRule="auto" w:line="240" w:before="0" w:after="0"/>
              <w:jc w:val="left"/>
              <w:rPr/>
            </w:pPr>
            <w:r>
              <w:rPr>
                <w:rFonts w:ascii="Times New Roman;sans-serif" w:hAnsi="Times New Roman;sans-serif"/>
                <w:b w:val="false"/>
                <w:color w:val="000000"/>
                <w:sz w:val="18"/>
              </w:rPr>
              <w:t xml:space="preserve">(from related parties </w:t>
            </w:r>
            <w:r>
              <w:rPr>
                <w:rFonts w:ascii="Times New Roman;sans-serif" w:hAnsi="Times New Roman;sans-serif"/>
                <w:b w:val="false"/>
                <w:color w:val="000000"/>
                <w:sz w:val="18"/>
                <w:shd w:fill="CCEEFF" w:val="clear"/>
              </w:rPr>
              <w:t>$464</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CCEEFF" w:val="clear"/>
              </w:rPr>
              <w:t>$197</w:t>
            </w:r>
            <w:r>
              <w:rPr>
                <w:color w:val="000000"/>
              </w:rPr>
              <w:t xml:space="preserve"> </w:t>
            </w:r>
            <w:r>
              <w:rPr>
                <w:rFonts w:ascii="Times New Roman;sans-serif" w:hAnsi="Times New Roman;sans-serif"/>
                <w:b w:val="false"/>
                <w:color w:val="000000"/>
                <w:sz w:val="18"/>
              </w:rPr>
              <w:t>for the three months ended March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p>
            <w:pPr>
              <w:pStyle w:val="TableContents"/>
              <w:bidi w:val="0"/>
              <w:spacing w:lineRule="auto" w:line="240" w:before="0" w:after="0"/>
              <w:jc w:val="left"/>
              <w:rPr/>
            </w:pPr>
            <w:r>
              <w:rPr>
                <w:rFonts w:ascii="Times New Roman;sans-serif" w:hAnsi="Times New Roman;sans-serif"/>
                <w:b w:val="false"/>
                <w:color w:val="000000"/>
                <w:sz w:val="18"/>
              </w:rPr>
              <w:t xml:space="preserve">(from related parties </w:t>
            </w:r>
            <w:r>
              <w:rPr>
                <w:rFonts w:ascii="Times New Roman;sans-serif" w:hAnsi="Times New Roman;sans-serif"/>
                <w:b w:val="false"/>
                <w:color w:val="000000"/>
                <w:sz w:val="18"/>
                <w:shd w:fill="FFFFFF" w:val="clear"/>
              </w:rPr>
              <w:t>$316</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FFFFFF" w:val="clear"/>
              </w:rPr>
              <w:t>$153</w:t>
            </w:r>
            <w:r>
              <w:rPr>
                <w:color w:val="000000"/>
              </w:rPr>
              <w:t xml:space="preserve"> </w:t>
            </w:r>
            <w:r>
              <w:rPr>
                <w:rFonts w:ascii="Times New Roman;sans-serif" w:hAnsi="Times New Roman;sans-serif"/>
                <w:b w:val="false"/>
                <w:color w:val="000000"/>
                <w:sz w:val="18"/>
              </w:rPr>
              <w:t>for the three months ended March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expense (to related parties </w:t>
            </w:r>
            <w:r>
              <w:rPr>
                <w:rFonts w:ascii="Times New Roman;sans-serif" w:hAnsi="Times New Roman;sans-serif"/>
                <w:b w:val="false"/>
                <w:color w:val="000000"/>
                <w:sz w:val="18"/>
                <w:shd w:fill="FFFFFF" w:val="clear"/>
              </w:rPr>
              <w:t>$415</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FFFFFF" w:val="clear"/>
              </w:rPr>
              <w:t>$2,222</w:t>
            </w:r>
            <w:r>
              <w:rPr>
                <w:color w:val="000000"/>
              </w:rPr>
              <w:t xml:space="preserve"> </w:t>
            </w:r>
            <w:r>
              <w:rPr>
                <w:rFonts w:ascii="Times New Roman;sans-serif" w:hAnsi="Times New Roman;sans-serif"/>
                <w:b w:val="false"/>
                <w:color w:val="000000"/>
                <w:sz w:val="18"/>
              </w:rPr>
              <w:t>for the three months ended March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60" w:after="60"/>
        <w:jc w:val="center"/>
        <w:rPr/>
      </w:pPr>
      <w:r>
        <w:rPr>
          <w:rFonts w:ascii="Times New Roman;sans-serif" w:hAnsi="Times New Roman;sans-serif"/>
          <w:b/>
          <w:color w:val="000000"/>
          <w:sz w:val="20"/>
        </w:rPr>
        <w:t xml:space="preserve">CONDENSED CONSOLIDATED STATEMENTS OF </w:t>
      </w:r>
      <w:r>
        <w:rPr>
          <w:rFonts w:ascii="Times New Roman;sans-serif" w:hAnsi="Times New Roman;sans-serif"/>
          <w:b/>
          <w:color w:val="000000"/>
          <w:sz w:val="20"/>
          <w:shd w:fill="FFFFFF" w:val="clear"/>
        </w:rPr>
        <w:t>STOCKHOLDERS’ EQUITY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60" w:after="60"/>
        <w:jc w:val="center"/>
        <w:rPr/>
      </w:pPr>
      <w:r>
        <w:rPr/>
      </w:r>
    </w:p>
    <w:tbl>
      <w:tblPr>
        <w:tblW w:w="10205" w:type="dxa"/>
        <w:jc w:val="left"/>
        <w:tblInd w:w="0" w:type="dxa"/>
        <w:tblLayout w:type="fixed"/>
        <w:tblCellMar>
          <w:top w:w="28" w:type="dxa"/>
          <w:left w:w="28" w:type="dxa"/>
          <w:bottom w:w="28" w:type="dxa"/>
          <w:right w:w="28" w:type="dxa"/>
        </w:tblCellMar>
      </w:tblPr>
      <w:tblGrid>
        <w:gridCol w:w="893"/>
        <w:gridCol w:w="647"/>
        <w:gridCol w:w="648"/>
        <w:gridCol w:w="109"/>
        <w:gridCol w:w="109"/>
        <w:gridCol w:w="109"/>
        <w:gridCol w:w="309"/>
        <w:gridCol w:w="522"/>
        <w:gridCol w:w="174"/>
        <w:gridCol w:w="109"/>
        <w:gridCol w:w="109"/>
        <w:gridCol w:w="109"/>
        <w:gridCol w:w="274"/>
        <w:gridCol w:w="1029"/>
        <w:gridCol w:w="152"/>
        <w:gridCol w:w="109"/>
        <w:gridCol w:w="109"/>
        <w:gridCol w:w="109"/>
        <w:gridCol w:w="244"/>
        <w:gridCol w:w="945"/>
        <w:gridCol w:w="138"/>
        <w:gridCol w:w="109"/>
        <w:gridCol w:w="109"/>
        <w:gridCol w:w="109"/>
        <w:gridCol w:w="258"/>
        <w:gridCol w:w="587"/>
        <w:gridCol w:w="144"/>
        <w:gridCol w:w="109"/>
        <w:gridCol w:w="109"/>
        <w:gridCol w:w="109"/>
        <w:gridCol w:w="314"/>
        <w:gridCol w:w="1036"/>
        <w:gridCol w:w="256"/>
      </w:tblGrid>
      <w:tr>
        <w:trPr/>
        <w:tc>
          <w:tcPr>
            <w:tcW w:w="8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157,561 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(91,511)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Appreciation Rights (“SAR”)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from exercise of 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157,648 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(72,429)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157,770 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(160,790)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157,796 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(153,675)</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60" w:after="6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849" w:type="dxa"/>
        <w:jc w:val="center"/>
        <w:tblInd w:w="0" w:type="dxa"/>
        <w:tblLayout w:type="fixed"/>
        <w:tblCellMar>
          <w:top w:w="28" w:type="dxa"/>
          <w:left w:w="28" w:type="dxa"/>
          <w:bottom w:w="28" w:type="dxa"/>
          <w:right w:w="28" w:type="dxa"/>
        </w:tblCellMar>
      </w:tblPr>
      <w:tblGrid>
        <w:gridCol w:w="2280"/>
        <w:gridCol w:w="2007"/>
        <w:gridCol w:w="2013"/>
        <w:gridCol w:w="109"/>
        <w:gridCol w:w="109"/>
        <w:gridCol w:w="109"/>
        <w:gridCol w:w="278"/>
        <w:gridCol w:w="916"/>
        <w:gridCol w:w="154"/>
        <w:gridCol w:w="154"/>
        <w:gridCol w:w="154"/>
        <w:gridCol w:w="154"/>
        <w:gridCol w:w="278"/>
        <w:gridCol w:w="916"/>
        <w:gridCol w:w="218"/>
      </w:tblGrid>
      <w:tr>
        <w:trPr/>
        <w:tc>
          <w:tcPr>
            <w:tcW w:w="2280"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for losses in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allowance for inventory obsolescence,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 and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short-term financings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to settle tax withholding obligations for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26,594 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36,228 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11" w:type="dxa"/>
        <w:jc w:val="center"/>
        <w:tblInd w:w="0" w:type="dxa"/>
        <w:tblLayout w:type="fixed"/>
        <w:tblCellMar>
          <w:top w:w="28" w:type="dxa"/>
          <w:left w:w="28" w:type="dxa"/>
          <w:bottom w:w="28" w:type="dxa"/>
          <w:right w:w="28" w:type="dxa"/>
        </w:tblCellMar>
      </w:tblPr>
      <w:tblGrid>
        <w:gridCol w:w="2678"/>
        <w:gridCol w:w="2357"/>
        <w:gridCol w:w="2375"/>
        <w:gridCol w:w="109"/>
        <w:gridCol w:w="109"/>
        <w:gridCol w:w="109"/>
        <w:gridCol w:w="196"/>
        <w:gridCol w:w="646"/>
        <w:gridCol w:w="109"/>
        <w:gridCol w:w="109"/>
        <w:gridCol w:w="109"/>
        <w:gridCol w:w="109"/>
        <w:gridCol w:w="196"/>
        <w:gridCol w:w="646"/>
        <w:gridCol w:w="154"/>
      </w:tblGrid>
      <w:tr>
        <w:trPr/>
        <w:tc>
          <w:tcPr>
            <w:tcW w:w="267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to the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1.    Summary of Significant Accounting Policies and Other Information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Nature of Business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Solutions International, Inc. (“Power Solutions,” “PSI” or the “Company”), a Delaware corporation, is a global producer and distributor of a broad range of high-performance, certified, low-emission power systems, including alternative-fueled power systems for original equipment manufacturers (“OEMs”) of off-highway industrial equipment and large custom-engineered integrated electrical power generation systems.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customers include large, industry-leading and multinational organizations. The Company’s products and services are sold predominantly to customers throughout North America as well as to customers located throughout the Pacific Rim and Europe. The Company’s power systems are highly engineered, comprehensive systems which, through the Company’s technologically sophisticated development and manufacturing processes, including its in-house design, prototyping, testing and engineering capabilities and its analysis and determination of the specific components to be integrated into a given power system (driven in large part by emission standards and cost considerations), allow the Company to provide its customers with power systems customized to meet specific OEM application requirements, other customers’ technical specifications and requirements imposed by environmental regulatory bodies.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power system configurations range from a basic engine integrated with appropriate fuel system components to completely packaged power systems that include any combination of cooling systems, electronic systems, air intake systems, fuel systems, housings, power takeoff systems, exhaust systems, hydraulic systems, enclosures, brackets, hoses, tubes and other assembled componentry. The Company also designs and manufactures large, custom-engineered integrated electrical power generation systems for both standby and prime power applications. The Company purchases engines from third-party suppliers and produces internally designed engines, all of which are then integrated into its power systems.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Of the other components that the Company integrates into its power systems, a substantial portion consist of internally designed components and components for which it coordinates significant design efforts with third-party suppliers, with the remainder consisting largely of parts that are sourced off-the-shelf from third-party suppliers. Some of the key components (including purchased engines) embody proprietary intellectual property of the Company’s suppliers. As a result of its design and manufacturing capabilities, the Company is able to provide its customers with a power system that can be incorporated into a customer’s specified application. In addition to the certified products described above, the Company sells diesel, gasoline and non-certified power systems and aftermarket components.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Stock Ownership and Control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Weichai America Corp., a wholly-owned subsidiary of Weichai Power Co., Ltd. (HK2338, SZ000338) (herein collectively referred to as “Weichai”) owns a majority of the outstanding shares of the Company’s Common Stock. As a result, Weichai is able to exercise control over matters requiring stockholders’ approval, including the election of directors, amendment of the Company’s Certificate of Incorporation (the “Charter”)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Weichai has entered into an Investor Rights Agreement (the “Rights Agreement”). The Rights Agreement provides Weichai with representation on the Company’s Board of Directors (the “Board”) and management representation rights. Weichai currently has four representatives on the Board, which constitutes the majority of the directors serving on the Board. According to the Rights Agreement, during any period when the Company is a “controlled company” within the meaning of the Nasdaq Listing Rules, it will take such measures as to avail itself of the “controlled company” exemptions available under Rule 5615 of the Nasdaq Listing Rules from Rules 5605(b), (d) and (e) to the extent applicable. </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Going Concern Considerations</w:t>
      </w:r>
    </w:p>
    <w:p>
      <w:pPr>
        <w:pStyle w:val="TextBody"/>
        <w:bidi w:val="0"/>
        <w:spacing w:lineRule="auto" w:line="288" w:before="120" w:after="120"/>
        <w:jc w:val="both"/>
        <w:rPr/>
      </w:pPr>
      <w:r>
        <w:rPr>
          <w:rFonts w:ascii="Times New Roman;sans-serif" w:hAnsi="Times New Roman;sans-serif"/>
          <w:b w:val="false"/>
          <w:color w:val="000000"/>
          <w:sz w:val="20"/>
        </w:rPr>
        <w:t>During the first three months of 2025, the Company reported net income of $19.1 million and generated $8.8 million in cash flow from operating activities. In August 2024, the Company refinanced its debt through a new Uncommitted Revolving Credit Agreement (the “Revolving Credit Agreement”) with three banks. Additionally, the Company entered into a new Shareholder’s Loan Agreement (the “SLA”) with Weichai to replace all existing Shareholder Loan Agreements. The new Revolving Credit Agreement and SLA mature on August 30, 2025 and August 31, 2025, respectively, and have borrowing capacity of $120.0 million and $105.0 million, respectively.</w:t>
      </w:r>
      <w:r>
        <w:rPr>
          <w:color w:val="4472C4"/>
        </w:rPr>
        <w:t xml:space="preser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held $50.0 million in cash and cash equivalents and its short-term debt obligations under the new Revolving Credit Agreement and SLA totaled $95.0 million and $15.0 million, respectively. While the Company has achieved profitability and generated positive cash flows from operating activities in 2025, uncertainties exist about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ans-serif" w:hAnsi="Times New Roman;sans-serif"/>
          <w:b w:val="false"/>
          <w:color w:val="000000"/>
          <w:sz w:val="20"/>
        </w:rPr>
        <w:t xml:space="preserve">Company’s ability to refinance, amend, or extend its outstanding indebtedness. See Note 6.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for further information regarding the terms and conditions of the Company’s debt agreements.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Due to these uncertainties, the Company’s management has concluded that substantial doubt exists as to its ability to continue as a going concern within one year after the date that these financial statements are issued. The Company’s plans to alleviate the substantial doubt about its ability to continue as a going concern may not be successful, and it may be forced to limit its business activities or be unable to continue as a going concern, which would have a material adverse effect on its results of operations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included herein have been prepared assuming that the Company will continue as a going concern and contemplating the realization of assets and the satisfaction of liabilities and commitments in the normal course of business. The Company’s ability to continue as a going concern is dependent on extending and amending, refinancing or repaying the indebtedness outstanding under the Company’s existing debt arrangements. Without additional financing, the Company anticipates that it will not have sufficient cash and cash equivalents to repay amounts owed under its existing debt arrangements as they become due. In order to provide the Company with a more permanent source of liquidity, management is seeking the replacement of its existing debt agreements with committed long-term financing from its current or other lenders before the maturity dates in 2025. There can be no assurance that the Company’s management will be able to successfully complete restructuring of its existing debt agreements or obtain new financing on acceptable terms, when required or if at all. These consolidated financial statements do not include any adjustments that might result from the outcome of the Company’s efforts to address these issues.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 and Consolidation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filing this Form 10-Q for the quarterly period ended March 31, 2025, which contains unaudited condensed consolidated financial statements as of March 31, 2025 and for the three months ended March 31, 2025 and 2024.</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Power Solutions International, Inc. and its wholly-owned subsidiaries and majority-owned subsidiaries in which the Company exercises control. The condensed consolidated financial statements were prepared in accordance with generally accepted accounting principles in the United States (“U.S. GAAP”) and rules and regulations of the SEC for interim financial reporting. All intercompany balances and transactions have been eliminated in consolidation.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 disclosures normally included in the Company’s annual financial statements prepared in accordance with U.S. GAAP have been condensed or omitted. The accompanying unaudited Condensed Consolidated Financial Statements have been prepared in accordance with the instructions to Form 10-Q and Article 8 of Regulation S-X and include all of the information and disclosures required by U.S GAAP for interim financial reporting. These unaudited Condensed Consolidated Financial Statements should be read in conjunction with the Consolidated Financial Statements of the Company and related footnotes for the year ended December 31, 2024, included in the 2024 Annual Report on Form 10-K, filed with the SEC on March 24, 2025 (the “2024 Annual Report”). The Company’s significant accounting policies are described in the aforementioned 2024 Annual Report. The accompanying interim financial information is unaudited; however, the Company believes the financial information reflects all adjustments (consisting of items of a normal recurring nature) necessary for a fair presentation of its financial position, results of operations and cash flows in conformity with U.S. GAAP. Operating results for interim periods are not necessarily indicative of annual operating results.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as one business and geographic operating segment. Operating segments are defined as components of a business that can earn revenues and incur expenses for which discrete financial information is available that is evaluated on a regular basis by the chief operating decision maker (“CODM”). The Company’s CODM is its principal executive officer, who decides how to allocate resources and assess performance. A single management team reports to the CODM, who manages the entire business. The Company’s CODM reviews consolidated statements of income to make decisions, allocate resources and assess performance, and the CODM does not evaluate the profit or loss from any separate geography or product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Concentrations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customers individually accounting for more than 10% of the Company’s net sales:</w:t>
      </w:r>
    </w:p>
    <w:tbl>
      <w:tblPr>
        <w:tblW w:w="4971"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71"/>
        <w:gridCol w:w="271"/>
        <w:gridCol w:w="638"/>
        <w:gridCol w:w="271"/>
        <w:gridCol w:w="271"/>
        <w:gridCol w:w="271"/>
        <w:gridCol w:w="271"/>
        <w:gridCol w:w="271"/>
        <w:gridCol w:w="638"/>
        <w:gridCol w:w="109"/>
        <w:gridCol w:w="109"/>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customers individually accounting for more than 10% of the Company’s trade accounts receivable:</w:t>
      </w:r>
    </w:p>
    <w:tbl>
      <w:tblPr>
        <w:tblW w:w="5422"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398"/>
        <w:gridCol w:w="398"/>
        <w:gridCol w:w="943"/>
        <w:gridCol w:w="109"/>
        <w:gridCol w:w="109"/>
        <w:gridCol w:w="109"/>
        <w:gridCol w:w="427"/>
        <w:gridCol w:w="427"/>
        <w:gridCol w:w="118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suppliers individually accounting for more than 10% of the Company’s purchases:</w:t>
      </w:r>
    </w:p>
    <w:tbl>
      <w:tblPr>
        <w:tblW w:w="4881" w:type="dxa"/>
        <w:jc w:val="left"/>
        <w:tblInd w:w="0" w:type="dxa"/>
        <w:tblLayout w:type="fixed"/>
        <w:tblCellMar>
          <w:top w:w="28" w:type="dxa"/>
          <w:left w:w="28" w:type="dxa"/>
          <w:bottom w:w="28" w:type="dxa"/>
          <w:right w:w="28" w:type="dxa"/>
        </w:tblCellMar>
      </w:tblPr>
      <w:tblGrid>
        <w:gridCol w:w="326"/>
        <w:gridCol w:w="286"/>
        <w:gridCol w:w="288"/>
        <w:gridCol w:w="109"/>
        <w:gridCol w:w="109"/>
        <w:gridCol w:w="109"/>
        <w:gridCol w:w="271"/>
        <w:gridCol w:w="271"/>
        <w:gridCol w:w="638"/>
        <w:gridCol w:w="271"/>
        <w:gridCol w:w="271"/>
        <w:gridCol w:w="271"/>
        <w:gridCol w:w="271"/>
        <w:gridCol w:w="271"/>
        <w:gridCol w:w="638"/>
        <w:gridCol w:w="109"/>
        <w:gridCol w:w="109"/>
        <w:gridCol w:w="109"/>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**Less than 10% of the total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estimates and assumptions include the valuation of allowances for credit losses, inventory reserves, warranty reserves, stock-based compensation, evaluation of goodwill, other intangibles, property, plant and equipment for impairment, income tax valuation allowances and determination of useful lives of long-lived assets. Actual results could materially differ from those estimates.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20" w:after="120"/>
        <w:jc w:val="both"/>
        <w:rPr/>
      </w:pPr>
      <w:r>
        <w:rPr>
          <w:rFonts w:ascii="Times New Roman;sans-serif" w:hAnsi="Times New Roman;sans-serif"/>
          <w:b w:val="false"/>
          <w:color w:val="000000"/>
          <w:sz w:val="20"/>
        </w:rPr>
        <w:t xml:space="preserve">Restricted cash consists of funds that are contractually restricted as to usage or withdrawal due to required minimum levels of cash collateral for letters of credits and contractual agreements with customers. As of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 xml:space="preserve">December 31, 2024, </w:t>
      </w:r>
      <w:r>
        <w:rPr>
          <w:rFonts w:ascii="Times New Roman;sans-serif" w:hAnsi="Times New Roman;sans-serif"/>
          <w:b w:val="false"/>
          <w:color w:val="000000"/>
          <w:sz w:val="20"/>
          <w:shd w:fill="FFFFFF" w:val="clear"/>
        </w:rPr>
        <w:t xml:space="preserve">the Company had restricted cash of </w:t>
      </w:r>
      <w:r>
        <w:rPr>
          <w:rFonts w:ascii="Times New Roman;sans-serif" w:hAnsi="Times New Roman;sans-serif"/>
          <w:b w:val="false"/>
          <w:color w:val="000000"/>
          <w:sz w:val="20"/>
        </w:rPr>
        <w:t>$3.6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$3.2 million</w:t>
      </w:r>
      <w:r>
        <w:rPr>
          <w:rFonts w:ascii="Times New Roman;sans-serif" w:hAnsi="Times New Roman;sans-serif"/>
          <w:b w:val="false"/>
          <w:color w:val="000000"/>
          <w:sz w:val="20"/>
          <w:shd w:fill="FFFFFF" w:val="clear"/>
        </w:rPr>
        <w:t xml:space="preserve">, respectively, which includes $1.4 million restricted cash held in escrow which could be required to be refunded to the customer if conditions occur as defined in the agreement with the customer. The Company has not recognized revenue associated with the restricted cash. The deferred revenue is included within </w:t>
      </w:r>
      <w:r>
        <w:rPr>
          <w:rFonts w:ascii="Times New Roman;sans-serif" w:hAnsi="Times New Roman;sans-serif"/>
          <w:b w:val="false"/>
          <w:i/>
          <w:color w:val="000000"/>
          <w:sz w:val="20"/>
          <w:shd w:fill="FFFFFF" w:val="clear"/>
        </w:rPr>
        <w:t>Noncurrent Contract Liabilities</w:t>
      </w:r>
      <w:r>
        <w:rPr>
          <w:color w:val="000000"/>
          <w:shd w:fill="FFFFFF" w:val="clear"/>
        </w:rPr>
        <w:t xml:space="preserve"> </w:t>
      </w:r>
      <w:r>
        <w:rPr>
          <w:rFonts w:ascii="Times New Roman;sans-serif" w:hAnsi="Times New Roman;sans-serif"/>
          <w:b w:val="false"/>
          <w:color w:val="000000"/>
          <w:sz w:val="20"/>
          <w:shd w:fill="FFFFFF" w:val="clear"/>
        </w:rPr>
        <w:t>on the Consolidated Balance Sheets.</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Inventories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inventories consist primarily of engines and parts. Engines are valued at the lower of cost, including estimated freight-in, or net realizable value. Parts are valued at the lower of cost or net realizable value, except for integral parts provided by customers for installation on custom ordered engines. Such parts are accounted for as noncash consideration which is valued at fair value. Net realizable value approximates replacement cost. Cost is principally determined using the first-in, first-out method and includes material, labor and manufacturing overhead. It is the Company’s policy to review inventories on a continuing basis for obsolete, excess and slow-moving items and to record valuation adjustments for such items in order to eliminate non-recoverable costs from inventory. Valuation adjustments are recorded in an inventory reserve account and reduce the cost basis of the inventory in the period in which the reduced valuation is determined. Inventory reserves are established based on quantities on hand, usage and sales history, customer orders, projected demand and utilization within a current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power system. Specific analysis of individual items or groups of items is performed based on these same criteria, as well as on changes in market conditions or any other identified conditions.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w:t>
      </w:r>
    </w:p>
    <w:tbl>
      <w:tblPr>
        <w:tblW w:w="5992" w:type="dxa"/>
        <w:jc w:val="left"/>
        <w:tblInd w:w="0" w:type="dxa"/>
        <w:tblLayout w:type="fixed"/>
        <w:tblCellMar>
          <w:top w:w="28" w:type="dxa"/>
          <w:left w:w="28" w:type="dxa"/>
          <w:bottom w:w="28" w:type="dxa"/>
          <w:right w:w="28" w:type="dxa"/>
        </w:tblCellMar>
      </w:tblPr>
      <w:tblGrid>
        <w:gridCol w:w="566"/>
        <w:gridCol w:w="496"/>
        <w:gridCol w:w="498"/>
        <w:gridCol w:w="109"/>
        <w:gridCol w:w="109"/>
        <w:gridCol w:w="109"/>
        <w:gridCol w:w="327"/>
        <w:gridCol w:w="1230"/>
        <w:gridCol w:w="182"/>
        <w:gridCol w:w="109"/>
        <w:gridCol w:w="109"/>
        <w:gridCol w:w="109"/>
        <w:gridCol w:w="401"/>
        <w:gridCol w:w="1323"/>
        <w:gridCol w:w="315"/>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Raw materials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102,326 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84,323 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125,129 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102,007 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(8,135)</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116,788 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93,872 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the Company’s inventory allowance was as follows:</w:t>
      </w:r>
    </w:p>
    <w:tbl>
      <w:tblPr>
        <w:tblW w:w="6006" w:type="dxa"/>
        <w:jc w:val="left"/>
        <w:tblInd w:w="0" w:type="dxa"/>
        <w:tblLayout w:type="fixed"/>
        <w:tblCellMar>
          <w:top w:w="28" w:type="dxa"/>
          <w:left w:w="28" w:type="dxa"/>
          <w:bottom w:w="28" w:type="dxa"/>
          <w:right w:w="28" w:type="dxa"/>
        </w:tblCellMar>
      </w:tblPr>
      <w:tblGrid>
        <w:gridCol w:w="890"/>
        <w:gridCol w:w="784"/>
        <w:gridCol w:w="786"/>
        <w:gridCol w:w="109"/>
        <w:gridCol w:w="109"/>
        <w:gridCol w:w="109"/>
        <w:gridCol w:w="301"/>
        <w:gridCol w:w="856"/>
        <w:gridCol w:w="167"/>
        <w:gridCol w:w="167"/>
        <w:gridCol w:w="167"/>
        <w:gridCol w:w="167"/>
        <w:gridCol w:w="301"/>
        <w:gridCol w:w="856"/>
        <w:gridCol w:w="237"/>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Inventory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8,341 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6,676 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March 31, 2025,</w:t>
      </w:r>
      <w:r>
        <w:rPr>
          <w:color w:val="000000"/>
        </w:rPr>
        <w:t xml:space="preserve"> </w:t>
      </w:r>
      <w:r>
        <w:rPr>
          <w:rFonts w:ascii="Times New Roman;sans-serif" w:hAnsi="Times New Roman;sans-serif"/>
          <w:b w:val="false"/>
          <w:color w:val="000000"/>
          <w:sz w:val="20"/>
        </w:rPr>
        <w:t xml:space="preserve">the Company’s inventory included </w:t>
      </w:r>
      <w:r>
        <w:rPr>
          <w:rFonts w:ascii="Times New Roman;sans-serif" w:hAnsi="Times New Roman;sans-serif"/>
          <w:b w:val="false"/>
          <w:color w:val="000000"/>
          <w:sz w:val="20"/>
          <w:shd w:fill="FFFFFF" w:val="clear"/>
        </w:rPr>
        <w:t>$3.8 million</w:t>
      </w:r>
      <w:r>
        <w:rPr>
          <w:color w:val="000000"/>
        </w:rPr>
        <w:t xml:space="preserve"> </w:t>
      </w:r>
      <w:r>
        <w:rPr>
          <w:rFonts w:ascii="Times New Roman;sans-serif" w:hAnsi="Times New Roman;sans-serif"/>
          <w:b w:val="false"/>
          <w:color w:val="000000"/>
          <w:sz w:val="20"/>
        </w:rPr>
        <w:t xml:space="preserve">of raw materials provided by its customers for installation in the fulfillment of its performance obligations to these customers and recorded an associated contract liability. See </w:t>
      </w:r>
      <w:r>
        <w:rPr>
          <w:rFonts w:ascii="Times New Roman;sans-serif" w:hAnsi="Times New Roman;sans-serif"/>
          <w:b w:val="false"/>
          <w:color w:val="000000"/>
          <w:sz w:val="20"/>
          <w:shd w:fill="FFFFFF" w:val="clear"/>
        </w:rPr>
        <w:t>Note 2.</w:t>
      </w:r>
      <w:r>
        <w:rPr>
          <w:color w:val="000000"/>
        </w:rPr>
        <w:t xml:space="preserve"> </w:t>
      </w:r>
      <w:r>
        <w:rPr>
          <w:rFonts w:ascii="Times New Roman;sans-serif" w:hAnsi="Times New Roman;sans-serif"/>
          <w:b w:val="false"/>
          <w:i/>
          <w:color w:val="000000"/>
          <w:sz w:val="20"/>
          <w:shd w:fill="FFFFFF" w:val="clear"/>
        </w:rPr>
        <w:t>Revenue</w:t>
      </w:r>
      <w:r>
        <w:rPr>
          <w:color w:val="000000"/>
        </w:rPr>
        <w:t xml:space="preserve"> </w:t>
      </w:r>
      <w:r>
        <w:rPr>
          <w:rFonts w:ascii="Times New Roman;sans-serif" w:hAnsi="Times New Roman;sans-serif"/>
          <w:b w:val="false"/>
          <w:color w:val="000000"/>
          <w:sz w:val="20"/>
        </w:rPr>
        <w:t>for further information regarding contract assets and contract liabilities.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Other Accrued Liabilities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consisted of the following:</w:t>
      </w:r>
    </w:p>
    <w:tbl>
      <w:tblPr>
        <w:tblW w:w="7072" w:type="dxa"/>
        <w:jc w:val="left"/>
        <w:tblInd w:w="0" w:type="dxa"/>
        <w:tblLayout w:type="fixed"/>
        <w:tblCellMar>
          <w:top w:w="28" w:type="dxa"/>
          <w:left w:w="28" w:type="dxa"/>
          <w:bottom w:w="28" w:type="dxa"/>
          <w:right w:w="28" w:type="dxa"/>
        </w:tblCellMar>
      </w:tblPr>
      <w:tblGrid>
        <w:gridCol w:w="955"/>
        <w:gridCol w:w="839"/>
        <w:gridCol w:w="846"/>
        <w:gridCol w:w="109"/>
        <w:gridCol w:w="109"/>
        <w:gridCol w:w="109"/>
        <w:gridCol w:w="358"/>
        <w:gridCol w:w="1182"/>
        <w:gridCol w:w="199"/>
        <w:gridCol w:w="109"/>
        <w:gridCol w:w="109"/>
        <w:gridCol w:w="109"/>
        <w:gridCol w:w="401"/>
        <w:gridCol w:w="1323"/>
        <w:gridCol w:w="315"/>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Other 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product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Accrued litigation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 appreciation rights liability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 bearing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Customs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58,069 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44,726 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March 31, 2025 and December 31, 2024</w:t>
      </w:r>
      <w:r>
        <w:rPr>
          <w:color w:val="000000"/>
          <w:shd w:fill="FFFFFF" w:val="clear"/>
        </w:rPr>
        <w:t xml:space="preserve"> </w:t>
      </w:r>
      <w:r>
        <w:rPr>
          <w:rFonts w:ascii="Times New Roman;sans-serif" w:hAnsi="Times New Roman;sans-serif"/>
          <w:b w:val="false"/>
          <w:color w:val="000000"/>
          <w:sz w:val="16"/>
          <w:shd w:fill="FFFFFF" w:val="clear"/>
        </w:rPr>
        <w:t xml:space="preserve">accrued </w:t>
      </w:r>
      <w:r>
        <w:rPr>
          <w:rFonts w:ascii="Times New Roman;sans-serif" w:hAnsi="Times New Roman;sans-serif"/>
          <w:b w:val="false"/>
          <w:color w:val="000000"/>
          <w:sz w:val="16"/>
        </w:rPr>
        <w:t xml:space="preserve">litigation includes accruals related to various ongoing legal matters including associated legal fees. See </w:t>
      </w:r>
      <w:r>
        <w:rPr>
          <w:rFonts w:ascii="Times New Roman;sans-serif" w:hAnsi="Times New Roman;sans-serif"/>
          <w:b w:val="false"/>
          <w:color w:val="000000"/>
          <w:sz w:val="16"/>
          <w:shd w:fill="FFFFFF" w:val="clear"/>
        </w:rPr>
        <w:t>Note 10.</w:t>
      </w:r>
      <w:r>
        <w:rPr>
          <w:color w:val="000000"/>
        </w:rPr>
        <w:t xml:space="preserve"> </w:t>
      </w:r>
      <w:r>
        <w:rPr>
          <w:rFonts w:ascii="Times New Roman;sans-serif" w:hAnsi="Times New Roman;sans-serif"/>
          <w:b w:val="false"/>
          <w:i/>
          <w:color w:val="000000"/>
          <w:sz w:val="16"/>
          <w:shd w:fill="FFFFFF" w:val="clear"/>
        </w:rPr>
        <w:t>Commitments and Contingencies</w:t>
      </w:r>
      <w:r>
        <w:rPr>
          <w:color w:val="000000"/>
        </w:rPr>
        <w:t xml:space="preserve"> </w:t>
      </w:r>
      <w:r>
        <w:rPr>
          <w:rFonts w:ascii="Times New Roman;sans-serif" w:hAnsi="Times New Roman;sans-serif"/>
          <w:b w:val="false"/>
          <w:color w:val="000000"/>
          <w:sz w:val="16"/>
        </w:rPr>
        <w:t>for further information regarding the various ongoing legal matters.</w:t>
      </w:r>
    </w:p>
    <w:p>
      <w:pPr>
        <w:pStyle w:val="TextBody"/>
        <w:bidi w:val="0"/>
        <w:spacing w:lineRule="auto" w:line="288" w:before="120" w:after="12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Company has an incentive compensation plan, which authorizes the granting of a variety of different types of awards including, but not limited to, non-qualified stock options, incentive stock options, Stock Appreciation Rights (“SARs”), Restricted Stock Awards (“RSAs”)</w:t>
      </w:r>
      <w:r>
        <w:rPr>
          <w:rFonts w:ascii="Times New Roman;sans-serif" w:hAnsi="Times New Roman;sans-serif"/>
          <w:b w:val="false"/>
          <w:color w:val="000000"/>
          <w:sz w:val="20"/>
        </w:rPr>
        <w:t xml:space="preserve">, </w:t>
      </w:r>
      <w:r>
        <w:rPr>
          <w:rFonts w:ascii="Times New Roman;sans-serif" w:hAnsi="Times New Roman;sans-serif"/>
          <w:b w:val="false"/>
          <w:color w:val="000000"/>
          <w:sz w:val="16"/>
        </w:rPr>
        <w:t>deferred stock and performance units to its executive officers, employees, consultants and Directors. T</w:t>
      </w:r>
      <w:r>
        <w:rPr>
          <w:rFonts w:ascii="Times New Roman;sans-serif" w:hAnsi="Times New Roman;sans-serif"/>
          <w:b w:val="false"/>
          <w:color w:val="000000"/>
          <w:sz w:val="16"/>
          <w:shd w:fill="FFFFFF" w:val="clear"/>
        </w:rPr>
        <w:t xml:space="preserve">he </w:t>
      </w:r>
      <w:r>
        <w:rPr>
          <w:rFonts w:ascii="Times New Roman;sans-serif" w:hAnsi="Times New Roman;sans-serif"/>
          <w:b w:val="false"/>
          <w:color w:val="000000"/>
          <w:sz w:val="16"/>
        </w:rPr>
        <w:t>SAR</w:t>
      </w:r>
      <w:r>
        <w:rPr>
          <w:color w:val="000000"/>
          <w:shd w:fill="FFFFFF" w:val="clear"/>
        </w:rPr>
        <w:t xml:space="preserve"> </w:t>
      </w:r>
      <w:r>
        <w:rPr>
          <w:rFonts w:ascii="Times New Roman;sans-serif" w:hAnsi="Times New Roman;sans-serif"/>
          <w:b w:val="false"/>
          <w:color w:val="000000"/>
          <w:sz w:val="16"/>
          <w:shd w:fill="FFFFFF" w:val="clear"/>
        </w:rPr>
        <w:t xml:space="preserve">awards granted for the year ended March 31, 2025 and </w:t>
      </w:r>
      <w:r>
        <w:rPr>
          <w:rFonts w:ascii="Times New Roman;sans-serif" w:hAnsi="Times New Roman;sans-serif"/>
          <w:b w:val="false"/>
          <w:color w:val="000000"/>
          <w:sz w:val="16"/>
        </w:rPr>
        <w:t>December 31, 2024</w:t>
      </w:r>
      <w:r>
        <w:rPr>
          <w:color w:val="000000"/>
          <w:shd w:fill="FFFFFF" w:val="clear"/>
        </w:rPr>
        <w:t xml:space="preserve"> </w:t>
      </w:r>
      <w:r>
        <w:rPr>
          <w:rFonts w:ascii="Times New Roman;sans-serif" w:hAnsi="Times New Roman;sans-serif"/>
          <w:b w:val="false"/>
          <w:color w:val="000000"/>
          <w:sz w:val="16"/>
          <w:shd w:fill="FFFFFF" w:val="clear"/>
        </w:rPr>
        <w:t xml:space="preserve">were all liability classified awards and remained outstanding. </w:t>
      </w:r>
      <w:r>
        <w:rPr>
          <w:rFonts w:ascii="Times New Roman;sans-serif" w:hAnsi="Times New Roman;sans-serif"/>
          <w:b w:val="false"/>
          <w:color w:val="000000"/>
          <w:sz w:val="16"/>
        </w:rPr>
        <w:t xml:space="preserve">See Note 13. </w:t>
      </w:r>
      <w:r>
        <w:rPr>
          <w:rFonts w:ascii="Times New Roman;sans-serif" w:hAnsi="Times New Roman;sans-serif"/>
          <w:b w:val="false"/>
          <w:i/>
          <w:color w:val="000000"/>
          <w:sz w:val="16"/>
        </w:rPr>
        <w:t>Stock-Based Compensation</w:t>
      </w:r>
      <w:r>
        <w:rPr>
          <w:color w:val="000000"/>
        </w:rPr>
        <w:t xml:space="preserve"> </w:t>
      </w:r>
      <w:r>
        <w:rPr>
          <w:rFonts w:ascii="Times New Roman;sans-serif" w:hAnsi="Times New Roman;sans-serif"/>
          <w:b w:val="false"/>
          <w:color w:val="000000"/>
          <w:sz w:val="16"/>
        </w:rPr>
        <w:t>in the Company’s 2024 Annual Report for additional information on the SARs and RSAs.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Warranty Costs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a standard limited warranty on the workmanship of its products that in most cases covers defects for a defined period. Warranties for certified emission products are mandated by the U.S. Environmental Protection Agency (the “EPA”) and/or the California Air Resources Board (the “CARB”) and are longer than the Company’s standard warranty on certain emission-related products. The Company’s products also carry limited warranties from suppliers.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warranties generally apply to engines fully manufactured by the Company and to the modifications the Company makes to supplier base products. Costs related to supplier warranty claims are generally borne by the supplier and passed through to the end customer.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Warranty estimates are based on historical experience and represent the projected cost associated with the product. A liability and related expense are recognized at the time products are sold. The Company adjusts estimates when it is determined that actual costs may differ from initial or previous estimates. The Company’s warranty liability is generally affected by failure rates, repair costs and the timing of failures. Future events and circumstances related to these factors could materially change the estimates and require adjustments to the warranty liability. In addition, new product launches require a greater use of judgment in developing estimates until historical experience becomes available.</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Accrued product warranty activities are presented below:</w:t>
      </w:r>
    </w:p>
    <w:tbl>
      <w:tblPr>
        <w:tblW w:w="7179" w:type="dxa"/>
        <w:jc w:val="left"/>
        <w:tblInd w:w="0" w:type="dxa"/>
        <w:tblLayout w:type="fixed"/>
        <w:tblCellMar>
          <w:top w:w="28" w:type="dxa"/>
          <w:left w:w="28" w:type="dxa"/>
          <w:bottom w:w="28" w:type="dxa"/>
          <w:right w:w="28" w:type="dxa"/>
        </w:tblCellMar>
      </w:tblPr>
      <w:tblGrid>
        <w:gridCol w:w="1313"/>
        <w:gridCol w:w="1157"/>
        <w:gridCol w:w="1160"/>
        <w:gridCol w:w="109"/>
        <w:gridCol w:w="109"/>
        <w:gridCol w:w="109"/>
        <w:gridCol w:w="278"/>
        <w:gridCol w:w="916"/>
        <w:gridCol w:w="154"/>
        <w:gridCol w:w="154"/>
        <w:gridCol w:w="154"/>
        <w:gridCol w:w="154"/>
        <w:gridCol w:w="278"/>
        <w:gridCol w:w="916"/>
        <w:gridCol w:w="218"/>
      </w:tblGrid>
      <w:tr>
        <w:trPr/>
        <w:tc>
          <w:tcPr>
            <w:tcW w:w="13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Accrued Product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Current period provision </w:t>
            </w: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Changes in estimates for preexisting warranties </w:t>
            </w: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made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Noncurrent accrued product warranty </w:t>
              <w:br/>
              <w:t>(included with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6,742 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720"/>
        <w:jc w:val="both"/>
        <w:rPr/>
      </w:pPr>
      <w:r>
        <w:rPr>
          <w:rFonts w:ascii="Times New Roman;sans-serif" w:hAnsi="Times New Roman;sans-serif"/>
          <w:b w:val="false"/>
          <w:color w:val="000000"/>
          <w:sz w:val="16"/>
          <w:shd w:fill="FFFFFF" w:val="clear"/>
        </w:rPr>
        <w:t>*Warranty costs, net of supplier recoveries, and other adjustments, were $0.6 million and $1.5 million</w:t>
      </w:r>
      <w:r>
        <w:rPr>
          <w:color w:val="000000"/>
          <w:shd w:fill="FFFFFF" w:val="clear"/>
        </w:rPr>
        <w:t xml:space="preserve"> </w:t>
      </w:r>
      <w:r>
        <w:rPr>
          <w:rFonts w:ascii="Times New Roman;sans-serif" w:hAnsi="Times New Roman;sans-serif"/>
          <w:b w:val="false"/>
          <w:color w:val="000000"/>
          <w:sz w:val="16"/>
          <w:shd w:fill="FFFFFF" w:val="clear"/>
        </w:rPr>
        <w:t>for the three months ended March 31, 2025 a</w:t>
      </w:r>
      <w:r>
        <w:rPr>
          <w:rFonts w:ascii="Times New Roman;sans-serif" w:hAnsi="Times New Roman;sans-serif"/>
          <w:b w:val="false"/>
          <w:color w:val="000000"/>
          <w:sz w:val="16"/>
        </w:rPr>
        <w:t>nd 2024</w:t>
      </w:r>
      <w:r>
        <w:rPr>
          <w:rFonts w:ascii="Times New Roman;sans-serif" w:hAnsi="Times New Roman;sans-serif"/>
          <w:b w:val="false"/>
          <w:color w:val="000000"/>
          <w:sz w:val="16"/>
          <w:shd w:fill="FFFFFF" w:val="clear"/>
        </w:rPr>
        <w:t>, respectively. Supplier recoveries were $0.1 million and $0.3 million for the three months ended March 31, 2025 and 2024, respectively.</w:t>
      </w:r>
    </w:p>
    <w:p>
      <w:pPr>
        <w:pStyle w:val="TextBody"/>
        <w:bidi w:val="0"/>
        <w:spacing w:lineRule="auto" w:line="276" w:before="0" w:after="0"/>
        <w:ind w:left="0" w:right="0" w:hanging="720"/>
        <w:jc w:val="both"/>
        <w:rPr/>
      </w:pPr>
      <w:r>
        <w:rPr>
          <w:rFonts w:ascii="Times New Roman;sans-serif" w:hAnsi="Times New Roman;sans-serif"/>
          <w:b w:val="false"/>
          <w:color w:val="000000"/>
          <w:sz w:val="16"/>
          <w:shd w:fill="FFFFFF" w:val="clear"/>
        </w:rPr>
        <w:t xml:space="preserve">**Changes in estimates for preexisting warranties reflect changes in the Company’s estimate of warranty costs for products sold in prior periods. Such adjustments typically occur when claims experience deviates from historical and expected trends. During the </w:t>
      </w:r>
      <w:r>
        <w:rPr>
          <w:rFonts w:ascii="Times New Roman;sans-serif" w:hAnsi="Times New Roman;sans-serif"/>
          <w:b w:val="false"/>
          <w:color w:val="000000"/>
          <w:sz w:val="16"/>
        </w:rPr>
        <w:t>three</w:t>
      </w:r>
      <w:r>
        <w:rPr>
          <w:color w:val="000000"/>
          <w:shd w:fill="FFFFFF" w:val="clear"/>
        </w:rPr>
        <w:t xml:space="preserve"> </w:t>
      </w:r>
      <w:r>
        <w:rPr>
          <w:rFonts w:ascii="Times New Roman;sans-serif" w:hAnsi="Times New Roman;sans-serif"/>
          <w:b w:val="false"/>
          <w:color w:val="000000"/>
          <w:sz w:val="16"/>
          <w:shd w:fill="FFFFFF" w:val="clear"/>
        </w:rPr>
        <w:t xml:space="preserve">months ended March 31, 2025, the Company recorded a benefit for changes in estimates of preexisting warranties of $0.3 million, or $0.01 per diluted share. During the </w:t>
      </w:r>
      <w:r>
        <w:rPr>
          <w:rFonts w:ascii="Times New Roman;sans-serif" w:hAnsi="Times New Roman;sans-serif"/>
          <w:b w:val="false"/>
          <w:color w:val="000000"/>
          <w:sz w:val="16"/>
        </w:rPr>
        <w:t>three</w:t>
      </w:r>
      <w:r>
        <w:rPr>
          <w:color w:val="000000"/>
          <w:shd w:fill="FFFFFF" w:val="clear"/>
        </w:rPr>
        <w:t xml:space="preserve"> </w:t>
      </w:r>
      <w:r>
        <w:rPr>
          <w:rFonts w:ascii="Times New Roman;sans-serif" w:hAnsi="Times New Roman;sans-serif"/>
          <w:b w:val="false"/>
          <w:color w:val="000000"/>
          <w:sz w:val="16"/>
          <w:shd w:fill="FFFFFF" w:val="clear"/>
        </w:rPr>
        <w:t xml:space="preserve">months ended March 31, 2024, the Company recorded a cost of $0.1 million, or $0.01 per diluted share. </w:t>
      </w:r>
    </w:p>
    <w:p>
      <w:pPr>
        <w:pStyle w:val="TextBody"/>
        <w:bidi w:val="0"/>
        <w:spacing w:lineRule="auto" w:line="288" w:before="120" w:after="120"/>
        <w:jc w:val="both"/>
        <w:rPr/>
      </w:pPr>
      <w:r>
        <w:rPr>
          <w:rFonts w:ascii="Times New Roman;sans-serif" w:hAnsi="Times New Roman;sans-serif"/>
          <w:b/>
          <w:i/>
          <w:color w:val="000000"/>
          <w:sz w:val="20"/>
          <w:shd w:fill="FFFFFF" w:val="clear"/>
        </w:rPr>
        <w:t xml:space="preserve">Recently Issued Accounting Pronouncements </w:t>
      </w:r>
      <w:r>
        <w:rPr>
          <w:color w:val="000000"/>
          <w:shd w:fill="FFFFFF" w:val="clear"/>
        </w:rPr>
        <w:t xml:space="preserve">– </w:t>
      </w:r>
      <w:r>
        <w:rPr>
          <w:rFonts w:ascii="Times New Roman;sans-serif" w:hAnsi="Times New Roman;sans-serif"/>
          <w:b/>
          <w:i/>
          <w:color w:val="000000"/>
          <w:sz w:val="20"/>
          <w:shd w:fill="FFFFFF" w:val="clear"/>
        </w:rPr>
        <w:t>Adopted</w:t>
      </w:r>
    </w:p>
    <w:p>
      <w:pPr>
        <w:pStyle w:val="TextBody"/>
        <w:bidi w:val="0"/>
        <w:spacing w:lineRule="auto" w:line="288" w:before="120" w:after="120"/>
        <w:jc w:val="both"/>
        <w:rPr/>
      </w:pPr>
      <w:r>
        <w:rPr>
          <w:rFonts w:ascii="Times New Roman;sans-serif" w:hAnsi="Times New Roman;sans-serif"/>
          <w:b w:val="false"/>
          <w:color w:val="000000"/>
          <w:sz w:val="20"/>
        </w:rPr>
        <w:t xml:space="preserve">In November 2023, the FASB issued ASU 2023-07, Improvements to Reportable Segment Disclosures – Segment Reporting (Topic 280). The amendments to this standard require public entities to disclose more detailed information about their reportable segments’ significant expenses on an interim and annual basis. The amendments to this standard do not change how a public entity identifies its operating segments, aggregates those operating segments, or applies the quantitative thresholds to determine its reportable segments. The amendments to this standard apply to all public entities that are required to report segment information in accordance with Topic 280, Segment Reporting and are effective for fiscal years beginning after December 15, 2023, and interim periods within fiscal years beginning after December 15, 2024. The Company adopted this guidance for the year ending December 31, 2024 and subsequent interim periods. See Note 15. </w:t>
      </w:r>
      <w:r>
        <w:rPr>
          <w:rFonts w:ascii="Times New Roman;sans-serif" w:hAnsi="Times New Roman;sans-serif"/>
          <w:b w:val="false"/>
          <w:i/>
          <w:color w:val="000000"/>
          <w:sz w:val="20"/>
        </w:rPr>
        <w:t>Segment Reporting</w:t>
      </w:r>
      <w:r>
        <w:rPr>
          <w:color w:val="000000"/>
          <w:shd w:fill="FFFFFF" w:val="clear"/>
        </w:rPr>
        <w:t xml:space="preserve"> </w:t>
      </w:r>
      <w:r>
        <w:rPr>
          <w:rFonts w:ascii="Times New Roman;sans-serif" w:hAnsi="Times New Roman;sans-serif"/>
          <w:b w:val="false"/>
          <w:color w:val="000000"/>
          <w:sz w:val="20"/>
        </w:rPr>
        <w:t xml:space="preserve">for the new disclosures required by the standard. </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Recently Issued Accounting Pronouncements – Not Yet Adopted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Improvements to Income Tax Disclosures - Income Taxes (Topic 740). The amendments to this standard enhances the transparency and decision usefulness of income tax disclosures, primarily related to rate reconciliation and income taxes paid information as well as effectiveness of overall income tax disclosures. The new standard is effective for non-public companies, and public business entities that meet the definition of a smaller reporting company as defined by the SEC, for annual periods beginning after December 15, 2024. The Company is required to adopt the guidance for its 2025 annual report filed on Form 10-K, though early adoption is permitted. The Company is currently evaluating the impact of these amendments on its disclosures, but this standard update will not impact the Company's results of operations or financial position.</w:t>
      </w:r>
    </w:p>
    <w:p>
      <w:pPr>
        <w:pStyle w:val="TextBody"/>
        <w:bidi w:val="0"/>
        <w:spacing w:lineRule="auto" w:line="288" w:before="120" w:after="12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 xml:space="preserve">Income Statement - Reporting Comprehensive Income: Expense Disaggregation Disclosures (Subtopic 220-40). </w:t>
      </w:r>
      <w:r>
        <w:rPr>
          <w:rFonts w:ascii="Times New Roman;sans-serif" w:hAnsi="Times New Roman;sans-serif"/>
          <w:b w:val="false"/>
          <w:color w:val="000000"/>
          <w:sz w:val="20"/>
        </w:rPr>
        <w:t>This update requires entities to provide more detailed disclosures about the components of significant expense categories, enhancing the transparency and decision usefulness of financial statements. The amendments in this update are intended to provide investors with additional information about specific expense categories in the notes to the financial statements at interim and annual reporting periods. The updated standard is effective for annual periods beginning after December 15, 2026, and interim reporting periods thereafter, although early adoption is permitted. While we anticipate that the adoption of this standard will require additional disclosures, the Company is currently assessing the impact of the amendment to this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2.    Revenue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net sales by end market:</w:t>
      </w:r>
    </w:p>
    <w:tbl>
      <w:tblPr>
        <w:tblW w:w="5214"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268"/>
        <w:gridCol w:w="1009"/>
        <w:gridCol w:w="149"/>
        <w:gridCol w:w="149"/>
        <w:gridCol w:w="149"/>
        <w:gridCol w:w="149"/>
        <w:gridCol w:w="268"/>
        <w:gridCol w:w="886"/>
        <w:gridCol w:w="149"/>
        <w:gridCol w:w="109"/>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106,647 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61,962 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135,446 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net sales by geographic area:</w:t>
      </w:r>
    </w:p>
    <w:tbl>
      <w:tblPr>
        <w:tblW w:w="7029" w:type="dxa"/>
        <w:jc w:val="left"/>
        <w:tblInd w:w="0" w:type="dxa"/>
        <w:tblLayout w:type="fixed"/>
        <w:tblCellMar>
          <w:top w:w="28" w:type="dxa"/>
          <w:left w:w="28" w:type="dxa"/>
          <w:bottom w:w="28" w:type="dxa"/>
          <w:right w:w="28" w:type="dxa"/>
        </w:tblCellMar>
      </w:tblPr>
      <w:tblGrid>
        <w:gridCol w:w="1101"/>
        <w:gridCol w:w="971"/>
        <w:gridCol w:w="973"/>
        <w:gridCol w:w="109"/>
        <w:gridCol w:w="109"/>
        <w:gridCol w:w="109"/>
        <w:gridCol w:w="268"/>
        <w:gridCol w:w="1009"/>
        <w:gridCol w:w="149"/>
        <w:gridCol w:w="149"/>
        <w:gridCol w:w="149"/>
        <w:gridCol w:w="149"/>
        <w:gridCol w:w="268"/>
        <w:gridCol w:w="886"/>
        <w:gridCol w:w="149"/>
        <w:gridCol w:w="109"/>
        <w:gridCol w:w="109"/>
        <w:gridCol w:w="109"/>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127,656 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82,272 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America (outside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135,446 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Company’s contracts are for a period of less than one year; however, extended warranty contracts extend beyond one year. The timing of revenue recognition may differ from the time of invoicing to customers and these timing differences result in contract assets, or contract liabilities on the Company’s Consolidated Balance Sheets. Contract assets include amounts related to the contractual right to consideration for completed performance when the right to consideration is conditional. The Company records contract liabilities when cash payments are received or due in advance of performance. The fair value of noncash consideration of parts provided by customers is recorded in contract liabilities. Contract assets and contract liabilities are recognized at the contract level.</w:t>
      </w:r>
    </w:p>
    <w:tbl>
      <w:tblPr>
        <w:tblW w:w="10205" w:type="dxa"/>
        <w:jc w:val="left"/>
        <w:tblInd w:w="0" w:type="dxa"/>
        <w:tblLayout w:type="fixed"/>
        <w:tblCellMar>
          <w:top w:w="28" w:type="dxa"/>
          <w:left w:w="28" w:type="dxa"/>
          <w:bottom w:w="28" w:type="dxa"/>
          <w:right w:w="28" w:type="dxa"/>
        </w:tblCellMar>
      </w:tblPr>
      <w:tblGrid>
        <w:gridCol w:w="1529"/>
        <w:gridCol w:w="1324"/>
        <w:gridCol w:w="1327"/>
        <w:gridCol w:w="109"/>
        <w:gridCol w:w="109"/>
        <w:gridCol w:w="109"/>
        <w:gridCol w:w="316"/>
        <w:gridCol w:w="1046"/>
        <w:gridCol w:w="176"/>
        <w:gridCol w:w="109"/>
        <w:gridCol w:w="109"/>
        <w:gridCol w:w="109"/>
        <w:gridCol w:w="356"/>
        <w:gridCol w:w="1175"/>
        <w:gridCol w:w="197"/>
        <w:gridCol w:w="109"/>
        <w:gridCol w:w="109"/>
        <w:gridCol w:w="109"/>
        <w:gridCol w:w="349"/>
        <w:gridCol w:w="1151"/>
        <w:gridCol w:w="278"/>
      </w:tblGrid>
      <w:tr>
        <w:trPr/>
        <w:tc>
          <w:tcPr>
            <w:tcW w:w="152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4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Short-term contract assets (included in </w:t>
            </w:r>
            <w:r>
              <w:rPr>
                <w:rFonts w:ascii="Times New Roman;sans-serif" w:hAnsi="Times New Roman;sans-serif"/>
                <w:b w:val="false"/>
                <w:i/>
                <w:color w:val="000000"/>
                <w:sz w:val="18"/>
              </w:rPr>
              <w:t>Contract assets</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r>
      <w:tr>
        <w:trPr/>
        <w:tc>
          <w:tcPr>
            <w:tcW w:w="41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Short-term contract liabilities (included in </w:t>
            </w:r>
            <w:r>
              <w:rPr>
                <w:rFonts w:ascii="Times New Roman;sans-serif" w:hAnsi="Times New Roman;sans-serif"/>
                <w:b w:val="false"/>
                <w:i/>
                <w:color w:val="000000"/>
                <w:sz w:val="18"/>
              </w:rPr>
              <w:t>Other accrued liabilities</w:t>
            </w: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(10,184)</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Long-term contract liabilities (included in </w:t>
            </w:r>
            <w:r>
              <w:rPr>
                <w:rFonts w:ascii="Times New Roman;sans-serif" w:hAnsi="Times New Roman;sans-serif"/>
                <w:b w:val="false"/>
                <w:i/>
                <w:color w:val="000000"/>
                <w:sz w:val="18"/>
              </w:rPr>
              <w:t>Noncurrent contract liabilities</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contract assets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9,401 </w:t>
            </w:r>
          </w:p>
        </w:tc>
        <w:tc>
          <w:tcPr>
            <w:tcW w:w="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10,412 </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ans-serif" w:hAnsi="Times New Roman;sans-serif"/>
          <w:b w:val="false"/>
          <w:color w:val="000000"/>
          <w:sz w:val="20"/>
          <w:shd w:fill="FFFFFF" w:val="clear"/>
        </w:rPr>
        <w:t>During the three months ended March 31, 2025 and 2024, the Company recognized $6.8 million and $0.4 million, respectively, of revenue upon satisfaction of performance obligations related to amounts that were included in the net contract liabilities balan</w:t>
      </w:r>
      <w:r>
        <w:rPr>
          <w:rFonts w:ascii="Times New Roman;sans-serif" w:hAnsi="Times New Roman;sans-serif"/>
          <w:b w:val="false"/>
          <w:color w:val="000000"/>
          <w:sz w:val="20"/>
        </w:rPr>
        <w:t xml:space="preserve">ce as of December 31, 2024 and 2023, respectively.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practical expedient to not disclose remaining performance obligations that have expected original durations of one year or less. For performance obligations that extend beyond one year, the Company had $2.4 million of remaining performance obligations as of March 31, 2025, primarily related to extended warranties. The Company expects to recognize revenue related to these remaining performance obligations of approximately $0.5 million in 2025, $0.2 million in 2026, $1.5 million in 2027, $0.2 million in 2028, and less than $0.1 million in 2029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ind w:left="0" w:right="0" w:hanging="1080"/>
        <w:jc w:val="both"/>
        <w:rPr/>
      </w:pPr>
      <w:r>
        <w:rPr>
          <w:rFonts w:ascii="Times New Roman;sans-serif" w:hAnsi="Times New Roman;sans-serif"/>
          <w:b/>
          <w:color w:val="000000"/>
          <w:sz w:val="20"/>
        </w:rPr>
        <w:t>Note 3.    </w:t>
      </w:r>
      <w:r>
        <w:rPr>
          <w:rFonts w:ascii="Times New Roman;sans-serif" w:hAnsi="Times New Roman;sans-serif"/>
          <w:b/>
          <w:color w:val="000000"/>
          <w:sz w:val="20"/>
          <w:shd w:fill="FFFFFF" w:val="clear"/>
        </w:rPr>
        <w:t>Weichai Transactions</w:t>
      </w: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Weichai Shareholder’s Loan Agreements</w:t>
      </w:r>
    </w:p>
    <w:p>
      <w:pPr>
        <w:pStyle w:val="TextBody"/>
        <w:bidi w:val="0"/>
        <w:spacing w:lineRule="auto" w:line="268" w:before="0" w:after="0"/>
        <w:jc w:val="both"/>
        <w:rPr/>
      </w:pPr>
      <w:r>
        <w:rPr>
          <w:rFonts w:ascii="Times New Roman;sans-serif" w:hAnsi="Times New Roman;sans-serif"/>
          <w:b w:val="false"/>
          <w:color w:val="000000"/>
          <w:sz w:val="20"/>
        </w:rPr>
        <w:t xml:space="preserve">The Company is party to a </w:t>
      </w:r>
      <w:r>
        <w:rPr>
          <w:rFonts w:ascii="Times New Roman;sans-serif" w:hAnsi="Times New Roman;sans-serif"/>
          <w:b w:val="false"/>
          <w:color w:val="000000"/>
          <w:sz w:val="20"/>
          <w:shd w:fill="FFFFFF" w:val="clear"/>
        </w:rPr>
        <w:t xml:space="preserve">$105.0 million </w:t>
      </w:r>
      <w:r>
        <w:rPr>
          <w:rFonts w:ascii="Times New Roman;sans-serif" w:hAnsi="Times New Roman;sans-serif"/>
          <w:b w:val="false"/>
          <w:color w:val="000000"/>
          <w:sz w:val="20"/>
        </w:rPr>
        <w:t xml:space="preserve">SLA with Weichai. See additional discussion of this debt agreement in Note 6. </w:t>
      </w:r>
      <w:r>
        <w:rPr>
          <w:rFonts w:ascii="Times New Roman;sans-serif" w:hAnsi="Times New Roman;sans-serif"/>
          <w:b w:val="false"/>
          <w:i/>
          <w:color w:val="000000"/>
          <w:sz w:val="20"/>
        </w:rPr>
        <w:t xml:space="preserve">Debt. </w:t>
      </w: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Weichai Collaboration Arrangement and Other Related Party Transactions</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and Weichai executed a strategic collaboration agreement (the “Collaboration Agreement”) in March 2017 in order to achieve their respective strategic objectives and enhance the strategic cooperation alliance to share experiences, expertise and resources. Among other things, the Collaboration Agreement established a joint steering committee, permitted Weichai to </w:t>
      </w:r>
      <w:r>
        <w:rPr>
          <w:rFonts w:ascii="Times New Roman;sans-serif" w:hAnsi="Times New Roman;sans-serif"/>
          <w:b w:val="false"/>
          <w:color w:val="000000"/>
          <w:sz w:val="20"/>
          <w:shd w:fill="FFFFFF" w:val="clear"/>
        </w:rPr>
        <w:t>select a limited number of certain technical, marketing, sales, procurement and finance personnel to work</w:t>
      </w:r>
      <w:r>
        <w:rPr>
          <w:color w:val="000000"/>
        </w:rPr>
        <w:t xml:space="preserve"> </w:t>
      </w:r>
      <w:r>
        <w:rPr>
          <w:rFonts w:ascii="Times New Roman;sans-serif" w:hAnsi="Times New Roman;sans-serif"/>
          <w:b w:val="false"/>
          <w:color w:val="000000"/>
          <w:sz w:val="20"/>
        </w:rPr>
        <w:t xml:space="preserve">at the Company and established several collaborations related to stationary natural-gas applications and Weichai diesel engines. The Collaboration Agreement provided for the steering committee to create various sub-committees with operating roles and otherwise governs the treatment of intellectual property of parties prior to the collaboration and the intellectual property developed during the collaboration. </w:t>
      </w:r>
      <w:r>
        <w:rPr>
          <w:rFonts w:ascii="Times New Roman;sans-serif" w:hAnsi="Times New Roman;sans-serif"/>
          <w:b w:val="false"/>
          <w:color w:val="000000"/>
          <w:sz w:val="20"/>
          <w:shd w:fill="FFFFFF" w:val="clear"/>
        </w:rPr>
        <w:t>On March 22, 2023, the Collaboration Agreement was extended for an additional term of three years.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The Company evaluates whether an arrangement is a collaborative arrangement at its inception ba</w:t>
      </w:r>
      <w:r>
        <w:rPr>
          <w:rFonts w:ascii="Times New Roman;sans-serif" w:hAnsi="Times New Roman;sans-serif"/>
          <w:b w:val="false"/>
          <w:color w:val="000000"/>
          <w:sz w:val="20"/>
        </w:rPr>
        <w:t>sed on the facts and circumstances specific to the arrangement. The Company also reevaluates whether an arrangement qualifies or continues to qualify as a collaborative arrangement whenever there is a change in either the roles of the participants or the participants’ exposure to significant risks and rewards dependent on the ultimate commercial success of the endeavor. For those collaborative arrangements where it is determined that the Company is the principal participant, costs incurred and revenue generated from third parties are recorded on a gross basis in the financial statement</w:t>
      </w:r>
      <w:r>
        <w:rPr>
          <w:rFonts w:ascii="Times New Roman;sans-serif" w:hAnsi="Times New Roman;sans-serif"/>
          <w:b w:val="false"/>
          <w:color w:val="000000"/>
          <w:sz w:val="20"/>
          <w:shd w:fill="FFFFFF" w:val="clear"/>
        </w:rPr>
        <w:t>s. Purchases of inventory from Weichai were $11.5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$3.2 million for the three months ended </w:t>
      </w:r>
      <w:r>
        <w:rPr>
          <w:rFonts w:ascii="Times New Roman;sans-serif" w:hAnsi="Times New Roman;sans-serif"/>
          <w:b w:val="false"/>
          <w:color w:val="000000"/>
          <w:sz w:val="20"/>
        </w:rPr>
        <w:t xml:space="preserve">March 31, 2025 and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respectively.</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In January 2022, PSI </w:t>
      </w:r>
      <w:r>
        <w:rPr>
          <w:rFonts w:ascii="Times New Roman;sans-serif" w:hAnsi="Times New Roman;sans-serif"/>
          <w:b w:val="false"/>
          <w:color w:val="000000"/>
          <w:sz w:val="20"/>
        </w:rPr>
        <w:t xml:space="preserve">and Societe Internationale des Moteurs Baudouin (“Baudouin”), a subsidiary of Weichai, </w:t>
      </w:r>
      <w:r>
        <w:rPr>
          <w:rFonts w:ascii="Times New Roman;sans-serif" w:hAnsi="Times New Roman;sans-serif"/>
          <w:b w:val="false"/>
          <w:color w:val="000000"/>
          <w:sz w:val="20"/>
          <w:shd w:fill="FFFFFF" w:val="clear"/>
        </w:rPr>
        <w:t>entered</w:t>
      </w:r>
      <w:r>
        <w:rPr>
          <w:color w:val="000000"/>
        </w:rPr>
        <w:t xml:space="preserve"> </w:t>
      </w:r>
      <w:r>
        <w:rPr>
          <w:rFonts w:ascii="Times New Roman;sans-serif" w:hAnsi="Times New Roman;sans-serif"/>
          <w:b w:val="false"/>
          <w:color w:val="000000"/>
          <w:sz w:val="20"/>
        </w:rPr>
        <w:t>into an international distribution and sales agreement that enables Baudouin to bring PSI’s power systems line of products into the European, Middle Eastern, and African markets. In addition to sales, Baudouin will manage service, support, warranty claims, and technical requests. Refer to the Consolidated Balance Sheets and Statements of Income for detailed related party information.</w:t>
      </w:r>
    </w:p>
    <w:p>
      <w:pPr>
        <w:pStyle w:val="TextBody"/>
        <w:bidi w:val="0"/>
        <w:spacing w:lineRule="auto" w:line="288" w:before="120" w:after="120"/>
        <w:jc w:val="both"/>
        <w:rPr/>
      </w:pPr>
      <w:r>
        <w:rPr>
          <w:rFonts w:ascii="Times New Roman;sans-serif" w:hAnsi="Times New Roman;sans-serif"/>
          <w:b w:val="false"/>
          <w:color w:val="000000"/>
          <w:sz w:val="20"/>
        </w:rPr>
        <w:t>See Note 14.</w:t>
      </w:r>
      <w:r>
        <w:rPr>
          <w:color w:val="000000"/>
        </w:rPr>
        <w:t xml:space="preserve"> </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for information regarding the purchase agreement with Shandong Weichai Import &amp; Export Corporation, an affiliate of Weichai (“SWIEC”), and a manufacture of record (“MOR”) agreement with Weichai.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4.    Property, Plant and Equipment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by type were as follows:</w:t>
      </w:r>
    </w:p>
    <w:tbl>
      <w:tblPr>
        <w:tblW w:w="7971" w:type="dxa"/>
        <w:jc w:val="left"/>
        <w:tblInd w:w="0" w:type="dxa"/>
        <w:tblLayout w:type="fixed"/>
        <w:tblCellMar>
          <w:top w:w="28" w:type="dxa"/>
          <w:left w:w="28" w:type="dxa"/>
          <w:bottom w:w="28" w:type="dxa"/>
          <w:right w:w="28" w:type="dxa"/>
        </w:tblCellMar>
      </w:tblPr>
      <w:tblGrid>
        <w:gridCol w:w="1280"/>
        <w:gridCol w:w="1128"/>
        <w:gridCol w:w="1131"/>
        <w:gridCol w:w="109"/>
        <w:gridCol w:w="109"/>
        <w:gridCol w:w="109"/>
        <w:gridCol w:w="358"/>
        <w:gridCol w:w="1182"/>
        <w:gridCol w:w="199"/>
        <w:gridCol w:w="109"/>
        <w:gridCol w:w="109"/>
        <w:gridCol w:w="109"/>
        <w:gridCol w:w="401"/>
        <w:gridCol w:w="1323"/>
        <w:gridCol w:w="315"/>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8,503 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8,352 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52,399 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property, plant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59,449 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(45,018)</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(44,043)</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15,406 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400" w:after="120"/>
        <w:jc w:val="both"/>
        <w:rPr>
          <w:rFonts w:ascii="Times New Roman;sans-serif" w:hAnsi="Times New Roman;sans-serif"/>
          <w:b/>
          <w:color w:val="000000"/>
          <w:sz w:val="20"/>
        </w:rPr>
      </w:pPr>
      <w:r>
        <w:rPr>
          <w:rFonts w:ascii="Times New Roman;sans-serif" w:hAnsi="Times New Roman;sans-serif"/>
          <w:b/>
          <w:color w:val="000000"/>
          <w:sz w:val="20"/>
        </w:rPr>
        <w:t>Note 5.    Goodwill and Other Intangibles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goodwill at both March 31, 2025 and December 31, 2024 was $29.8 million. Accumulated impairment losses at both March 31, 2025 and December 31, 2024 were $11.6 million.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intangible assets are as follows:</w:t>
      </w:r>
    </w:p>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(32,882)</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(35,193)</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(32,589)</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(34,886)</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6.    Debt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debt consisted of the following:</w:t>
      </w:r>
    </w:p>
    <w:tbl>
      <w:tblPr>
        <w:tblW w:w="10205" w:type="dxa"/>
        <w:jc w:val="left"/>
        <w:tblInd w:w="0" w:type="dxa"/>
        <w:tblLayout w:type="fixed"/>
        <w:tblCellMar>
          <w:top w:w="28" w:type="dxa"/>
          <w:left w:w="28" w:type="dxa"/>
          <w:bottom w:w="28" w:type="dxa"/>
          <w:right w:w="28" w:type="dxa"/>
        </w:tblCellMar>
      </w:tblPr>
      <w:tblGrid>
        <w:gridCol w:w="1518"/>
        <w:gridCol w:w="1321"/>
        <w:gridCol w:w="1325"/>
        <w:gridCol w:w="109"/>
        <w:gridCol w:w="109"/>
        <w:gridCol w:w="109"/>
        <w:gridCol w:w="245"/>
        <w:gridCol w:w="921"/>
        <w:gridCol w:w="135"/>
        <w:gridCol w:w="214"/>
        <w:gridCol w:w="214"/>
        <w:gridCol w:w="216"/>
        <w:gridCol w:w="109"/>
        <w:gridCol w:w="109"/>
        <w:gridCol w:w="109"/>
        <w:gridCol w:w="278"/>
        <w:gridCol w:w="1048"/>
        <w:gridCol w:w="155"/>
        <w:gridCol w:w="215"/>
        <w:gridCol w:w="215"/>
        <w:gridCol w:w="214"/>
        <w:gridCol w:w="383"/>
        <w:gridCol w:w="383"/>
        <w:gridCol w:w="551"/>
      </w:tblGrid>
      <w:tr>
        <w:trPr/>
        <w:tc>
          <w:tcPr>
            <w:tcW w:w="15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Rate </w:t>
            </w:r>
            <w:r>
              <w:rPr>
                <w:rFonts w:ascii="Times New Roman;sans-serif" w:hAnsi="Times New Roman;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Rate </w:t>
            </w:r>
            <w:r>
              <w:rPr>
                <w:rFonts w:ascii="Times New Roman;sans-serif" w:hAnsi="Times New Roman;sans-serif"/>
                <w:b/>
                <w:color w:val="000000"/>
                <w:sz w:val="12"/>
              </w:rPr>
              <w:t>(2)</w:t>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Short-term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Revolving Credit Agreement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6.52%</w:t>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30, 2025</w:t>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8.49%</w:t>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31, 2025</w:t>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long-term debt and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Unamortized financing costs and deferred fees on the new Revolving Credit Agreement are not presented in the above table as they are classified in </w:t>
            </w:r>
            <w:r>
              <w:rPr>
                <w:rFonts w:ascii="Times New Roman;sans-serif" w:hAnsi="Times New Roman;sans-serif"/>
                <w:b w:val="false"/>
                <w:i/>
                <w:color w:val="000000"/>
                <w:sz w:val="16"/>
              </w:rPr>
              <w:t>Prepaid expenses</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other current assets</w:t>
            </w:r>
            <w:r>
              <w:rPr>
                <w:color w:val="000000"/>
              </w:rPr>
              <w:t xml:space="preserve"> </w:t>
            </w:r>
            <w:r>
              <w:rPr>
                <w:rFonts w:ascii="Times New Roman;sans-serif" w:hAnsi="Times New Roman;sans-serif"/>
                <w:b w:val="false"/>
                <w:color w:val="000000"/>
                <w:sz w:val="16"/>
              </w:rPr>
              <w:t xml:space="preserve">on the Consolidated Balance Sheets. Unamortized debt issuance costs, were </w:t>
            </w:r>
            <w:r>
              <w:rPr>
                <w:rFonts w:ascii="Times New Roman;sans-serif" w:hAnsi="Times New Roman;sans-serif"/>
                <w:b w:val="false"/>
                <w:color w:val="000000"/>
                <w:sz w:val="16"/>
                <w:shd w:fill="FFFFFF" w:val="clear"/>
              </w:rPr>
              <w:t>$0.3 million</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color w:val="000000"/>
                <w:sz w:val="16"/>
                <w:shd w:fill="FFFFFF" w:val="clear"/>
              </w:rPr>
              <w:t>$0.4 million</w:t>
            </w:r>
            <w:r>
              <w:rPr>
                <w:color w:val="000000"/>
              </w:rPr>
              <w:t xml:space="preserve"> </w:t>
            </w:r>
            <w:r>
              <w:rPr>
                <w:rFonts w:ascii="Times New Roman;sans-serif" w:hAnsi="Times New Roman;sans-serif"/>
                <w:b w:val="false"/>
                <w:color w:val="000000"/>
                <w:sz w:val="16"/>
              </w:rPr>
              <w:t>as of March 31, 2025 and December 31, 2024, respectively.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Includes the weighted average interest rate.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Finance lease obligations are a non-cash financing activity. See Note 8. Leases. </w:t>
            </w:r>
          </w:p>
        </w:tc>
      </w:tr>
    </w:tbl>
    <w:p>
      <w:pPr>
        <w:pStyle w:val="TextBody"/>
        <w:bidi w:val="0"/>
        <w:spacing w:lineRule="auto" w:line="288" w:before="180" w:after="120"/>
        <w:ind w:left="0" w:right="0" w:hanging="3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Revolving Credit Agreement and Shareholder’s Loan Agreement</w:t>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On August 30, 2024, the Company closed on its new Uncommitted Revolving Credit Agreement </w:t>
      </w:r>
      <w:r>
        <w:rPr>
          <w:rFonts w:ascii="Times New Roman;sans-serif" w:hAnsi="Times New Roman;sans-serif"/>
          <w:b w:val="false"/>
          <w:color w:val="000000"/>
          <w:sz w:val="20"/>
        </w:rPr>
        <w:t>(the “Revolving Credit Agreement”),</w:t>
      </w:r>
      <w:r>
        <w:rPr>
          <w:color w:val="000000"/>
          <w:shd w:fill="FFFFFF" w:val="clear"/>
        </w:rPr>
        <w:t xml:space="preserve"> </w:t>
      </w:r>
      <w:r>
        <w:rPr>
          <w:rFonts w:ascii="Times New Roman;sans-serif" w:hAnsi="Times New Roman;sans-serif"/>
          <w:b w:val="false"/>
          <w:color w:val="000000"/>
          <w:sz w:val="20"/>
          <w:shd w:fill="FFFFFF" w:val="clear"/>
        </w:rPr>
        <w:t>with Standard Chartered Bank (“</w:t>
      </w:r>
      <w:r>
        <w:rPr>
          <w:rFonts w:ascii="Times New Roman;sans-serif" w:hAnsi="Times New Roman;sans-serif"/>
          <w:b w:val="false"/>
          <w:color w:val="000000"/>
          <w:sz w:val="20"/>
        </w:rPr>
        <w:t>Standard Chartered</w:t>
      </w:r>
      <w:r>
        <w:rPr>
          <w:color w:val="000000"/>
          <w:shd w:fill="FFFFFF" w:val="clear"/>
        </w:rPr>
        <w:t>”</w:t>
      </w:r>
      <w:r>
        <w:rPr>
          <w:rFonts w:ascii="Times New Roman;sans-serif" w:hAnsi="Times New Roman;sans-serif"/>
          <w:b w:val="false"/>
          <w:color w:val="000000"/>
          <w:sz w:val="20"/>
          <w:shd w:fill="FFFFFF" w:val="clear"/>
        </w:rPr>
        <w:t xml:space="preserve">) and two other lenders. The </w:t>
      </w:r>
      <w:r>
        <w:rPr>
          <w:rFonts w:ascii="Times New Roman;sans-serif" w:hAnsi="Times New Roman;sans-serif"/>
          <w:b w:val="false"/>
          <w:color w:val="000000"/>
          <w:sz w:val="20"/>
        </w:rPr>
        <w:t xml:space="preserve">Revolving Credit Agreement </w:t>
      </w:r>
      <w:r>
        <w:rPr>
          <w:rFonts w:ascii="Times New Roman;sans-serif" w:hAnsi="Times New Roman;sans-serif"/>
          <w:b w:val="false"/>
          <w:color w:val="000000"/>
          <w:sz w:val="20"/>
          <w:shd w:fill="FFFFFF" w:val="clear"/>
        </w:rPr>
        <w:t xml:space="preserve">allows the Company to borrow up to </w:t>
      </w:r>
      <w:r>
        <w:rPr>
          <w:rFonts w:ascii="Times New Roman;sans-serif" w:hAnsi="Times New Roman;sans-serif"/>
          <w:b w:val="false"/>
          <w:color w:val="000000"/>
          <w:sz w:val="20"/>
        </w:rPr>
        <w:t>$120.0 million</w:t>
      </w:r>
      <w:r>
        <w:rPr>
          <w:color w:val="000000"/>
          <w:shd w:fill="FFFFFF" w:val="clear"/>
        </w:rPr>
        <w:t xml:space="preserve"> </w:t>
      </w:r>
      <w:r>
        <w:rPr>
          <w:rFonts w:ascii="Times New Roman;sans-serif" w:hAnsi="Times New Roman;sans-serif"/>
          <w:b w:val="false"/>
          <w:color w:val="000000"/>
          <w:sz w:val="20"/>
          <w:shd w:fill="FFFFFF" w:val="clear"/>
        </w:rPr>
        <w:t xml:space="preserve">and has a maturity date of </w:t>
      </w:r>
      <w:r>
        <w:rPr>
          <w:rFonts w:ascii="Times New Roman;sans-serif" w:hAnsi="Times New Roman;sans-serif"/>
          <w:b w:val="false"/>
          <w:color w:val="000000"/>
          <w:sz w:val="20"/>
        </w:rPr>
        <w:t>August 30, 2025</w:t>
      </w:r>
      <w:r>
        <w:rPr>
          <w:rFonts w:ascii="Times New Roman;sans-serif" w:hAnsi="Times New Roman;sans-serif"/>
          <w:b w:val="false"/>
          <w:color w:val="000000"/>
          <w:sz w:val="20"/>
          <w:shd w:fill="FFFFFF" w:val="clear"/>
        </w:rPr>
        <w:t xml:space="preserve">. The </w:t>
      </w:r>
      <w:r>
        <w:rPr>
          <w:rFonts w:ascii="Times New Roman;sans-serif" w:hAnsi="Times New Roman;sans-serif"/>
          <w:b w:val="false"/>
          <w:color w:val="000000"/>
          <w:sz w:val="20"/>
        </w:rPr>
        <w:t>Revolving Credit Agreement</w:t>
      </w:r>
      <w:r>
        <w:rPr>
          <w:color w:val="000000"/>
          <w:shd w:fill="FFFFFF" w:val="clear"/>
        </w:rPr>
        <w:t xml:space="preserve"> </w:t>
      </w:r>
      <w:r>
        <w:rPr>
          <w:rFonts w:ascii="Times New Roman;sans-serif" w:hAnsi="Times New Roman;sans-serif"/>
          <w:b w:val="false"/>
          <w:color w:val="000000"/>
          <w:sz w:val="20"/>
          <w:shd w:fill="FFFFFF" w:val="clear"/>
        </w:rPr>
        <w:t xml:space="preserve">is subject to customary events of default and covenants, including minimum consolidated EBITDA and Consolidated Interest Coverage Ratio covenants for the third and fourth quarters of 2024 and the first and second quarters of 2025. Borrowings under the </w:t>
      </w:r>
      <w:r>
        <w:rPr>
          <w:rFonts w:ascii="Times New Roman;sans-serif" w:hAnsi="Times New Roman;sans-serif"/>
          <w:b w:val="false"/>
          <w:color w:val="000000"/>
          <w:sz w:val="20"/>
        </w:rPr>
        <w:t>Revolving Credit Agreement</w:t>
      </w:r>
      <w:r>
        <w:rPr>
          <w:color w:val="000000"/>
          <w:shd w:fill="FFFFFF" w:val="clear"/>
        </w:rPr>
        <w:t xml:space="preserve"> </w:t>
      </w:r>
      <w:r>
        <w:rPr>
          <w:rFonts w:ascii="Times New Roman;sans-serif" w:hAnsi="Times New Roman;sans-serif"/>
          <w:b w:val="false"/>
          <w:color w:val="000000"/>
          <w:sz w:val="20"/>
          <w:shd w:fill="FFFFFF" w:val="clear"/>
        </w:rPr>
        <w:t xml:space="preserve">will incur interest at the applicable </w:t>
      </w:r>
      <w:r>
        <w:rPr>
          <w:rFonts w:ascii="Times New Roman;sans-serif" w:hAnsi="Times New Roman;sans-serif"/>
          <w:b w:val="false"/>
          <w:color w:val="000000"/>
          <w:sz w:val="20"/>
        </w:rPr>
        <w:t>Secured Overnight Financing Rate (“SOFR”)</w:t>
      </w:r>
      <w:r>
        <w:rPr>
          <w:color w:val="000000"/>
          <w:shd w:fill="FFFFFF" w:val="clear"/>
        </w:rPr>
        <w:t xml:space="preserve"> </w:t>
      </w:r>
      <w:r>
        <w:rPr>
          <w:rFonts w:ascii="Times New Roman;sans-serif" w:hAnsi="Times New Roman;sans-serif"/>
          <w:b w:val="false"/>
          <w:color w:val="000000"/>
          <w:sz w:val="20"/>
          <w:shd w:fill="FFFFFF" w:val="clear"/>
        </w:rPr>
        <w:t xml:space="preserve">plus </w:t>
      </w:r>
      <w:r>
        <w:rPr>
          <w:rFonts w:ascii="Times New Roman;sans-serif" w:hAnsi="Times New Roman;sans-serif"/>
          <w:b w:val="false"/>
          <w:color w:val="000000"/>
          <w:sz w:val="20"/>
        </w:rPr>
        <w:t>2.00%</w:t>
      </w:r>
      <w:r>
        <w:rPr>
          <w:color w:val="000000"/>
          <w:shd w:fill="FFFFFF" w:val="clear"/>
        </w:rPr>
        <w:t xml:space="preserve"> </w:t>
      </w:r>
      <w:r>
        <w:rPr>
          <w:rFonts w:ascii="Times New Roman;sans-serif" w:hAnsi="Times New Roman;sans-serif"/>
          <w:b w:val="false"/>
          <w:color w:val="000000"/>
          <w:sz w:val="20"/>
          <w:shd w:fill="FFFFFF" w:val="clear"/>
        </w:rPr>
        <w:t xml:space="preserve">per annum. The obligations under the </w:t>
      </w:r>
      <w:r>
        <w:rPr>
          <w:rFonts w:ascii="Times New Roman;sans-serif" w:hAnsi="Times New Roman;sans-serif"/>
          <w:b w:val="false"/>
          <w:color w:val="000000"/>
          <w:sz w:val="20"/>
        </w:rPr>
        <w:t>Revolving Credit Agreement</w:t>
      </w:r>
      <w:r>
        <w:rPr>
          <w:color w:val="000000"/>
          <w:shd w:fill="FFFFFF" w:val="clear"/>
        </w:rPr>
        <w:t xml:space="preserve"> </w:t>
      </w:r>
      <w:r>
        <w:rPr>
          <w:rFonts w:ascii="Times New Roman;sans-serif" w:hAnsi="Times New Roman;sans-serif"/>
          <w:b w:val="false"/>
          <w:color w:val="000000"/>
          <w:sz w:val="20"/>
          <w:shd w:fill="FFFFFF" w:val="clear"/>
        </w:rPr>
        <w:t xml:space="preserve">are unconditionally guaranteed, on a joint and several basis, by certain wholly-owned, existing and subsequently acquired or formed direct and indirect subsidiaries of the Company, subject to customary exceptions. The obligations under the </w:t>
      </w:r>
      <w:r>
        <w:rPr>
          <w:rFonts w:ascii="Times New Roman;sans-serif" w:hAnsi="Times New Roman;sans-serif"/>
          <w:b w:val="false"/>
          <w:color w:val="000000"/>
          <w:sz w:val="20"/>
        </w:rPr>
        <w:t>Revolving Credit Agreement</w:t>
      </w:r>
      <w:r>
        <w:rPr>
          <w:color w:val="000000"/>
          <w:shd w:fill="FFFFFF" w:val="clear"/>
        </w:rPr>
        <w:t xml:space="preserve"> </w:t>
      </w:r>
      <w:r>
        <w:rPr>
          <w:rFonts w:ascii="Times New Roman;sans-serif" w:hAnsi="Times New Roman;sans-serif"/>
          <w:b w:val="false"/>
          <w:color w:val="000000"/>
          <w:sz w:val="20"/>
          <w:shd w:fill="FFFFFF" w:val="clear"/>
        </w:rPr>
        <w:t xml:space="preserve">are secured by substantially all assets of the Company and the Company’s wholly-owned subsidiaries. In addition, the Company paid fees of $0.6 million related to the Revolving Credit Agreement which are deferred and amortized over the term of the Revolving Credit Agreement. </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As part of the closing of the </w:t>
      </w:r>
      <w:r>
        <w:rPr>
          <w:rFonts w:ascii="Times New Roman;sans-serif" w:hAnsi="Times New Roman;sans-serif"/>
          <w:b w:val="false"/>
          <w:color w:val="000000"/>
          <w:sz w:val="20"/>
        </w:rPr>
        <w:t>Revolving Credit Agreement</w:t>
      </w:r>
      <w:r>
        <w:rPr>
          <w:rFonts w:ascii="Times New Roman;sans-serif" w:hAnsi="Times New Roman;sans-serif"/>
          <w:b w:val="false"/>
          <w:color w:val="000000"/>
          <w:sz w:val="20"/>
          <w:shd w:fill="FFFFFF" w:val="clear"/>
        </w:rPr>
        <w:t xml:space="preserve">, the Company made an initial draw in the amount of </w:t>
      </w:r>
      <w:r>
        <w:rPr>
          <w:rFonts w:ascii="Times New Roman;sans-serif" w:hAnsi="Times New Roman;sans-serif"/>
          <w:b w:val="false"/>
          <w:color w:val="000000"/>
          <w:sz w:val="20"/>
        </w:rPr>
        <w:t>$100.0 million</w:t>
      </w:r>
      <w:r>
        <w:rPr>
          <w:rFonts w:ascii="Times New Roman;sans-serif" w:hAnsi="Times New Roman;sans-serif"/>
          <w:b w:val="false"/>
          <w:color w:val="000000"/>
          <w:sz w:val="20"/>
          <w:shd w:fill="FFFFFF" w:val="clear"/>
        </w:rPr>
        <w:t xml:space="preserve">. The Company utilized the amount drawn under the </w:t>
      </w:r>
      <w:r>
        <w:rPr>
          <w:rFonts w:ascii="Times New Roman;sans-serif" w:hAnsi="Times New Roman;sans-serif"/>
          <w:b w:val="false"/>
          <w:color w:val="000000"/>
          <w:sz w:val="20"/>
        </w:rPr>
        <w:t>Revolving Credit Agreement</w:t>
      </w:r>
      <w:r>
        <w:rPr>
          <w:color w:val="000000"/>
          <w:shd w:fill="FFFFFF" w:val="clear"/>
        </w:rPr>
        <w:t xml:space="preserve"> </w:t>
      </w:r>
      <w:r>
        <w:rPr>
          <w:rFonts w:ascii="Times New Roman;sans-serif" w:hAnsi="Times New Roman;sans-serif"/>
          <w:b w:val="false"/>
          <w:color w:val="000000"/>
          <w:sz w:val="20"/>
          <w:shd w:fill="FFFFFF" w:val="clear"/>
        </w:rPr>
        <w:t>(i) to repay the outstanding balance of approximately $40.0 million under the Company’s Fourth Amended and Restated Uncommitted Revolving Credit Agreement, dated March 22, 2024, by and among the Company and Standard Chartered; and (ii) to prepay approximately $60.0 million under previous shareholder loan agreements between PSI and Weichai. As of March 31, 2025, the Company had $95.0 million outstanding under the Revolving Credit Agreement. See further discussion below.</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In connection with the </w:t>
      </w:r>
      <w:r>
        <w:rPr>
          <w:rFonts w:ascii="Times New Roman;sans-serif" w:hAnsi="Times New Roman;sans-serif"/>
          <w:b w:val="false"/>
          <w:color w:val="000000"/>
          <w:sz w:val="20"/>
        </w:rPr>
        <w:t>Revolving Credit Agreement</w:t>
      </w:r>
      <w:r>
        <w:rPr>
          <w:rFonts w:ascii="Times New Roman;sans-serif" w:hAnsi="Times New Roman;sans-serif"/>
          <w:b w:val="false"/>
          <w:color w:val="000000"/>
          <w:sz w:val="20"/>
          <w:shd w:fill="FFFFFF" w:val="clear"/>
        </w:rPr>
        <w:t xml:space="preserve">, on August 30, 2024, the Company also entered into a new </w:t>
      </w:r>
      <w:r>
        <w:rPr>
          <w:rFonts w:ascii="Times New Roman;sans-serif" w:hAnsi="Times New Roman;sans-serif"/>
          <w:b w:val="false"/>
          <w:color w:val="000000"/>
          <w:sz w:val="20"/>
        </w:rPr>
        <w:t>Shareholder’s Loan Agreement (the “SLA”)</w:t>
      </w:r>
      <w:r>
        <w:rPr>
          <w:color w:val="000000"/>
          <w:shd w:fill="FFFFFF" w:val="clear"/>
        </w:rPr>
        <w:t xml:space="preserve"> </w:t>
      </w:r>
      <w:r>
        <w:rPr>
          <w:rFonts w:ascii="Times New Roman;sans-serif" w:hAnsi="Times New Roman;sans-serif"/>
          <w:b w:val="false"/>
          <w:color w:val="000000"/>
          <w:sz w:val="20"/>
          <w:shd w:fill="FFFFFF" w:val="clear"/>
        </w:rPr>
        <w:t xml:space="preserve">with Weichai, which allows the Company to borrow up to </w:t>
      </w:r>
      <w:r>
        <w:rPr>
          <w:rFonts w:ascii="Times New Roman;sans-serif" w:hAnsi="Times New Roman;sans-serif"/>
          <w:b w:val="false"/>
          <w:color w:val="000000"/>
          <w:sz w:val="20"/>
        </w:rPr>
        <w:t>$105.0 million</w:t>
      </w:r>
      <w:r>
        <w:rPr>
          <w:color w:val="000000"/>
          <w:shd w:fill="FFFFFF" w:val="clear"/>
        </w:rPr>
        <w:t xml:space="preserve"> </w:t>
      </w:r>
      <w:r>
        <w:rPr>
          <w:rFonts w:ascii="Times New Roman;sans-serif" w:hAnsi="Times New Roman;sans-serif"/>
          <w:b w:val="false"/>
          <w:color w:val="000000"/>
          <w:sz w:val="20"/>
          <w:shd w:fill="FFFFFF" w:val="clear"/>
        </w:rPr>
        <w:t xml:space="preserve">and expires </w:t>
      </w:r>
      <w:r>
        <w:rPr>
          <w:rFonts w:ascii="Times New Roman;sans-serif" w:hAnsi="Times New Roman;sans-serif"/>
          <w:b w:val="false"/>
          <w:color w:val="000000"/>
          <w:sz w:val="20"/>
        </w:rPr>
        <w:t>August 31, 2025</w:t>
      </w:r>
      <w:r>
        <w:rPr>
          <w:rFonts w:ascii="Times New Roman;sans-serif" w:hAnsi="Times New Roman;sans-serif"/>
          <w:b w:val="false"/>
          <w:color w:val="000000"/>
          <w:sz w:val="20"/>
          <w:shd w:fill="FFFFFF" w:val="clear"/>
        </w:rPr>
        <w:t xml:space="preserve">. Borrowings under the </w:t>
      </w:r>
      <w:r>
        <w:rPr>
          <w:rFonts w:ascii="Times New Roman;sans-serif" w:hAnsi="Times New Roman;sans-serif"/>
          <w:b w:val="false"/>
          <w:color w:val="000000"/>
          <w:sz w:val="20"/>
        </w:rPr>
        <w:t xml:space="preserve">SLA </w:t>
      </w:r>
      <w:r>
        <w:rPr>
          <w:rFonts w:ascii="Times New Roman;sans-serif" w:hAnsi="Times New Roman;sans-serif"/>
          <w:b w:val="false"/>
          <w:color w:val="000000"/>
          <w:sz w:val="20"/>
          <w:shd w:fill="FFFFFF" w:val="clear"/>
        </w:rPr>
        <w:t xml:space="preserve">will incur interest at the applicable SOFR, plus </w:t>
      </w:r>
      <w:r>
        <w:rPr>
          <w:rFonts w:ascii="Times New Roman;sans-serif" w:hAnsi="Times New Roman;sans-serif"/>
          <w:b w:val="false"/>
          <w:color w:val="000000"/>
          <w:sz w:val="20"/>
        </w:rPr>
        <w:t>4.05% per annum. If the interest rate for any loan is lower than Weichai’s borrowing cost, the interest rate for such loan shall be equal to Weichai’s borrowing cost plus 1.0%</w:t>
      </w:r>
      <w:r>
        <w:rPr>
          <w:rFonts w:ascii="Times New Roman;sans-serif" w:hAnsi="Times New Roman;sans-serif"/>
          <w:b w:val="false"/>
          <w:color w:val="000000"/>
          <w:sz w:val="20"/>
          <w:shd w:fill="FFFFFF" w:val="clear"/>
        </w:rPr>
        <w:t xml:space="preserve">. The borrowing requests made under the </w:t>
      </w:r>
      <w:r>
        <w:rPr>
          <w:rFonts w:ascii="Times New Roman;sans-serif" w:hAnsi="Times New Roman;sans-serif"/>
          <w:b w:val="false"/>
          <w:color w:val="000000"/>
          <w:sz w:val="20"/>
        </w:rPr>
        <w:t>SLA</w:t>
      </w:r>
      <w:r>
        <w:rPr>
          <w:color w:val="000000"/>
          <w:shd w:fill="FFFFFF" w:val="clear"/>
        </w:rPr>
        <w:t xml:space="preserve"> </w:t>
      </w:r>
      <w:r>
        <w:rPr>
          <w:rFonts w:ascii="Times New Roman;sans-serif" w:hAnsi="Times New Roman;sans-serif"/>
          <w:b w:val="false"/>
          <w:color w:val="000000"/>
          <w:sz w:val="20"/>
          <w:shd w:fill="FFFFFF" w:val="clear"/>
        </w:rPr>
        <w:t xml:space="preserve">are subject to Weichai’s discretionary approval. The payment of the borrowings under the </w:t>
      </w:r>
      <w:r>
        <w:rPr>
          <w:rFonts w:ascii="Times New Roman;sans-serif" w:hAnsi="Times New Roman;sans-serif"/>
          <w:b w:val="false"/>
          <w:color w:val="000000"/>
          <w:sz w:val="20"/>
        </w:rPr>
        <w:t>SLA</w:t>
      </w:r>
      <w:r>
        <w:rPr>
          <w:color w:val="000000"/>
          <w:shd w:fill="FFFFFF" w:val="clear"/>
        </w:rPr>
        <w:t xml:space="preserve"> </w:t>
      </w:r>
      <w:r>
        <w:rPr>
          <w:rFonts w:ascii="Times New Roman;sans-serif" w:hAnsi="Times New Roman;sans-serif"/>
          <w:b w:val="false"/>
          <w:color w:val="000000"/>
          <w:sz w:val="20"/>
          <w:shd w:fill="FFFFFF" w:val="clear"/>
        </w:rPr>
        <w:t xml:space="preserve">is subordinated in all respects to the </w:t>
      </w:r>
      <w:r>
        <w:rPr>
          <w:rFonts w:ascii="Times New Roman;sans-serif" w:hAnsi="Times New Roman;sans-serif"/>
          <w:b w:val="false"/>
          <w:color w:val="000000"/>
          <w:sz w:val="20"/>
        </w:rPr>
        <w:t>Revolving Credit Agreement</w:t>
      </w:r>
      <w:r>
        <w:rPr>
          <w:color w:val="000000"/>
          <w:shd w:fill="FFFFFF" w:val="clear"/>
        </w:rPr>
        <w:t xml:space="preserve"> </w:t>
      </w:r>
      <w:r>
        <w:rPr>
          <w:rFonts w:ascii="Times New Roman;sans-serif" w:hAnsi="Times New Roman;sans-serif"/>
          <w:b w:val="false"/>
          <w:color w:val="000000"/>
          <w:sz w:val="20"/>
          <w:shd w:fill="FFFFFF" w:val="clear"/>
        </w:rPr>
        <w:t xml:space="preserve">with the exception that the Company is allowed to make a single payment of $10.0 million to Weichai. The $60.0 million portion of the initial advance under the </w:t>
      </w:r>
      <w:r>
        <w:rPr>
          <w:rFonts w:ascii="Times New Roman;sans-serif" w:hAnsi="Times New Roman;sans-serif"/>
          <w:b w:val="false"/>
          <w:color w:val="000000"/>
          <w:sz w:val="20"/>
        </w:rPr>
        <w:t>Revolving Credit Agreement</w:t>
      </w:r>
      <w:r>
        <w:rPr>
          <w:color w:val="000000"/>
          <w:shd w:fill="FFFFFF" w:val="clear"/>
        </w:rPr>
        <w:t xml:space="preserve"> </w:t>
      </w:r>
      <w:r>
        <w:rPr>
          <w:rFonts w:ascii="Times New Roman;sans-serif" w:hAnsi="Times New Roman;sans-serif"/>
          <w:b w:val="false"/>
          <w:color w:val="000000"/>
          <w:sz w:val="20"/>
          <w:shd w:fill="FFFFFF" w:val="clear"/>
        </w:rPr>
        <w:t xml:space="preserve">was applied to pay all principal, interest, and other amounts outstanding under the Shareholder’s Loan Agreements that the Company was previously party to with Weichai except for $25.0 million. In January 2025, the Company amended the Revolving Credit Agreement. After the amendment date, the Company may repay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outstanding balance under the SLA in principal and interest provided there are no new borrowings under the SLA. As of </w:t>
      </w:r>
      <w:r>
        <w:rPr>
          <w:rFonts w:ascii="Times New Roman;sans-serif" w:hAnsi="Times New Roman;sans-serif"/>
          <w:b w:val="false"/>
          <w:color w:val="000000"/>
          <w:sz w:val="20"/>
        </w:rPr>
        <w:t xml:space="preserve">March 31, 2025 the </w:t>
      </w:r>
      <w:r>
        <w:rPr>
          <w:rFonts w:ascii="Times New Roman;sans-serif" w:hAnsi="Times New Roman;sans-serif"/>
          <w:b w:val="false"/>
          <w:color w:val="000000"/>
          <w:sz w:val="20"/>
          <w:shd w:fill="FFFFFF" w:val="clear"/>
        </w:rPr>
        <w:t xml:space="preserve">outstanding principal balance under the </w:t>
      </w:r>
      <w:r>
        <w:rPr>
          <w:rFonts w:ascii="Times New Roman;sans-serif" w:hAnsi="Times New Roman;sans-serif"/>
          <w:b w:val="false"/>
          <w:color w:val="000000"/>
          <w:sz w:val="20"/>
        </w:rPr>
        <w:t>SLA was</w:t>
      </w:r>
      <w:r>
        <w:rPr>
          <w:color w:val="000000"/>
          <w:shd w:fill="FFFFFF" w:val="clear"/>
        </w:rPr>
        <w:t xml:space="preserve"> </w:t>
      </w:r>
      <w:r>
        <w:rPr>
          <w:rFonts w:ascii="Times New Roman;sans-serif" w:hAnsi="Times New Roman;sans-serif"/>
          <w:b w:val="false"/>
          <w:color w:val="000000"/>
          <w:sz w:val="20"/>
          <w:shd w:fill="FFFFFF" w:val="clear"/>
        </w:rPr>
        <w:t>$15.0 million</w:t>
      </w:r>
      <w:r>
        <w:rPr>
          <w:rFonts w:ascii="Times New Roman;sans-serif" w:hAnsi="Times New Roman;sans-serif"/>
          <w:b w:val="false"/>
          <w:color w:val="000000"/>
          <w:sz w:val="20"/>
        </w:rPr>
        <w:t>.</w:t>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As part of our ongoing efforts to enhance financial flexibility, we made a $10.0 million payment toward the </w:t>
      </w:r>
      <w:r>
        <w:rPr>
          <w:rFonts w:ascii="Times New Roman;sans-serif" w:hAnsi="Times New Roman;sans-serif"/>
          <w:b w:val="false"/>
          <w:color w:val="000000"/>
          <w:sz w:val="20"/>
        </w:rPr>
        <w:t>SLA</w:t>
      </w:r>
      <w:r>
        <w:rPr>
          <w:color w:val="000000"/>
          <w:shd w:fill="FFFFFF" w:val="clear"/>
        </w:rPr>
        <w:t xml:space="preserve"> </w:t>
      </w:r>
      <w:r>
        <w:rPr>
          <w:rFonts w:ascii="Times New Roman;sans-serif" w:hAnsi="Times New Roman;sans-serif"/>
          <w:b w:val="false"/>
          <w:color w:val="000000"/>
          <w:sz w:val="20"/>
          <w:shd w:fill="FFFFFF" w:val="clear"/>
        </w:rPr>
        <w:t xml:space="preserve">in the first quarter of </w:t>
      </w:r>
      <w:r>
        <w:rPr>
          <w:rFonts w:ascii="Times New Roman;sans-serif" w:hAnsi="Times New Roman;sans-serif"/>
          <w:b w:val="false"/>
          <w:color w:val="000000"/>
          <w:sz w:val="20"/>
        </w:rPr>
        <w:t>2025</w:t>
      </w:r>
      <w:r>
        <w:rPr>
          <w:rFonts w:ascii="Times New Roman;sans-serif" w:hAnsi="Times New Roman;sans-serif"/>
          <w:b w:val="false"/>
          <w:color w:val="000000"/>
          <w:sz w:val="20"/>
          <w:shd w:fill="FFFFFF" w:val="clear"/>
        </w:rPr>
        <w:t xml:space="preserve">.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the Company’s total outstanding debt obligations under the </w:t>
      </w:r>
      <w:r>
        <w:rPr>
          <w:rFonts w:ascii="Times New Roman;sans-serif" w:hAnsi="Times New Roman;sans-serif"/>
          <w:b w:val="false"/>
          <w:color w:val="000000"/>
          <w:sz w:val="20"/>
        </w:rPr>
        <w:t>Revolving Credit Agreement</w:t>
      </w:r>
      <w:r>
        <w:rPr>
          <w:rFonts w:ascii="Times New Roman;sans-serif" w:hAnsi="Times New Roman;sans-serif"/>
          <w:b w:val="false"/>
          <w:color w:val="000000"/>
          <w:sz w:val="20"/>
          <w:shd w:fill="FFFFFF" w:val="clear"/>
        </w:rPr>
        <w:t xml:space="preserve">, the </w:t>
      </w:r>
      <w:r>
        <w:rPr>
          <w:rFonts w:ascii="Times New Roman;sans-serif" w:hAnsi="Times New Roman;sans-serif"/>
          <w:b w:val="false"/>
          <w:color w:val="000000"/>
          <w:sz w:val="20"/>
        </w:rPr>
        <w:t>SLA</w:t>
      </w:r>
      <w:r>
        <w:rPr>
          <w:rFonts w:ascii="Times New Roman;sans-serif" w:hAnsi="Times New Roman;sans-serif"/>
          <w:b w:val="false"/>
          <w:color w:val="000000"/>
          <w:sz w:val="20"/>
          <w:shd w:fill="FFFFFF" w:val="clear"/>
        </w:rPr>
        <w:t xml:space="preserve">, and for finance leases and other debt were $111.0 million in the aggregate and its cash and cash equivalents were $50.0 million. The Company's total accrued interest for the </w:t>
      </w:r>
      <w:r>
        <w:rPr>
          <w:rFonts w:ascii="Times New Roman;sans-serif" w:hAnsi="Times New Roman;sans-serif"/>
          <w:b w:val="false"/>
          <w:color w:val="000000"/>
          <w:sz w:val="20"/>
        </w:rPr>
        <w:t>Revolving Credit Agreement</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SLA</w:t>
      </w:r>
      <w:r>
        <w:rPr>
          <w:color w:val="000000"/>
          <w:shd w:fill="FFFFFF" w:val="clear"/>
        </w:rPr>
        <w:t xml:space="preserve"> </w:t>
      </w:r>
      <w:r>
        <w:rPr>
          <w:rFonts w:ascii="Times New Roman;sans-serif" w:hAnsi="Times New Roman;sans-serif"/>
          <w:b w:val="false"/>
          <w:color w:val="000000"/>
          <w:sz w:val="20"/>
          <w:shd w:fill="FFFFFF" w:val="clear"/>
        </w:rPr>
        <w:t>was $0.8 million and $1.2 million</w:t>
      </w:r>
      <w:r>
        <w:rPr>
          <w:color w:val="000000"/>
        </w:rPr>
        <w:t xml:space="preserv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 and December 31, 2024, respectively</w:t>
      </w:r>
      <w:r>
        <w:rPr>
          <w:rFonts w:ascii="Times New Roman;sans-serif" w:hAnsi="Times New Roman;sans-serif"/>
          <w:b w:val="false"/>
          <w:color w:val="000000"/>
          <w:sz w:val="20"/>
          <w:shd w:fill="FFFFFF" w:val="clear"/>
        </w:rPr>
        <w:t>. Accrued interest is included within Other Accrued Liabilities on the Consolidated Balance Sheets.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See Note 1.</w:t>
      </w:r>
      <w:r>
        <w:rPr>
          <w:color w:val="000000"/>
          <w:shd w:fill="FFFFFF" w:val="clear"/>
        </w:rPr>
        <w:t xml:space="preserve"> </w:t>
      </w:r>
      <w:r>
        <w:rPr>
          <w:rFonts w:ascii="Times New Roman;sans-serif" w:hAnsi="Times New Roman;sans-serif"/>
          <w:b w:val="false"/>
          <w:i/>
          <w:color w:val="000000"/>
          <w:sz w:val="20"/>
          <w:shd w:fill="FFFFFF" w:val="clear"/>
        </w:rPr>
        <w:t>Summary of Significant Accounting Policies and Other Information</w:t>
      </w:r>
      <w:r>
        <w:rPr>
          <w:color w:val="000000"/>
          <w:shd w:fill="FFFFFF" w:val="clear"/>
        </w:rPr>
        <w:t xml:space="preserve"> </w:t>
      </w:r>
      <w:r>
        <w:rPr>
          <w:rFonts w:ascii="Times New Roman;sans-serif" w:hAnsi="Times New Roman;sans-serif"/>
          <w:b w:val="false"/>
          <w:color w:val="000000"/>
          <w:sz w:val="20"/>
          <w:shd w:fill="FFFFFF" w:val="clear"/>
        </w:rPr>
        <w:t>for further discussion of t</w:t>
      </w:r>
      <w:r>
        <w:rPr>
          <w:rFonts w:ascii="Times New Roman;sans-serif" w:hAnsi="Times New Roman;sans-serif"/>
          <w:b w:val="false"/>
          <w:color w:val="000000"/>
          <w:sz w:val="20"/>
        </w:rPr>
        <w:t xml:space="preserve">he Company’s going concern considerations.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7. Other Non-current Liabilities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On June 14, 2024, the Company executed a non-interest bearing note payable of $4.5 million upon settlement of a legal matter. The note payable is due May 2028 and is discounted based on an imputed interest rate of </w:t>
      </w:r>
      <w:r>
        <w:rPr>
          <w:rFonts w:ascii="Times New Roman;sans-serif" w:hAnsi="Times New Roman;sans-serif"/>
          <w:b w:val="false"/>
          <w:color w:val="000000"/>
          <w:sz w:val="20"/>
        </w:rPr>
        <w:t>6.66%</w:t>
      </w:r>
      <w:r>
        <w:rPr>
          <w:rFonts w:ascii="Times New Roman;sans-serif" w:hAnsi="Times New Roman;sans-serif"/>
          <w:b w:val="false"/>
          <w:color w:val="000000"/>
          <w:sz w:val="20"/>
          <w:shd w:fill="FFFFFF" w:val="clear"/>
        </w:rPr>
        <w:t xml:space="preserve">. The note payable includes an option for the Company to extend maturity of the note to September 2029 upon written notice before the thirty-seventh payment and, if such option is exercised, the maximum payment amount of the note increases to $4.8 million. </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current portion of the note of $0.7 million is included in other accrued liabilities in the Company’s Consolidated Balance Sheets.</w:t>
      </w:r>
    </w:p>
    <w:tbl>
      <w:tblPr>
        <w:tblW w:w="6713"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433"/>
        <w:gridCol w:w="1230"/>
        <w:gridCol w:w="241"/>
        <w:gridCol w:w="109"/>
        <w:gridCol w:w="109"/>
        <w:gridCol w:w="109"/>
        <w:gridCol w:w="482"/>
        <w:gridCol w:w="1371"/>
        <w:gridCol w:w="382"/>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remaining maturities for the note payable as of March 31, 2025:</w:t>
      </w:r>
    </w:p>
    <w:p>
      <w:pPr>
        <w:pStyle w:val="TextBody"/>
        <w:bidi w:val="0"/>
        <w:spacing w:before="120" w:after="120"/>
        <w:jc w:val="left"/>
        <w:rPr/>
      </w:pPr>
      <w:r>
        <w:rPr/>
      </w:r>
    </w:p>
    <w:tbl>
      <w:tblPr>
        <w:tblW w:w="6144"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225"/>
        <w:gridCol w:w="639"/>
        <w:gridCol w:w="127"/>
        <w:gridCol w:w="109"/>
        <w:gridCol w:w="109"/>
        <w:gridCol w:w="109"/>
        <w:gridCol w:w="526"/>
        <w:gridCol w:w="1129"/>
        <w:gridCol w:w="415"/>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Discount Amortization</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recorded $0.2 million discount amortization as interest expense as of March 31,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pPr>
      <w:r>
        <w:rPr>
          <w:rFonts w:ascii="Times New Roman;sans-serif" w:hAnsi="Times New Roman;sans-serif"/>
          <w:b/>
          <w:color w:val="000000"/>
          <w:sz w:val="20"/>
          <w:shd w:fill="FFFFFF" w:val="clear"/>
        </w:rPr>
        <w:t>Note 8.</w:t>
      </w:r>
      <w:r>
        <w:rPr>
          <w:color w:val="000000"/>
        </w:rPr>
        <w:t>    </w:t>
      </w:r>
      <w:r>
        <w:rPr>
          <w:rFonts w:ascii="Times New Roman;sans-serif" w:hAnsi="Times New Roman;sans-serif"/>
          <w:b/>
          <w:color w:val="000000"/>
          <w:sz w:val="20"/>
          <w:shd w:fill="FFFFFF" w:val="clear"/>
        </w:rPr>
        <w:t>Leases</w:t>
      </w:r>
      <w:r>
        <w:rPr>
          <w:color w:val="000000"/>
        </w:rPr>
        <w:t xml:space="preserve"> </w:t>
      </w: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120"/>
        <w:jc w:val="both"/>
        <w:rPr/>
      </w:pPr>
      <w:r>
        <w:rPr>
          <w:rFonts w:ascii="Times New Roman;sans-serif" w:hAnsi="Times New Roman;sans-serif"/>
          <w:b w:val="false"/>
          <w:color w:val="000000"/>
          <w:sz w:val="20"/>
        </w:rPr>
        <w:t>The Company has obligations under lease arrangements primarily for facilities, equipment and vehicles. These leases have original lease periods expiring from</w:t>
      </w:r>
      <w:r>
        <w:rPr>
          <w:color w:val="000000"/>
          <w:shd w:fill="FFFFFF" w:val="clear"/>
        </w:rPr>
        <w:t xml:space="preserve"> </w:t>
      </w:r>
      <w:r>
        <w:rPr>
          <w:rFonts w:ascii="Times New Roman;sans-serif" w:hAnsi="Times New Roman;sans-serif"/>
          <w:b w:val="false"/>
          <w:color w:val="000000"/>
          <w:sz w:val="20"/>
          <w:shd w:fill="FFFFFF" w:val="clear"/>
        </w:rPr>
        <w:t xml:space="preserve">May 2025 to March 2036. The following table summarizes the lease expense by category in the Consolidated Statements of Income: </w:t>
      </w:r>
    </w:p>
    <w:tbl>
      <w:tblPr>
        <w:tblW w:w="7226" w:type="dxa"/>
        <w:jc w:val="left"/>
        <w:tblInd w:w="0" w:type="dxa"/>
        <w:tblLayout w:type="fixed"/>
        <w:tblCellMar>
          <w:top w:w="28" w:type="dxa"/>
          <w:left w:w="28" w:type="dxa"/>
          <w:bottom w:w="28" w:type="dxa"/>
          <w:right w:w="28" w:type="dxa"/>
        </w:tblCellMar>
      </w:tblPr>
      <w:tblGrid>
        <w:gridCol w:w="1172"/>
        <w:gridCol w:w="1032"/>
        <w:gridCol w:w="1035"/>
        <w:gridCol w:w="109"/>
        <w:gridCol w:w="109"/>
        <w:gridCol w:w="109"/>
        <w:gridCol w:w="304"/>
        <w:gridCol w:w="863"/>
        <w:gridCol w:w="169"/>
        <w:gridCol w:w="169"/>
        <w:gridCol w:w="169"/>
        <w:gridCol w:w="169"/>
        <w:gridCol w:w="304"/>
        <w:gridCol w:w="863"/>
        <w:gridCol w:w="169"/>
        <w:gridCol w:w="109"/>
        <w:gridCol w:w="109"/>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components of lease expense and income:</w:t>
      </w:r>
    </w:p>
    <w:tbl>
      <w:tblPr>
        <w:tblW w:w="7212" w:type="dxa"/>
        <w:jc w:val="left"/>
        <w:tblInd w:w="0" w:type="dxa"/>
        <w:tblLayout w:type="fixed"/>
        <w:tblCellMar>
          <w:top w:w="28" w:type="dxa"/>
          <w:left w:w="28" w:type="dxa"/>
          <w:bottom w:w="28" w:type="dxa"/>
          <w:right w:w="28" w:type="dxa"/>
        </w:tblCellMar>
      </w:tblPr>
      <w:tblGrid>
        <w:gridCol w:w="1167"/>
        <w:gridCol w:w="1027"/>
        <w:gridCol w:w="1031"/>
        <w:gridCol w:w="109"/>
        <w:gridCol w:w="109"/>
        <w:gridCol w:w="109"/>
        <w:gridCol w:w="304"/>
        <w:gridCol w:w="863"/>
        <w:gridCol w:w="169"/>
        <w:gridCol w:w="169"/>
        <w:gridCol w:w="169"/>
        <w:gridCol w:w="169"/>
        <w:gridCol w:w="304"/>
        <w:gridCol w:w="863"/>
        <w:gridCol w:w="169"/>
        <w:gridCol w:w="109"/>
        <w:gridCol w:w="109"/>
        <w:gridCol w:w="109"/>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cost,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supplemental cash flow information related to leases:</w:t>
      </w:r>
    </w:p>
    <w:tbl>
      <w:tblPr>
        <w:tblW w:w="8585" w:type="dxa"/>
        <w:jc w:val="left"/>
        <w:tblInd w:w="0" w:type="dxa"/>
        <w:tblLayout w:type="fixed"/>
        <w:tblCellMar>
          <w:top w:w="28" w:type="dxa"/>
          <w:left w:w="28" w:type="dxa"/>
          <w:bottom w:w="28" w:type="dxa"/>
          <w:right w:w="28" w:type="dxa"/>
        </w:tblCellMar>
      </w:tblPr>
      <w:tblGrid>
        <w:gridCol w:w="1823"/>
        <w:gridCol w:w="1606"/>
        <w:gridCol w:w="1610"/>
        <w:gridCol w:w="109"/>
        <w:gridCol w:w="109"/>
        <w:gridCol w:w="109"/>
        <w:gridCol w:w="301"/>
        <w:gridCol w:w="856"/>
        <w:gridCol w:w="167"/>
        <w:gridCol w:w="167"/>
        <w:gridCol w:w="167"/>
        <w:gridCol w:w="167"/>
        <w:gridCol w:w="301"/>
        <w:gridCol w:w="856"/>
        <w:gridCol w:w="237"/>
      </w:tblGrid>
      <w:tr>
        <w:trPr/>
        <w:tc>
          <w:tcPr>
            <w:tcW w:w="18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paid for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paid for interest portion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cash flows paid for principal portion of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2025 and December 31, 2024, the weighted-average remaining lease term was 7.7 years and 5.3 years for operating leases and 4.4 years and 1.2 years for finance leases, respectively. As of March 31, 2025 and December 31, 2024, the weighted-average discount rate was 7.3% and 7.5% for operating leases, respectively, and 6.9% and 6.5% for finance leases,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supplemental balance sheet information related to leases:</w:t>
      </w:r>
    </w:p>
    <w:tbl>
      <w:tblPr>
        <w:tblW w:w="6382" w:type="dxa"/>
        <w:jc w:val="left"/>
        <w:tblInd w:w="0" w:type="dxa"/>
        <w:tblLayout w:type="fixed"/>
        <w:tblCellMar>
          <w:top w:w="28" w:type="dxa"/>
          <w:left w:w="28" w:type="dxa"/>
          <w:bottom w:w="28" w:type="dxa"/>
          <w:right w:w="28" w:type="dxa"/>
        </w:tblCellMar>
      </w:tblPr>
      <w:tblGrid>
        <w:gridCol w:w="1031"/>
        <w:gridCol w:w="908"/>
        <w:gridCol w:w="911"/>
        <w:gridCol w:w="109"/>
        <w:gridCol w:w="109"/>
        <w:gridCol w:w="109"/>
        <w:gridCol w:w="266"/>
        <w:gridCol w:w="876"/>
        <w:gridCol w:w="147"/>
        <w:gridCol w:w="109"/>
        <w:gridCol w:w="109"/>
        <w:gridCol w:w="109"/>
        <w:gridCol w:w="313"/>
        <w:gridCol w:w="1031"/>
        <w:gridCol w:w="245"/>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 xml:space="preserve">Operating lease ROU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39,946 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23,275 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42,031 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color w:val="000000"/>
                <w:sz w:val="18"/>
              </w:rPr>
              <w:t xml:space="preserve">Finance lease ROU assets, net </w:t>
            </w:r>
            <w:r>
              <w:rPr>
                <w:rFonts w:ascii="Times New Roman;sans-serif" w:hAnsi="Times New Roman;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Finance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Finance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ans-serif" w:hAnsi="Times New Roman;sans-serif"/>
          <w:b w:val="false"/>
          <w:color w:val="000000"/>
          <w:sz w:val="16"/>
        </w:rPr>
        <w:t xml:space="preserve">1.Included in </w:t>
      </w:r>
      <w:r>
        <w:rPr>
          <w:rFonts w:ascii="Times New Roman;sans-serif" w:hAnsi="Times New Roman;sans-serif"/>
          <w:b w:val="false"/>
          <w:i/>
          <w:color w:val="000000"/>
          <w:sz w:val="16"/>
        </w:rPr>
        <w:t>Property, plant and equipment, net</w:t>
      </w:r>
      <w:r>
        <w:rPr>
          <w:color w:val="000000"/>
        </w:rPr>
        <w:t xml:space="preserve"> </w:t>
      </w:r>
      <w:r>
        <w:rPr>
          <w:rFonts w:ascii="Times New Roman;sans-serif" w:hAnsi="Times New Roman;sans-serif"/>
          <w:b w:val="false"/>
          <w:color w:val="000000"/>
          <w:sz w:val="16"/>
        </w:rPr>
        <w:t>for finance leases on the Consolidated Balance Sheets.</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maturity analysis of lease liabilities as of March 31, 2025:</w:t>
      </w:r>
    </w:p>
    <w:tbl>
      <w:tblPr>
        <w:tblW w:w="6398" w:type="dxa"/>
        <w:jc w:val="left"/>
        <w:tblInd w:w="0" w:type="dxa"/>
        <w:tblLayout w:type="fixed"/>
        <w:tblCellMar>
          <w:top w:w="28" w:type="dxa"/>
          <w:left w:w="28" w:type="dxa"/>
          <w:bottom w:w="28" w:type="dxa"/>
          <w:right w:w="28" w:type="dxa"/>
        </w:tblCellMar>
      </w:tblPr>
      <w:tblGrid>
        <w:gridCol w:w="1085"/>
        <w:gridCol w:w="956"/>
        <w:gridCol w:w="959"/>
        <w:gridCol w:w="109"/>
        <w:gridCol w:w="109"/>
        <w:gridCol w:w="109"/>
        <w:gridCol w:w="296"/>
        <w:gridCol w:w="978"/>
        <w:gridCol w:w="165"/>
        <w:gridCol w:w="109"/>
        <w:gridCol w:w="109"/>
        <w:gridCol w:w="109"/>
        <w:gridCol w:w="332"/>
        <w:gridCol w:w="713"/>
        <w:gridCol w:w="260"/>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months ending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42,031 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9.    Fair Value of Financial Instruments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assets and liabilities measured at fair value on a recurring and nonrecurring basis, a three-level hierarchy of measurements based upon observable and unobservable inputs is used to arrive at fair value. Observable inputs are developed based on market data obtained from independent sources, while unobservable inputs reflect the Company’s assumptions about valuation based on the best information available in the circumstances. Depending on the inputs, the Company classifies each fair-value measurement as follows: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 based on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 based on other significant observable inputs for the assets or liabilities through corroborations with market data at the measurement date;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 based on significant unobservable inputs that reflect management’s best estimate of what market participants would use to price the assets or liabilities at the measurement date.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Financial Instruments Measured at Carrying Value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Current Assets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(Level 1) are measured at carrying value, which approximates fair value because of the short-term maturities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The Company measured its material debt obligations and notes payable at original carrying value. The fair value of the </w:t>
      </w:r>
      <w:r>
        <w:rPr>
          <w:rFonts w:ascii="Times New Roman;sans-serif" w:hAnsi="Times New Roman;sans-serif"/>
          <w:b w:val="false"/>
          <w:color w:val="000000"/>
          <w:sz w:val="20"/>
        </w:rPr>
        <w:t>Revolving Credit Agreement</w:t>
      </w:r>
      <w:r>
        <w:rPr>
          <w:color w:val="000000"/>
          <w:shd w:fill="FFFFFF" w:val="clear"/>
        </w:rPr>
        <w:t xml:space="preserve"> </w:t>
      </w:r>
      <w:r>
        <w:rPr>
          <w:rFonts w:ascii="Times New Roman;sans-serif" w:hAnsi="Times New Roman;sans-serif"/>
          <w:b w:val="false"/>
          <w:color w:val="000000"/>
          <w:sz w:val="20"/>
          <w:shd w:fill="FFFFFF" w:val="clear"/>
        </w:rPr>
        <w:t>and other short-term financing approximated carrying value, as it consisted primarily of short-term variable rate loans. The Company measured its non-interest bearing note payable using a rate which the Company could obtain financing of similar nature from other sources at the date of the transaction. The unamortized discount is reported in the Consolidated Balance Sheets as a deduction from the face amount of the note payable. The Company measured its material debt obligations and note payable using Level 2 inputs as follows:</w:t>
      </w:r>
    </w:p>
    <w:tbl>
      <w:tblPr>
        <w:tblW w:w="7190"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Financial Assets and Liabilities</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to the methods and assumptions used for the financial instruments discussed above, accounts receivable, net income tax receivable, accounts payable, and certain accrued expenses are measured at carrying value, which approximates fair value because of the short-term maturities of these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Commitments and Contingencies</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Legal Contingencies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legal matters discussed below and others could result in losses, including damages, fines, civil penalties and criminal charges, which could be substantial. The Company records accruals for these contingencies to the extent the Company concludes that a loss is both probable and reasonably estimable. Regarding the matters disclosed below, unless otherwise disclosed, the Company has determined that liabilities associated with these legal matters are reasonably possible; however, unless otherwise stated, the possible loss or range of possible loss cannot be reasonably estimated. Given the nature of the litigation and investigations and the complexities involved, the Company is unable to reasonably estimate a possible loss for all such matters until the Company knows, among other factors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what claims, if any, will survive dispositive motion practice;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extent of the claims, particularly when damages are not specified or are indeterminate;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how the discovery process will affect the litigation;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settlement posture of the other parties to the litigation;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any other factors that may have a material effect on the litigation or investigation.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However, the Company could incur judgments, enter into settlements or revise its expectations regarding the outcome of certain matters, and such developments could have a material adverse effect on the Company’s results of operations in the period in which the amounts are accrued and/or liquidity in the period in which the amounts are paid.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Jerome Treadwell v. the Company     </w:t>
      </w:r>
    </w:p>
    <w:p>
      <w:pPr>
        <w:pStyle w:val="TextBody"/>
        <w:bidi w:val="0"/>
        <w:spacing w:lineRule="auto" w:line="288" w:before="120" w:after="120"/>
        <w:jc w:val="both"/>
        <w:rPr/>
      </w:pPr>
      <w:r>
        <w:rPr>
          <w:rFonts w:ascii="Times New Roman;sans-serif" w:hAnsi="Times New Roman;sans-serif"/>
          <w:b w:val="false"/>
          <w:color w:val="000000"/>
          <w:sz w:val="20"/>
        </w:rPr>
        <w:t>In October 2018, a punitive class-action complaint was filed against the Company and NOVAtime Technology, Inc. (“NOVAtime” or “Plaintiff”) in the Circuit Court of Cook County, Illinois. In December 2018, NOVAtime removed the case to the U.S. District Court for the Northern District of Illinois, Eastern Division (the “Court”) under the Class Action Fairness Act. Plaintiff has since voluntarily dismissed NOVAtime</w:t>
      </w:r>
      <w:r>
        <w:rPr>
          <w:color w:val="000000"/>
          <w:shd w:fill="FFFFFF" w:val="clear"/>
        </w:rPr>
        <w:t xml:space="preserve"> </w:t>
      </w:r>
      <w:r>
        <w:rPr>
          <w:rFonts w:ascii="Times New Roman;sans-serif" w:hAnsi="Times New Roman;sans-serif"/>
          <w:b w:val="false"/>
          <w:color w:val="000000"/>
          <w:sz w:val="20"/>
          <w:shd w:fill="FFFFFF" w:val="clear"/>
        </w:rPr>
        <w:t xml:space="preserve">from the lawsuit without prejudice and filed an amended complaint in April 2019. The operative, amended complaint asserts violations of the Illinois Biometric Information Privacy Act (“BIPA”) in connection with employees’ use of the time clock to clock in and clock out using a finger scan and seeks statutory damages, attorneys’ fees, and injunctive and equitable relief. An aggrieved party under BIPA may recover (i) $1,000 per violation if the Company is found to have negligently violated BIPA or (ii) $5,000 </w:t>
      </w:r>
      <w:r>
        <w:rPr>
          <w:rFonts w:ascii="Times New Roman;sans-serif" w:hAnsi="Times New Roman;sans-serif"/>
          <w:b w:val="false"/>
          <w:color w:val="000000"/>
          <w:sz w:val="20"/>
        </w:rPr>
        <w:t xml:space="preserve">per violation if the Company is found to have intentionally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ans-serif" w:hAnsi="Times New Roman;sans-serif"/>
          <w:b w:val="false"/>
          <w:color w:val="000000"/>
          <w:sz w:val="20"/>
        </w:rPr>
        <w:t xml:space="preserve">or recklessly violated BIPA plus reasonable attorneys’ fees. In May 2019, the Company filed its motion to dismiss the Plaintiff’s amended complaint. In December 2019, the court denied the Company’s motion to dismiss. In January 2020, the Company moved for reconsideration of the Court’s order denying the motion to dismiss, or in the alternative, to stay the case pending the Illinois Appellate Court’s ruling in </w:t>
      </w:r>
      <w:r>
        <w:rPr>
          <w:rFonts w:ascii="Times New Roman;sans-serif" w:hAnsi="Times New Roman;sans-serif"/>
          <w:b w:val="false"/>
          <w:i/>
          <w:color w:val="000000"/>
          <w:sz w:val="20"/>
        </w:rPr>
        <w:t>McDonald v. Symphony Healthcare</w:t>
      </w:r>
      <w:r>
        <w:rPr>
          <w:color w:val="000000"/>
        </w:rPr>
        <w:t xml:space="preserve"> </w:t>
      </w:r>
      <w:r>
        <w:rPr>
          <w:rFonts w:ascii="Times New Roman;sans-serif" w:hAnsi="Times New Roman;sans-serif"/>
          <w:b w:val="false"/>
          <w:color w:val="000000"/>
          <w:sz w:val="20"/>
        </w:rPr>
        <w:t xml:space="preserve">on a legal question that would be potentially dispositive in this matter. In February 2020, the Court denied the Company’s motion for reconsideration, but required the parties to submit additional briefing on the Company’s motion to stay. In April 2020, the Court granted the Company’s motion to stay and stayed the case pending the Illinois Appellate Court’s ruling in </w:t>
      </w:r>
      <w:r>
        <w:rPr>
          <w:rFonts w:ascii="Times New Roman;sans-serif" w:hAnsi="Times New Roman;sans-serif"/>
          <w:b w:val="false"/>
          <w:i/>
          <w:color w:val="000000"/>
          <w:sz w:val="20"/>
        </w:rPr>
        <w:t>McDonald v. Symphony Healthcare</w:t>
      </w:r>
      <w:r>
        <w:rPr>
          <w:rFonts w:ascii="Times New Roman;sans-serif" w:hAnsi="Times New Roman;sans-serif"/>
          <w:b w:val="false"/>
          <w:color w:val="000000"/>
          <w:sz w:val="20"/>
        </w:rPr>
        <w:t xml:space="preserve">. In October 2020, after the </w:t>
      </w:r>
      <w:r>
        <w:rPr>
          <w:rFonts w:ascii="Times New Roman;sans-serif" w:hAnsi="Times New Roman;sans-serif"/>
          <w:b w:val="false"/>
          <w:i/>
          <w:color w:val="000000"/>
          <w:sz w:val="20"/>
        </w:rPr>
        <w:t>McDonald</w:t>
      </w:r>
      <w:r>
        <w:rPr>
          <w:color w:val="000000"/>
        </w:rPr>
        <w:t xml:space="preserve"> </w:t>
      </w:r>
      <w:r>
        <w:rPr>
          <w:rFonts w:ascii="Times New Roman;sans-serif" w:hAnsi="Times New Roman;sans-serif"/>
          <w:b w:val="false"/>
          <w:color w:val="000000"/>
          <w:sz w:val="20"/>
        </w:rPr>
        <w:t>ruling, the Court granted the parties’ joint request to continue the stay of the case f</w:t>
      </w:r>
      <w:r>
        <w:rPr>
          <w:rFonts w:ascii="Times New Roman;sans-serif" w:hAnsi="Times New Roman;sans-serif"/>
          <w:b w:val="false"/>
          <w:color w:val="000000"/>
          <w:sz w:val="20"/>
          <w:shd w:fill="FFFFFF" w:val="clear"/>
        </w:rPr>
        <w:t>or 60 days. T</w:t>
      </w:r>
      <w:r>
        <w:rPr>
          <w:rFonts w:ascii="Times New Roman;sans-serif" w:hAnsi="Times New Roman;sans-serif"/>
          <w:b w:val="false"/>
          <w:color w:val="000000"/>
          <w:sz w:val="20"/>
        </w:rPr>
        <w:t>he Court also ordered the parties to schedule a settlement conference with the Magistrate Judge in May 2021 which went forward without a settlement being reached. On May 22, 2023, the Company filed the answer to the amended complaint. Plaintiff and PSI have since reached a preliminary settlement of the case, and Plaintiff filed an Unopposed Motion for Preliminary Approval of Class Action Settlement on February 23, 2024. On February 5, 2025 Plaintiff filed an Unopposed Motion for Final Approval of the Class Settlement, which the Court granted on February 7, 2025. As of December 31, 2024, the Company had recorded an estimated liabili</w:t>
      </w:r>
      <w:r>
        <w:rPr>
          <w:rFonts w:ascii="Times New Roman;sans-serif" w:hAnsi="Times New Roman;sans-serif"/>
          <w:b w:val="false"/>
          <w:color w:val="000000"/>
          <w:sz w:val="20"/>
          <w:shd w:fill="FFFFFF" w:val="clear"/>
        </w:rPr>
        <w:t>ty of $2.4 million</w:t>
      </w:r>
      <w:r>
        <w:rPr>
          <w:rFonts w:ascii="Times New Roman;sans-serif" w:hAnsi="Times New Roman;sans-serif"/>
          <w:b w:val="false"/>
          <w:color w:val="000000"/>
          <w:sz w:val="20"/>
        </w:rPr>
        <w:t xml:space="preserve">, recorded within </w:t>
      </w:r>
      <w:r>
        <w:rPr>
          <w:rFonts w:ascii="Times New Roman;sans-serif" w:hAnsi="Times New Roman;sans-serif"/>
          <w:b w:val="false"/>
          <w:i/>
          <w:color w:val="000000"/>
          <w:sz w:val="20"/>
        </w:rPr>
        <w:t xml:space="preserve">Other accrued liabilities </w:t>
      </w:r>
      <w:r>
        <w:rPr>
          <w:rFonts w:ascii="Times New Roman;sans-serif" w:hAnsi="Times New Roman;sans-serif"/>
          <w:b w:val="false"/>
          <w:color w:val="000000"/>
          <w:sz w:val="20"/>
        </w:rPr>
        <w:t>on the Consolidated Balance Sheets related to the potential settlement of this matter. During the first quar</w:t>
      </w:r>
      <w:r>
        <w:rPr>
          <w:rFonts w:ascii="Times New Roman;sans-serif" w:hAnsi="Times New Roman;sans-serif"/>
          <w:b w:val="false"/>
          <w:color w:val="000000"/>
          <w:sz w:val="20"/>
          <w:shd w:fill="FFFFFF" w:val="clear"/>
        </w:rPr>
        <w:t>ter of 2025, the final settlement amount of $2.4 million was paid to the Plaintiff, of which $0.7 million was paid by the Company and $1.7 million was paid by the Company’s insurance carrier.</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Mast Powertrain v. the Company</w:t>
      </w:r>
    </w:p>
    <w:p>
      <w:pPr>
        <w:pStyle w:val="TextBody"/>
        <w:bidi w:val="0"/>
        <w:spacing w:lineRule="auto" w:line="288" w:before="120" w:after="120"/>
        <w:jc w:val="both"/>
        <w:rPr/>
      </w:pPr>
      <w:r>
        <w:rPr>
          <w:rFonts w:ascii="Times New Roman;sans-serif" w:hAnsi="Times New Roman;sans-serif"/>
          <w:b w:val="false"/>
          <w:color w:val="000000"/>
          <w:sz w:val="20"/>
        </w:rPr>
        <w:t xml:space="preserve">In February 2020, the Company received a demand for arbitration from Mast Powertrain, LLC (“Mast”) pursuant to a development agreement entered into in November 2011 (the “Development Agreement”). Mast claimed that it was owed more than </w:t>
      </w:r>
      <w:r>
        <w:rPr>
          <w:rFonts w:ascii="Times New Roman;sans-serif" w:hAnsi="Times New Roman;sans-serif"/>
          <w:b w:val="false"/>
          <w:color w:val="000000"/>
          <w:sz w:val="20"/>
          <w:shd w:fill="FFFFFF" w:val="clear"/>
        </w:rPr>
        <w:t>$9.0 million</w:t>
      </w:r>
      <w:r>
        <w:rPr>
          <w:color w:val="000000"/>
        </w:rPr>
        <w:t xml:space="preserve"> </w:t>
      </w:r>
      <w:r>
        <w:rPr>
          <w:rFonts w:ascii="Times New Roman;sans-serif" w:hAnsi="Times New Roman;sans-serif"/>
          <w:b w:val="false"/>
          <w:color w:val="000000"/>
          <w:sz w:val="20"/>
        </w:rPr>
        <w:t xml:space="preserve">in past royalties and other damages for products sold by the Company pursuant to the Development Agreement. The Company disputed Mast’s damages, denied that any royalties are owed to Mast, denied any liability, and counterclaimed for overpayment on invoices paid to Mast. Mast subsequently clarified its claim for past royalties owed to be approximately </w:t>
      </w:r>
      <w:r>
        <w:rPr>
          <w:rFonts w:ascii="Times New Roman;sans-serif" w:hAnsi="Times New Roman;sans-serif"/>
          <w:b w:val="false"/>
          <w:color w:val="000000"/>
          <w:sz w:val="20"/>
          <w:shd w:fill="FFFFFF" w:val="clear"/>
        </w:rPr>
        <w:t>$4.5 million</w:t>
      </w:r>
      <w:r>
        <w:rPr>
          <w:rFonts w:ascii="Times New Roman;sans-serif" w:hAnsi="Times New Roman;sans-serif"/>
          <w:b w:val="false"/>
          <w:color w:val="000000"/>
          <w:sz w:val="20"/>
        </w:rPr>
        <w:t xml:space="preserve">. In July 2021, the Company reached a settlement with Mast to resolve past claims for royalties </w:t>
      </w:r>
      <w:r>
        <w:rPr>
          <w:rFonts w:ascii="Times New Roman;sans-serif" w:hAnsi="Times New Roman;sans-serif"/>
          <w:b w:val="false"/>
          <w:color w:val="000000"/>
          <w:sz w:val="20"/>
          <w:shd w:fill="FFFFFF" w:val="clear"/>
        </w:rPr>
        <w:t xml:space="preserve">owed for $1.5 million which the Company had previously recorded within </w:t>
      </w:r>
      <w:r>
        <w:rPr>
          <w:rFonts w:ascii="Times New Roman;sans-serif" w:hAnsi="Times New Roman;sans-serif"/>
          <w:b w:val="false"/>
          <w:i/>
          <w:color w:val="000000"/>
          <w:sz w:val="20"/>
          <w:shd w:fill="FFFFFF" w:val="clear"/>
        </w:rPr>
        <w:t>Selling, general and administrative expenses</w:t>
      </w:r>
      <w:r>
        <w:rPr>
          <w:color w:val="000000"/>
          <w:shd w:fill="FFFFFF" w:val="clear"/>
        </w:rPr>
        <w:t xml:space="preserve"> </w:t>
      </w:r>
      <w:r>
        <w:rPr>
          <w:rFonts w:ascii="Times New Roman;sans-serif" w:hAnsi="Times New Roman;sans-serif"/>
          <w:b w:val="false"/>
          <w:color w:val="000000"/>
          <w:sz w:val="20"/>
          <w:shd w:fill="FFFFFF" w:val="clear"/>
        </w:rPr>
        <w:t>in the Consolidated Statement of Income for the year-ended December 31, 2020</w:t>
      </w:r>
      <w:r>
        <w:rPr>
          <w:rFonts w:ascii="Times New Roman;sans-serif" w:hAnsi="Times New Roman;sans-serif"/>
          <w:b w:val="false"/>
          <w:color w:val="000000"/>
          <w:sz w:val="20"/>
        </w:rPr>
        <w:t xml:space="preserve">. The Company fully paid the settlement as of December 31, 2022. In September 2023, Mast filed a lawsuit against the Company in the Eastern District of Texas Federal Court (“Court”), alleging, among other things, damages of approximately $6.0 million for fraudulent inducement leading to the 2021 arbitration settlement agreement and breach of said settlement agreement. Upon court order, the Company participated in separate mediations in May 2024 and December 2024, and no settlement was reached. The Company has filed a motion to stay the lawsuit and compel it to arbitration, and the Court granted that motion on January 31, 2025. As of both </w:t>
      </w:r>
      <w:r>
        <w:rPr>
          <w:rFonts w:ascii="Times New Roman;sans-serif" w:hAnsi="Times New Roman;sans-serif"/>
          <w:b w:val="false"/>
          <w:color w:val="000000"/>
          <w:sz w:val="20"/>
          <w:shd w:fill="FFFFFF" w:val="clear"/>
        </w:rPr>
        <w:t xml:space="preserve">March 31, 2025 and </w:t>
      </w:r>
      <w:r>
        <w:rPr>
          <w:rFonts w:ascii="Times New Roman;sans-serif" w:hAnsi="Times New Roman;sans-serif"/>
          <w:b w:val="false"/>
          <w:color w:val="000000"/>
          <w:sz w:val="20"/>
        </w:rPr>
        <w:t xml:space="preserve">December 31, 2024, the Company had recorded an estimated liability of </w:t>
      </w:r>
      <w:r>
        <w:rPr>
          <w:rFonts w:ascii="Times New Roman;sans-serif" w:hAnsi="Times New Roman;sans-serif"/>
          <w:b w:val="false"/>
          <w:color w:val="000000"/>
          <w:sz w:val="20"/>
          <w:shd w:fill="FFFFFF" w:val="clear"/>
        </w:rPr>
        <w:t>$0.9 million</w:t>
      </w:r>
      <w:r>
        <w:rPr>
          <w:rFonts w:ascii="Times New Roman;sans-serif" w:hAnsi="Times New Roman;sans-serif"/>
          <w:b w:val="false"/>
          <w:color w:val="000000"/>
          <w:sz w:val="20"/>
        </w:rPr>
        <w:t xml:space="preserve">, recorded within </w:t>
      </w:r>
      <w:r>
        <w:rPr>
          <w:rFonts w:ascii="Times New Roman;sans-serif" w:hAnsi="Times New Roman;sans-serif"/>
          <w:b w:val="false"/>
          <w:i/>
          <w:color w:val="000000"/>
          <w:sz w:val="20"/>
        </w:rPr>
        <w:t>Other accrued liabilities</w:t>
      </w:r>
      <w:r>
        <w:rPr>
          <w:color w:val="000000"/>
        </w:rPr>
        <w:t xml:space="preserve"> </w:t>
      </w:r>
      <w:r>
        <w:rPr>
          <w:rFonts w:ascii="Times New Roman;sans-serif" w:hAnsi="Times New Roman;sans-serif"/>
          <w:b w:val="false"/>
          <w:color w:val="000000"/>
          <w:sz w:val="20"/>
        </w:rPr>
        <w:t xml:space="preserve">on the Consolidated Balance Sheets related to the potential settlement of this matter. </w:t>
      </w:r>
      <w:r>
        <w:rPr>
          <w:color w:val="000000"/>
        </w:rPr>
        <w:t>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Gary Winemaster v. The Company</w:t>
      </w:r>
    </w:p>
    <w:p>
      <w:pPr>
        <w:pStyle w:val="TextBody"/>
        <w:bidi w:val="0"/>
        <w:spacing w:lineRule="auto" w:line="268" w:before="0" w:after="0"/>
        <w:jc w:val="both"/>
        <w:rPr/>
      </w:pPr>
      <w:r>
        <w:rPr>
          <w:rFonts w:ascii="Times New Roman;sans-serif" w:hAnsi="Times New Roman;sans-serif"/>
          <w:b w:val="false"/>
          <w:color w:val="000000"/>
          <w:sz w:val="20"/>
        </w:rPr>
        <w:t xml:space="preserve">In August 2021, the Company’s former Chairman of the Board and former Chief Executive Officer and President, Gary Winemaster (“Winemaster”) filed suit in the Court of Chancery of the State of Delaware against the Company and Travelers Casualty and Surety Company of America (“Travelers”) alleging the Company’s breach of its advancement obligations under Winemaster’s indemnification agreement and Travelers’ breach of the side A policy between Traveler’s and the Company of which Winemaster is a beneficiary. In his complaint, Winemaster was seeking reimbursement under his indemnification agreement in excess of $7.2 million of attorney’s fees plus interest incurred by Winemaster in his defense of the Department of Justice (“DOJ”) case, </w:t>
      </w:r>
      <w:r>
        <w:rPr>
          <w:rFonts w:ascii="Times New Roman;sans-serif" w:hAnsi="Times New Roman;sans-serif"/>
          <w:b w:val="false"/>
          <w:i/>
          <w:color w:val="000000"/>
          <w:sz w:val="20"/>
        </w:rPr>
        <w:t>U.S. v. Winemaster et al.</w:t>
      </w:r>
      <w:r>
        <w:rPr>
          <w:color w:val="000000"/>
        </w:rPr>
        <w:t xml:space="preserve"> </w:t>
      </w:r>
      <w:r>
        <w:rPr>
          <w:rFonts w:ascii="Times New Roman;sans-serif" w:hAnsi="Times New Roman;sans-serif"/>
          <w:b w:val="false"/>
          <w:color w:val="000000"/>
          <w:sz w:val="20"/>
        </w:rPr>
        <w:t xml:space="preserve">Since the filing of the complaint, the Company estimates that Travelers has paid approximately $8.8 million to Winemaster’s attorneys, Latham and Watkins, under the Company’s side A policy to settle existing outstanding attorney’s fees. Travelers is seeking reimbursement from the Company for those advances pursuant to the terms of the side A policy. In October 2021, the Company and Winemaster entered into a Stipulation and Advancement Order to handle all future attorney’s fees relating to his DOJ and SEC cases, to the extent not reimbursed by Travelers under the side A policy. In June 2024, the Company reached a settlement with Travelers for $4.5 million. As of both March 31, 2025 and December 31, 2024, the Company recorded the aforementioned settlement liability within </w:t>
      </w:r>
      <w:r>
        <w:rPr>
          <w:rFonts w:ascii="Times New Roman;sans-serif" w:hAnsi="Times New Roman;sans-serif"/>
          <w:b w:val="false"/>
          <w:i/>
          <w:color w:val="000000"/>
          <w:sz w:val="20"/>
        </w:rPr>
        <w:t>Other noncurrent liabilities</w:t>
      </w:r>
      <w:r>
        <w:rPr>
          <w:color w:val="000000"/>
        </w:rPr>
        <w:t xml:space="preserve"> </w:t>
      </w:r>
      <w:r>
        <w:rPr>
          <w:rFonts w:ascii="Times New Roman;sans-serif" w:hAnsi="Times New Roman;sans-serif"/>
          <w:b w:val="false"/>
          <w:color w:val="000000"/>
          <w:sz w:val="20"/>
        </w:rPr>
        <w:t xml:space="preserve">with the current portion within </w:t>
      </w:r>
      <w:r>
        <w:rPr>
          <w:rFonts w:ascii="Times New Roman;sans-serif" w:hAnsi="Times New Roman;sans-serif"/>
          <w:b w:val="false"/>
          <w:i/>
          <w:color w:val="000000"/>
          <w:sz w:val="20"/>
        </w:rPr>
        <w:t xml:space="preserve">Other accrued liabilities </w:t>
      </w:r>
      <w:r>
        <w:rPr>
          <w:rFonts w:ascii="Times New Roman;sans-serif" w:hAnsi="Times New Roman;sans-serif"/>
          <w:b w:val="false"/>
          <w:color w:val="000000"/>
          <w:sz w:val="20"/>
        </w:rPr>
        <w:t xml:space="preserve">on the Consolidated Balance Sheets. Refer to Note 7. </w:t>
      </w:r>
      <w:r>
        <w:rPr>
          <w:rFonts w:ascii="Times New Roman;sans-serif" w:hAnsi="Times New Roman;sans-serif"/>
          <w:b w:val="false"/>
          <w:i/>
          <w:color w:val="000000"/>
          <w:sz w:val="20"/>
        </w:rPr>
        <w:t xml:space="preserve">Other Non-current Liabilities </w:t>
      </w:r>
      <w:r>
        <w:rPr>
          <w:rFonts w:ascii="Times New Roman;sans-serif" w:hAnsi="Times New Roman;sans-serif"/>
          <w:b w:val="false"/>
          <w:color w:val="000000"/>
          <w:sz w:val="20"/>
        </w:rPr>
        <w:t xml:space="preserve">for additional information related to this settlement.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holds a directors’ and officers’ liability insurance policy, which is renewed annually and currently expires in July 2025. The insurance policy includes standard exclusions including for any previously pending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Commitments and Contingencies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At March 31, 2025, the Company had four outstanding letters of credit totaling $1.8 million. The letters of credit primarily serve as collateral for certain facility leases and insurance policies. As discussed in Note 1. </w:t>
      </w:r>
      <w:r>
        <w:rPr>
          <w:rFonts w:ascii="Times New Roman;sans-serif" w:hAnsi="Times New Roman;sans-serif"/>
          <w:b w:val="false"/>
          <w:i/>
          <w:color w:val="000000"/>
          <w:sz w:val="20"/>
          <w:shd w:fill="FFFFFF" w:val="clear"/>
        </w:rPr>
        <w:t>Summary of Significant Accounting Policies and Other Information</w:t>
      </w:r>
      <w:r>
        <w:rPr>
          <w:rFonts w:ascii="Times New Roman;sans-serif" w:hAnsi="Times New Roman;sans-serif"/>
          <w:b w:val="false"/>
          <w:color w:val="000000"/>
          <w:sz w:val="20"/>
          <w:shd w:fill="FFFFFF" w:val="clear"/>
        </w:rPr>
        <w:t xml:space="preserve">, the Company had restricted cash of $3.6 million as of March 31, 2025, related to these letters of credit and cash held in escrow due to a customer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Income Taxes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 quarterly basis, the Company computes an estimated annual effective tax rate considering ordinary income and related income tax expense. Ordinary income refers to income before income tax expense excluding significant, unusual or infrequently occurring items. The tax effect of an unusual or infrequently occurring item is recorded in the interim period in which it occurs.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assessed the need to maintain a valuation allowance for deferred tax assets based on an assessment of whether it is more likely than not that deferred tax benefits will be realized through the generation of future taxable income. Appropriate consideration is given to all available evidence, both positive and negative, in assessing the need for a valuation allowance. In assessing the realizability of the Company’s deferred tax assets, the Company considered whether it is more likely than not that some or all of the deferred tax assets will be realized through the generation of future taxable income. In making this determination, the Company assessed all of the evidence available at the time, including recent earnings, forecasted income projections, historical performance, and that substantial doubt exists about the Company’s ability to continue as a going concern. The Company determined that the negative evidence outweighed the objectively verifiable positive evidence and continues to maintain a valuation allowance against deferred tax assets. </w:t>
      </w:r>
    </w:p>
    <w:p>
      <w:pPr>
        <w:pStyle w:val="TextBody"/>
        <w:bidi w:val="0"/>
        <w:spacing w:lineRule="auto" w:line="26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effective tax rate for the three months ended March 31, 2025 was 16.6%, compared to an effective tax rate for the three months ended March 31, 2024 of 2.7%. The effective tax rates for all periods were significantly different than the applicable U.S. statutory tax rate. For both the three months ended March 31, 2025 and 2024, the difference between the effective and statutory tax rates was primarily due to the Company’s full valuation allowance.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ans-serif" w:hAnsi="Times New Roman;sans-serif"/>
          <w:b/>
          <w:color w:val="000000"/>
          <w:sz w:val="20"/>
          <w:shd w:fill="FFFFFF" w:val="clear"/>
        </w:rPr>
        <w:t>Note 12.</w:t>
      </w:r>
      <w:r>
        <w:rPr>
          <w:color w:val="000000"/>
        </w:rPr>
        <w:t>    </w:t>
      </w:r>
      <w:r>
        <w:rPr>
          <w:rFonts w:ascii="Times New Roman;sans-serif" w:hAnsi="Times New Roman;sans-serif"/>
          <w:b/>
          <w:color w:val="000000"/>
          <w:sz w:val="20"/>
          <w:shd w:fill="FFFFFF" w:val="clear"/>
        </w:rPr>
        <w:t>Stockholders’ Equity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Common and Treasury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shares of Common and Treasury Stock are as follows:</w:t>
      </w:r>
    </w:p>
    <w:tbl>
      <w:tblPr>
        <w:tblW w:w="9874" w:type="dxa"/>
        <w:jc w:val="left"/>
        <w:tblInd w:w="0" w:type="dxa"/>
        <w:tblLayout w:type="fixed"/>
        <w:tblCellMar>
          <w:top w:w="28" w:type="dxa"/>
          <w:left w:w="28" w:type="dxa"/>
          <w:bottom w:w="28" w:type="dxa"/>
          <w:right w:w="28" w:type="dxa"/>
        </w:tblCellMar>
      </w:tblPr>
      <w:tblGrid>
        <w:gridCol w:w="949"/>
        <w:gridCol w:w="837"/>
        <w:gridCol w:w="839"/>
        <w:gridCol w:w="109"/>
        <w:gridCol w:w="109"/>
        <w:gridCol w:w="109"/>
        <w:gridCol w:w="649"/>
        <w:gridCol w:w="649"/>
        <w:gridCol w:w="651"/>
        <w:gridCol w:w="109"/>
        <w:gridCol w:w="109"/>
        <w:gridCol w:w="109"/>
        <w:gridCol w:w="619"/>
        <w:gridCol w:w="619"/>
        <w:gridCol w:w="621"/>
        <w:gridCol w:w="109"/>
        <w:gridCol w:w="109"/>
        <w:gridCol w:w="109"/>
        <w:gridCol w:w="719"/>
        <w:gridCol w:w="719"/>
        <w:gridCol w:w="1022"/>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 Outstanding</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shares issued for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23,117 </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23,008 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13.    Earnings Per Share </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computes basic earnings per share by dividing net income by the weighted-average common shares outstanding during the year. Diluted earnings per share is calculated to give effect to all potentially dilutive common shares that were outstanding during the year. Weighted-average diluted common shares outstanding primarily reflect the additional shares that would be issued upon the assumed exercise of stock options and the assumed vesting of unvested share awards. The treasury stock method has been used to compute diluted </w:t>
      </w:r>
      <w:r>
        <w:rPr>
          <w:rFonts w:ascii="Times New Roman;sans-serif" w:hAnsi="Times New Roman;sans-serif"/>
          <w:b w:val="false"/>
          <w:color w:val="000000"/>
          <w:sz w:val="20"/>
          <w:shd w:fill="FFFFFF" w:val="clear"/>
        </w:rPr>
        <w:t>earnings</w:t>
      </w:r>
      <w:r>
        <w:rPr>
          <w:color w:val="000000"/>
        </w:rPr>
        <w:t xml:space="preserve"> </w:t>
      </w:r>
      <w:r>
        <w:rPr>
          <w:rFonts w:ascii="Times New Roman;sans-serif" w:hAnsi="Times New Roman;sans-serif"/>
          <w:b w:val="false"/>
          <w:color w:val="000000"/>
          <w:sz w:val="20"/>
        </w:rPr>
        <w:t xml:space="preserve">per share for the three months ended March 31, 2025 and 2024. </w:t>
      </w:r>
    </w:p>
    <w:p>
      <w:pPr>
        <w:pStyle w:val="TextBody"/>
        <w:bidi w:val="0"/>
        <w:spacing w:lineRule="auto" w:line="288" w:before="0" w:after="0"/>
        <w:jc w:val="both"/>
        <w:rPr/>
      </w:pPr>
      <w:r>
        <w:rPr>
          <w:rFonts w:ascii="Times New Roman;sans-serif" w:hAnsi="Times New Roman;sans-serif"/>
          <w:b w:val="false"/>
          <w:color w:val="000000"/>
          <w:sz w:val="20"/>
        </w:rPr>
        <w:t xml:space="preserve">The Company issued Stock Appreciation Rights (“SARs”) and Restricted Stock Awards (“RSAs”), all of which have been evaluated for their potentially dilutive effect under the treasury stock method. See Note 14. </w:t>
      </w:r>
      <w:r>
        <w:rPr>
          <w:rFonts w:ascii="Times New Roman;sans-serif" w:hAnsi="Times New Roman;sans-serif"/>
          <w:b w:val="false"/>
          <w:i/>
          <w:color w:val="000000"/>
          <w:sz w:val="20"/>
        </w:rPr>
        <w:t>Stock-Based Compensation</w:t>
      </w:r>
      <w:r>
        <w:rPr>
          <w:color w:val="000000"/>
        </w:rPr>
        <w:t xml:space="preserve"> </w:t>
      </w:r>
      <w:r>
        <w:rPr>
          <w:rFonts w:ascii="Times New Roman;sans-serif" w:hAnsi="Times New Roman;sans-serif"/>
          <w:b w:val="false"/>
          <w:color w:val="000000"/>
          <w:sz w:val="20"/>
        </w:rPr>
        <w:t>in the Company’s 2024 Annual Report for additional information on the SARs and the RSAs.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computations of basic and diluted earnings per share are as follows:</w:t>
      </w:r>
    </w:p>
    <w:tbl>
      <w:tblPr>
        <w:tblW w:w="8144" w:type="dxa"/>
        <w:jc w:val="left"/>
        <w:tblInd w:w="0" w:type="dxa"/>
        <w:tblLayout w:type="fixed"/>
        <w:tblCellMar>
          <w:top w:w="28" w:type="dxa"/>
          <w:left w:w="28" w:type="dxa"/>
          <w:bottom w:w="28" w:type="dxa"/>
          <w:right w:w="28" w:type="dxa"/>
        </w:tblCellMar>
      </w:tblPr>
      <w:tblGrid>
        <w:gridCol w:w="1624"/>
        <w:gridCol w:w="1428"/>
        <w:gridCol w:w="1433"/>
        <w:gridCol w:w="291"/>
        <w:gridCol w:w="960"/>
        <w:gridCol w:w="162"/>
        <w:gridCol w:w="162"/>
        <w:gridCol w:w="162"/>
        <w:gridCol w:w="162"/>
        <w:gridCol w:w="291"/>
        <w:gridCol w:w="826"/>
        <w:gridCol w:w="162"/>
        <w:gridCol w:w="109"/>
        <w:gridCol w:w="109"/>
        <w:gridCol w:w="109"/>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basis)</w:t>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 basic and diluted</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used in computing net income per share:</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color w:val="000000"/>
                <w:sz w:val="18"/>
              </w:rPr>
              <w:t xml:space="preserve">Weighted-average common shares outstanding </w:t>
            </w:r>
            <w:r>
              <w:rPr>
                <w:color w:val="000000"/>
              </w:rPr>
              <w:t xml:space="preserve">– </w:t>
            </w:r>
            <w:r>
              <w:rPr>
                <w:rFonts w:ascii="Times New Roman;sans-serif" w:hAnsi="Times New Roman;sans-serif"/>
                <w:b/>
                <w:color w:val="000000"/>
                <w:sz w:val="18"/>
              </w:rPr>
              <w:t>diluted</w:t>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 of common stock – basic</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 of common stock – diluted</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both"/>
        <w:rPr/>
      </w:pPr>
      <w:r>
        <w:rPr>
          <w:rFonts w:ascii="Times New Roman;sans-serif" w:hAnsi="Times New Roman;sans-serif"/>
          <w:b w:val="false"/>
          <w:color w:val="000000"/>
          <w:sz w:val="20"/>
        </w:rPr>
        <w:t>The aggregate number of shares excluded from the diluted earnings per share calculations, because they would have been anti-diluti</w:t>
      </w:r>
      <w:r>
        <w:rPr>
          <w:rFonts w:ascii="Times New Roman;sans-serif" w:hAnsi="Times New Roman;sans-serif"/>
          <w:b w:val="false"/>
          <w:color w:val="000000"/>
          <w:sz w:val="20"/>
          <w:shd w:fill="FFFFFF" w:val="clear"/>
        </w:rPr>
        <w:t xml:space="preserve">ve, were </w:t>
      </w:r>
      <w:r>
        <w:rPr>
          <w:rFonts w:ascii="Times New Roman;sans-serif" w:hAnsi="Times New Roman;sans-serif"/>
          <w:b w:val="false"/>
          <w:color w:val="000000"/>
          <w:sz w:val="20"/>
        </w:rPr>
        <w:t>none</w:t>
      </w:r>
      <w:r>
        <w:rPr>
          <w:color w:val="000000"/>
          <w:shd w:fill="FFFFFF" w:val="clear"/>
        </w:rPr>
        <w:t xml:space="preserve"> </w:t>
      </w:r>
      <w:r>
        <w:rPr>
          <w:rFonts w:ascii="Times New Roman;sans-serif" w:hAnsi="Times New Roman;sans-serif"/>
          <w:b w:val="false"/>
          <w:color w:val="000000"/>
          <w:sz w:val="20"/>
          <w:shd w:fill="FFFFFF" w:val="clear"/>
        </w:rPr>
        <w:t>and 0.1 million the three months ended</w:t>
      </w:r>
      <w:r>
        <w:rPr>
          <w:color w:val="000000"/>
        </w:rPr>
        <w:t xml:space="preserve"> </w:t>
      </w:r>
      <w:r>
        <w:rPr>
          <w:rFonts w:ascii="Times New Roman;sans-serif" w:hAnsi="Times New Roman;sans-serif"/>
          <w:b w:val="false"/>
          <w:color w:val="000000"/>
          <w:sz w:val="20"/>
        </w:rPr>
        <w:t>March 31, 2025 and 2024, respectively. For the three months ended March 31, 2025 and 2024, SARs and RSAs were not included in the diluted earnings per share calculations as they would have been anti-dilutive because the Company’s average stock price was less than or equal to the exercise price of the SARs or the grant price of the RSAs.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14.    Related Party Transactions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Weichai Transactions</w:t>
      </w:r>
    </w:p>
    <w:p>
      <w:pPr>
        <w:pStyle w:val="TextBody"/>
        <w:bidi w:val="0"/>
        <w:spacing w:lineRule="auto" w:line="288" w:before="120" w:after="120"/>
        <w:jc w:val="both"/>
        <w:rPr/>
      </w:pPr>
      <w:r>
        <w:rPr>
          <w:rFonts w:ascii="Times New Roman;sans-serif" w:hAnsi="Times New Roman;sans-serif"/>
          <w:b w:val="false"/>
          <w:color w:val="000000"/>
          <w:sz w:val="20"/>
        </w:rPr>
        <w:t xml:space="preserve">See Note 3. </w:t>
      </w:r>
      <w:r>
        <w:rPr>
          <w:rFonts w:ascii="Times New Roman;sans-serif" w:hAnsi="Times New Roman;sans-serif"/>
          <w:b w:val="false"/>
          <w:i/>
          <w:color w:val="000000"/>
          <w:sz w:val="20"/>
        </w:rPr>
        <w:t>Weichai Transactions</w:t>
      </w:r>
      <w:r>
        <w:rPr>
          <w:color w:val="000000"/>
        </w:rPr>
        <w:t xml:space="preserve"> </w:t>
      </w:r>
      <w:r>
        <w:rPr>
          <w:rFonts w:ascii="Times New Roman;sans-serif" w:hAnsi="Times New Roman;sans-serif"/>
          <w:b w:val="false"/>
          <w:color w:val="000000"/>
          <w:sz w:val="20"/>
        </w:rPr>
        <w:t>for information regarding the Weichai Shareholder’s Loan Agreement and Collaboration Agreement</w:t>
      </w:r>
      <w:r>
        <w:rPr>
          <w:rFonts w:ascii="Times New Roman;sans-serif" w:hAnsi="Times New Roman;sans-serif"/>
          <w:b/>
          <w:color w:val="000000"/>
          <w:sz w:val="20"/>
        </w:rPr>
        <w:t>.</w:t>
      </w:r>
      <w:r>
        <w:rPr>
          <w:color w:val="000000"/>
        </w:rPr>
        <w:t xml:space="preserve">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Other Related Party Transactions</w:t>
      </w:r>
    </w:p>
    <w:p>
      <w:pPr>
        <w:pStyle w:val="TextBody"/>
        <w:bidi w:val="0"/>
        <w:spacing w:lineRule="auto" w:line="288" w:before="120" w:after="120"/>
        <w:jc w:val="both"/>
        <w:rPr/>
      </w:pPr>
      <w:r>
        <w:rPr>
          <w:rFonts w:ascii="Times New Roman;sans-serif" w:hAnsi="Times New Roman;sans-serif"/>
          <w:b w:val="false"/>
          <w:color w:val="000000"/>
          <w:sz w:val="20"/>
        </w:rPr>
        <w:t xml:space="preserve">See Note 10.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for information regarding the Company’s indemnification obligations related to certain former directors and officers of the Company.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2025, the Company entered into a five-year purchase agreement with SWIEC, for the exclusive purchase and distribution of certain engine and engine components for the fulfillment of a contract with a customer in North America. The supply agreement includes annual minimum requirements of products ordered during the initial term. If all minimum targets are met within the first three-year periods, the contract may be negotiated to extend beyond the five-year initial term. The annual minimum requirements are as follows: </w:t>
      </w:r>
    </w:p>
    <w:tbl>
      <w:tblPr>
        <w:tblW w:w="3603" w:type="dxa"/>
        <w:jc w:val="left"/>
        <w:tblInd w:w="0" w:type="dxa"/>
        <w:tblLayout w:type="fixed"/>
        <w:tblCellMar>
          <w:top w:w="28" w:type="dxa"/>
          <w:left w:w="28" w:type="dxa"/>
          <w:bottom w:w="28" w:type="dxa"/>
          <w:right w:w="28" w:type="dxa"/>
        </w:tblCellMar>
      </w:tblPr>
      <w:tblGrid>
        <w:gridCol w:w="792"/>
        <w:gridCol w:w="698"/>
        <w:gridCol w:w="700"/>
        <w:gridCol w:w="109"/>
        <w:gridCol w:w="109"/>
        <w:gridCol w:w="109"/>
        <w:gridCol w:w="196"/>
        <w:gridCol w:w="736"/>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309,131 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20"/>
        </w:rPr>
        <w:t>In February 2025, the Company entered into a MOR agreement with Weichai. The MOR agreement requires the Company to pay Weichai a fee of 1.75% of gross revenues generated by the sale of certain engines manufactured by Weichai. Fees are due on a quarterly basis. The MOR agreement further requires the 1.75% fee to be paid for applicable sales of these engines beginning January 2024. As of</w:t>
      </w:r>
      <w:r>
        <w:rPr>
          <w:color w:val="000000"/>
          <w:shd w:fill="FFFFFF" w:val="clear"/>
        </w:rPr>
        <w:t xml:space="preserve"> </w:t>
      </w:r>
      <w:r>
        <w:rPr>
          <w:rFonts w:ascii="Times New Roman;sans-serif" w:hAnsi="Times New Roman;sans-serif"/>
          <w:b w:val="false"/>
          <w:color w:val="000000"/>
          <w:sz w:val="20"/>
        </w:rPr>
        <w:t xml:space="preserve">March 31, 2025, the Company had recorded an estimated liability of </w:t>
      </w:r>
      <w:r>
        <w:rPr>
          <w:rFonts w:ascii="Times New Roman;sans-serif" w:hAnsi="Times New Roman;sans-serif"/>
          <w:b w:val="false"/>
          <w:color w:val="000000"/>
          <w:sz w:val="20"/>
          <w:shd w:fill="FFFFFF" w:val="clear"/>
        </w:rPr>
        <w:t>$0.1 million</w:t>
      </w:r>
      <w:r>
        <w:rPr>
          <w:rFonts w:ascii="Times New Roman;sans-serif" w:hAnsi="Times New Roman;sans-serif"/>
          <w:b w:val="false"/>
          <w:color w:val="000000"/>
          <w:sz w:val="20"/>
        </w:rPr>
        <w:t xml:space="preserve">, recorded within </w:t>
      </w:r>
      <w:r>
        <w:rPr>
          <w:rFonts w:ascii="Times New Roman;sans-serif" w:hAnsi="Times New Roman;sans-serif"/>
          <w:b w:val="false"/>
          <w:i/>
          <w:color w:val="000000"/>
          <w:sz w:val="20"/>
        </w:rPr>
        <w:t xml:space="preserve">Other accrued liabilities </w:t>
      </w:r>
      <w:r>
        <w:rPr>
          <w:rFonts w:ascii="Times New Roman;sans-serif" w:hAnsi="Times New Roman;sans-serif"/>
          <w:b w:val="false"/>
          <w:color w:val="000000"/>
          <w:sz w:val="20"/>
        </w:rPr>
        <w:t xml:space="preserve">on the Consolidated Balance Sheets for the fee due to Weichai. The MOR agreement expires in December 2029.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ans-serif" w:hAnsi="Times New Roman;sans-serif"/>
          <w:b/>
          <w:color w:val="000000"/>
          <w:sz w:val="20"/>
        </w:rPr>
        <w:t>Note 15.</w:t>
      </w:r>
      <w:r>
        <w:rPr>
          <w:color w:val="000000"/>
        </w:rPr>
        <w:t xml:space="preserve"> </w:t>
      </w:r>
      <w:r>
        <w:rPr>
          <w:rFonts w:ascii="Times New Roman;sans-serif" w:hAnsi="Times New Roman;sans-serif"/>
          <w:b/>
          <w:color w:val="000000"/>
          <w:sz w:val="20"/>
        </w:rPr>
        <w:t>Segment Reporting</w:t>
      </w:r>
    </w:p>
    <w:p>
      <w:pPr>
        <w:pStyle w:val="TextBody"/>
        <w:bidi w:val="0"/>
        <w:spacing w:lineRule="auto" w:line="288" w:before="120" w:after="120"/>
        <w:jc w:val="both"/>
        <w:rPr/>
      </w:pPr>
      <w:r>
        <w:rPr>
          <w:rFonts w:ascii="Times New Roman;sans-serif" w:hAnsi="Times New Roman;sans-serif"/>
          <w:b w:val="false"/>
          <w:color w:val="000000"/>
          <w:sz w:val="20"/>
        </w:rPr>
        <w:t xml:space="preserve">Operating segments are defined as components of a business that can earn revenues and incur expenses for which discrete financial information is available that is reviewed on a regular basis by the chief operating decision maker (“CODM”). The Company operates </w:t>
      </w:r>
      <w:r>
        <w:rPr>
          <w:rFonts w:ascii="Times New Roman;sans-serif" w:hAnsi="Times New Roman;sans-serif"/>
          <w:b w:val="false"/>
          <w:color w:val="000000"/>
          <w:sz w:val="20"/>
          <w:shd w:fill="FFFFFF" w:val="clear"/>
        </w:rPr>
        <w:t xml:space="preserve">as one business and geographic operating and reportable segment. </w:t>
      </w:r>
    </w:p>
    <w:p>
      <w:pPr>
        <w:pStyle w:val="TextBody"/>
        <w:bidi w:val="0"/>
        <w:spacing w:lineRule="auto" w:line="288" w:before="12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Chief Operating Decision Maker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CODM is its Chief Executive Officer (“CEO”). The CEO oversees the strategic planning and direction of the Company, and the CEO has final approval in assessing the Company’s performance and allocating its resources.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Identification of Reportable Segment</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Company’s single reportable segment derives revenues primarily in North America from customers by designing, engineering, manufacturing, marketing and selling a broad range of advanced, emission-certified engines and power systems that are powered by a wide variety of clean, alternative fuels, including natural gas, propane, and biofuels, as well as gasoline and diesel options, within the power systems, industrial and transportation end markets. Revenue is attributed to geographic areas based on the country of sale. The sources of external revenue by end market and geographic area are previously disclosed in Note 2. </w:t>
      </w:r>
      <w:r>
        <w:rPr>
          <w:rFonts w:ascii="Times New Roman;sans-serif" w:hAnsi="Times New Roman;sans-serif"/>
          <w:b w:val="false"/>
          <w:i/>
          <w:color w:val="000000"/>
          <w:sz w:val="20"/>
        </w:rPr>
        <w:t>Revenue</w:t>
      </w:r>
      <w:r>
        <w:rPr>
          <w:rFonts w:ascii="Times New Roman;sans-serif" w:hAnsi="Times New Roman;sans-serif"/>
          <w:b w:val="false"/>
          <w:color w:val="000000"/>
          <w:sz w:val="20"/>
        </w:rPr>
        <w: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basis for the CODM's decisions about the allocation of Company resources as well as the basis for the CODM's assessments of the evaluation of the Company's (segment) performance. Specifically, the Company evaluated the financial information that is generally provided and / or is available to the CODM. The Company’s CODM reviews consolidated statements of income to make decisions, allocate resources and assess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Measurement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assesses performance and decides how to allocate resources primarily using consolidated revenue by end market and consolidated net income (loss). The CODM uses consolidated net income (loss) to monitor budget and forecast information to actual results. The CODM reviews cash, accounts receivable, inventory, accounts payable, and total debt; however other long-lived asset information is not reviewed by the CODM. </w:t>
      </w:r>
    </w:p>
    <w:p>
      <w:pPr>
        <w:pStyle w:val="TextBody"/>
        <w:bidi w:val="0"/>
        <w:spacing w:lineRule="auto" w:line="288" w:before="120" w:after="120"/>
        <w:jc w:val="both"/>
        <w:rPr/>
      </w:pPr>
      <w:r>
        <w:rPr>
          <w:rFonts w:ascii="Times New Roman;sans-serif" w:hAnsi="Times New Roman;sans-serif"/>
          <w:b w:val="false"/>
          <w:color w:val="000000"/>
          <w:sz w:val="20"/>
        </w:rPr>
        <w:t xml:space="preserve">The accounting policies of the Company’s single reportable segment are the same as those described in the Note 1. </w:t>
      </w:r>
      <w:r>
        <w:rPr>
          <w:rFonts w:ascii="Times New Roman;sans-serif" w:hAnsi="Times New Roman;sans-serif"/>
          <w:b w:val="false"/>
          <w:i/>
          <w:color w:val="000000"/>
          <w:sz w:val="20"/>
        </w:rPr>
        <w:t>Summary of Significant Accounting Policies and Other Information</w:t>
      </w:r>
      <w:r>
        <w:rPr>
          <w:rFonts w:ascii="Times New Roman;sans-serif" w:hAnsi="Times New Roman;sans-serif"/>
          <w:b w:val="false"/>
          <w:color w:val="000000"/>
          <w:sz w:val="20"/>
        </w:rPr>
        <w:t xml:space="preserve">. The measure of segment assets is consolidated total assets presented in the Company’s Consolidated Balance Sheets. Note 1 </w:t>
      </w:r>
      <w:r>
        <w:rPr>
          <w:rFonts w:ascii="Times New Roman;sans-serif" w:hAnsi="Times New Roman;sans-serif"/>
          <w:b w:val="false"/>
          <w:i/>
          <w:color w:val="000000"/>
          <w:sz w:val="20"/>
        </w:rPr>
        <w:t>Concentrations</w:t>
      </w:r>
      <w:r>
        <w:rPr>
          <w:color w:val="000000"/>
        </w:rPr>
        <w:t xml:space="preserve"> </w:t>
      </w:r>
      <w:r>
        <w:rPr>
          <w:rFonts w:ascii="Times New Roman;sans-serif" w:hAnsi="Times New Roman;sans-serif"/>
          <w:b w:val="false"/>
          <w:color w:val="000000"/>
          <w:sz w:val="20"/>
        </w:rPr>
        <w:t xml:space="preserve">discloses customers individually accounting for more than 10% of the Company’s consolidated net sales.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Expenses</w:t>
      </w:r>
    </w:p>
    <w:p>
      <w:pPr>
        <w:pStyle w:val="TextBody"/>
        <w:bidi w:val="0"/>
        <w:spacing w:lineRule="auto" w:line="268" w:before="0" w:after="0"/>
        <w:jc w:val="left"/>
        <w:rPr/>
      </w:pPr>
      <w:r>
        <w:rPr>
          <w:rFonts w:ascii="Times New Roman;sans-serif" w:hAnsi="Times New Roman;sans-serif"/>
          <w:b w:val="false"/>
          <w:color w:val="000000"/>
          <w:sz w:val="20"/>
        </w:rPr>
        <w:t xml:space="preserve">Significant segment expenses are presented in the </w:t>
      </w:r>
      <w:r>
        <w:rPr>
          <w:rFonts w:ascii="Times New Roman;sans-serif" w:hAnsi="Times New Roman;sans-serif"/>
          <w:b w:val="false"/>
          <w:i/>
          <w:color w:val="000000"/>
          <w:sz w:val="20"/>
        </w:rPr>
        <w:t>Consolidated Statement of Operations</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16. Subsequent Events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2025, the Company made an additional $5.0 million payment toward the SLA. The outstanding balance under the SLA is $10.0 million as of May 8,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includes forward-looking statements about the Company’s business and consolidated results of operations for the three months ended March 31, 2025 and 2024, including discussions about management’s expectations for the Company’s business. These statements represent projections, beliefs and expectations based on current circumstances and conditions and are made in light of recent events and trends. These statements should not be construed either as assurances of performance or as promises of a given course of action. Instead, various known and unknown factors are likely to cause the Company’s actual performance and management’s actions to vary, and the results of these variances may be both material and adverse. See “Forward-Looking Statements” in this Quarterly Report. The following discussion should also be read in conjunction with the Company’s unaudited consolidated financial statements and the related Notes included in this Quarterly Report.</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Executive Overview</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The Company </w:t>
      </w:r>
      <w:r>
        <w:rPr>
          <w:rFonts w:ascii="Times New Roman;sans-serif" w:hAnsi="Times New Roman;sans-serif"/>
          <w:b w:val="false"/>
          <w:color w:val="000000"/>
          <w:sz w:val="20"/>
        </w:rPr>
        <w:t xml:space="preserve">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research and development (“R&amp;D”), sales and distribution facilities located in suburban Chicago, Illinois and Darien and Beloit, Wisconsin. 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Net sales by geographic area and by end market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months ended March 31, 2025 and 2024 are presented below:</w:t>
      </w:r>
    </w:p>
    <w:tbl>
      <w:tblPr>
        <w:tblW w:w="6500" w:type="dxa"/>
        <w:jc w:val="left"/>
        <w:tblInd w:w="0" w:type="dxa"/>
        <w:tblLayout w:type="fixed"/>
        <w:tblCellMar>
          <w:top w:w="28" w:type="dxa"/>
          <w:left w:w="28" w:type="dxa"/>
          <w:bottom w:w="28" w:type="dxa"/>
          <w:right w:w="28" w:type="dxa"/>
        </w:tblCellMar>
      </w:tblPr>
      <w:tblGrid>
        <w:gridCol w:w="700"/>
        <w:gridCol w:w="617"/>
        <w:gridCol w:w="618"/>
        <w:gridCol w:w="109"/>
        <w:gridCol w:w="109"/>
        <w:gridCol w:w="109"/>
        <w:gridCol w:w="196"/>
        <w:gridCol w:w="736"/>
        <w:gridCol w:w="109"/>
        <w:gridCol w:w="213"/>
        <w:gridCol w:w="213"/>
        <w:gridCol w:w="504"/>
        <w:gridCol w:w="109"/>
        <w:gridCol w:w="109"/>
        <w:gridCol w:w="109"/>
        <w:gridCol w:w="196"/>
        <w:gridCol w:w="646"/>
        <w:gridCol w:w="109"/>
        <w:gridCol w:w="210"/>
        <w:gridCol w:w="211"/>
        <w:gridCol w:w="568"/>
      </w:tblGrid>
      <w:tr>
        <w:trPr/>
        <w:tc>
          <w:tcPr>
            <w:tcW w:w="70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North America </w:t>
              <w:br/>
              <w:t>(outside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5835" w:type="dxa"/>
        <w:jc w:val="center"/>
        <w:tblInd w:w="0" w:type="dxa"/>
        <w:tblLayout w:type="fixed"/>
        <w:tblCellMar>
          <w:top w:w="28" w:type="dxa"/>
          <w:left w:w="28" w:type="dxa"/>
          <w:bottom w:w="28" w:type="dxa"/>
          <w:right w:w="28" w:type="dxa"/>
        </w:tblCellMar>
      </w:tblPr>
      <w:tblGrid>
        <w:gridCol w:w="445"/>
        <w:gridCol w:w="392"/>
        <w:gridCol w:w="393"/>
        <w:gridCol w:w="109"/>
        <w:gridCol w:w="109"/>
        <w:gridCol w:w="109"/>
        <w:gridCol w:w="196"/>
        <w:gridCol w:w="736"/>
        <w:gridCol w:w="109"/>
        <w:gridCol w:w="213"/>
        <w:gridCol w:w="213"/>
        <w:gridCol w:w="504"/>
        <w:gridCol w:w="109"/>
        <w:gridCol w:w="109"/>
        <w:gridCol w:w="109"/>
        <w:gridCol w:w="196"/>
        <w:gridCol w:w="646"/>
        <w:gridCol w:w="109"/>
        <w:gridCol w:w="258"/>
        <w:gridCol w:w="203"/>
        <w:gridCol w:w="568"/>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Recent Trends and Business Outlook</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PSI’s growth in net revenue for the three months in 2025 was driven by power systems markets, including data center and oil and gas products, partially offset by lower sales from more mature, lower-margin markets such as industrial. This shift in markets reflects the Company’s conscious strategic prioritization toward higher growth, higher-margin markets with less emphasis on more mature markets.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focused on leading the business through a growth phase with a stronger balance sheet while strategically prioritizing products that demonstrate strong demand and higher gross margins. Consistent with those goals, the Company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20" w:after="1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actively pursuing several initiatives to enhance and expand manufacturing capacity to meet the increasing demand from data center markets. Pivoting the focus to these markets is driving current net sales growth and profitability. Through expanded capacity and strategic partnerships, management expects this positive trend to continue. </w:t>
      </w:r>
    </w:p>
    <w:p>
      <w:pPr>
        <w:pStyle w:val="TextBody"/>
        <w:bidi w:val="0"/>
        <w:spacing w:lineRule="auto" w:line="288" w:before="120" w:after="120"/>
        <w:jc w:val="both"/>
        <w:rPr/>
      </w:pPr>
      <w:r>
        <w:rPr>
          <w:rFonts w:ascii="Times New Roman;sans-serif" w:hAnsi="Times New Roman;sans-serif"/>
          <w:b w:val="false"/>
          <w:color w:val="000000"/>
          <w:sz w:val="20"/>
        </w:rPr>
        <w:t>PSI’s business is impacted by the current macroeconomic and geopolitical environment.</w:t>
      </w:r>
      <w:r>
        <w:rPr>
          <w:color w:val="000000"/>
        </w:rPr>
        <w:t xml:space="preserve"> </w:t>
      </w:r>
      <w:r>
        <w:rPr>
          <w:rFonts w:ascii="Times New Roman;sans-serif" w:hAnsi="Times New Roman;sans-serif"/>
          <w:b w:val="false"/>
          <w:color w:val="000000"/>
          <w:sz w:val="20"/>
        </w:rPr>
        <w:t xml:space="preserve">For example, although the oil and gas market, in which the Company has historically operated, has experienced year over year growth from its historic lows, sales levels may not reach their previous higher levels because of lower rig counts. The Company has been actively navigating these challenges by balancing its investments, expenses, pricing and sales efforts in this market as well as others.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prioritizing gross profit, the Company is committed to efficiently managing expenses, including streamlining operating expenses and prioritizing certain R&amp;D investments in support of long-term growth objectives. The Company is committed to focusing on growth opportunities and investment while also optimizing its cost structure to enhance growth and profitability, ultimately delivering sustained value to our shareholders.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experiences recent tariff costs associated with its supply chain products. We are actively assessing the evolving tariff environment and are committed to proactively mitigate any associated risks through strategic sourcing, pricing actions, and supply chain agility. The potential for continued economic uncertainty and unfavorable oil and gas market dynamics may have a material adverse impact on the levels of future customer orders and the Company’s future business operations, financial condition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40"/>
        <w:jc w:val="both"/>
        <w:rPr/>
      </w:pPr>
      <w:r>
        <w:rPr>
          <w:rFonts w:ascii="Times New Roman;sans-serif" w:hAnsi="Times New Roman;sans-serif"/>
          <w:b/>
          <w:i/>
          <w:color w:val="000000"/>
          <w:sz w:val="20"/>
        </w:rPr>
        <w:t>Results of operations for the three months ended March 31, 2025 compared with the three months ended March 31, 2024</w:t>
      </w:r>
      <w:r>
        <w:rPr>
          <w:rFonts w:ascii="Times New Roman;sans-serif" w:hAnsi="Times New Roman;sans-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47"/>
        <w:gridCol w:w="1317"/>
        <w:gridCol w:w="1322"/>
        <w:gridCol w:w="109"/>
        <w:gridCol w:w="109"/>
        <w:gridCol w:w="109"/>
        <w:gridCol w:w="213"/>
        <w:gridCol w:w="802"/>
        <w:gridCol w:w="279"/>
        <w:gridCol w:w="118"/>
        <w:gridCol w:w="118"/>
        <w:gridCol w:w="118"/>
        <w:gridCol w:w="213"/>
        <w:gridCol w:w="704"/>
        <w:gridCol w:w="279"/>
        <w:gridCol w:w="109"/>
        <w:gridCol w:w="109"/>
        <w:gridCol w:w="109"/>
        <w:gridCol w:w="196"/>
        <w:gridCol w:w="646"/>
        <w:gridCol w:w="256"/>
        <w:gridCol w:w="109"/>
        <w:gridCol w:w="109"/>
        <w:gridCol w:w="109"/>
        <w:gridCol w:w="210"/>
        <w:gridCol w:w="211"/>
        <w:gridCol w:w="575"/>
      </w:tblGrid>
      <w:tr>
        <w:trPr/>
        <w:tc>
          <w:tcPr>
            <w:tcW w:w="164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sales</w:t>
            </w:r>
          </w:p>
          <w:p>
            <w:pPr>
              <w:pStyle w:val="TableContents"/>
              <w:bidi w:val="0"/>
              <w:spacing w:lineRule="auto" w:line="240" w:before="0" w:after="0"/>
              <w:jc w:val="left"/>
              <w:rPr/>
            </w:pPr>
            <w:r>
              <w:rPr>
                <w:rFonts w:ascii="Times New Roman;sans-serif" w:hAnsi="Times New Roman;sans-serif"/>
                <w:b w:val="false"/>
                <w:color w:val="000000"/>
                <w:sz w:val="18"/>
              </w:rPr>
              <w:t xml:space="preserve">(from related parties </w:t>
            </w:r>
            <w:r>
              <w:rPr>
                <w:rFonts w:ascii="Times New Roman;sans-serif" w:hAnsi="Times New Roman;sans-serif"/>
                <w:b w:val="false"/>
                <w:color w:val="000000"/>
                <w:sz w:val="18"/>
                <w:shd w:fill="CCEEFF" w:val="clear"/>
              </w:rPr>
              <w:t>$464</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CCEEFF" w:val="clear"/>
              </w:rPr>
              <w:t>$197</w:t>
            </w:r>
            <w:r>
              <w:rPr>
                <w:color w:val="000000"/>
              </w:rPr>
              <w:t xml:space="preserve"> </w:t>
            </w:r>
            <w:r>
              <w:rPr>
                <w:rFonts w:ascii="Times New Roman;sans-serif" w:hAnsi="Times New Roman;sans-serif"/>
                <w:b w:val="false"/>
                <w:color w:val="000000"/>
                <w:sz w:val="18"/>
              </w:rPr>
              <w:t>for the three months ended March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135,446 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p>
            <w:pPr>
              <w:pStyle w:val="TableContents"/>
              <w:bidi w:val="0"/>
              <w:spacing w:lineRule="auto" w:line="240" w:before="0" w:after="0"/>
              <w:jc w:val="left"/>
              <w:rPr/>
            </w:pPr>
            <w:r>
              <w:rPr>
                <w:rFonts w:ascii="Times New Roman;sans-serif" w:hAnsi="Times New Roman;sans-serif"/>
                <w:b w:val="false"/>
                <w:color w:val="000000"/>
                <w:sz w:val="18"/>
              </w:rPr>
              <w:t xml:space="preserve">(from related parties </w:t>
            </w:r>
            <w:r>
              <w:rPr>
                <w:rFonts w:ascii="Times New Roman;sans-serif" w:hAnsi="Times New Roman;sans-serif"/>
                <w:b w:val="false"/>
                <w:color w:val="000000"/>
                <w:sz w:val="18"/>
                <w:shd w:fill="FFFFFF" w:val="clear"/>
              </w:rPr>
              <w:t>$316</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FFFFFF" w:val="clear"/>
              </w:rPr>
              <w:t>$153</w:t>
            </w:r>
            <w:r>
              <w:rPr>
                <w:color w:val="000000"/>
              </w:rPr>
              <w:t xml:space="preserve"> </w:t>
            </w:r>
            <w:r>
              <w:rPr>
                <w:rFonts w:ascii="Times New Roman;sans-serif" w:hAnsi="Times New Roman;sans-serif"/>
                <w:b w:val="false"/>
                <w:color w:val="000000"/>
                <w:sz w:val="18"/>
              </w:rPr>
              <w:t>for the three months ended March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95,152 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40,294 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29.7 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27.0 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Research and development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3.1 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5.5 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Selling, general and administrative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8.2 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10.0 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24,634 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10,662 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expense (to related parties </w:t>
            </w:r>
            <w:r>
              <w:rPr>
                <w:rFonts w:ascii="Times New Roman;sans-serif" w:hAnsi="Times New Roman;sans-serif"/>
                <w:b w:val="false"/>
                <w:color w:val="000000"/>
                <w:sz w:val="18"/>
                <w:shd w:fill="CCEEFF" w:val="clear"/>
              </w:rPr>
              <w:t>$415</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CCEEFF" w:val="clear"/>
              </w:rPr>
              <w:t>$2,222</w:t>
            </w:r>
            <w:r>
              <w:rPr>
                <w:color w:val="000000"/>
              </w:rPr>
              <w:t xml:space="preserve"> </w:t>
            </w:r>
            <w:r>
              <w:rPr>
                <w:rFonts w:ascii="Times New Roman;sans-serif" w:hAnsi="Times New Roman;sans-serif"/>
                <w:b w:val="false"/>
                <w:color w:val="000000"/>
                <w:sz w:val="18"/>
              </w:rPr>
              <w:t>for the three months ended March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22,868 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19,082 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Financial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Adjusted net income </w:t>
            </w: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net income per share – diluted</w:t>
            </w: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EBITDA </w:t>
            </w: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Adjusted EBITDA </w:t>
            </w: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NM    Not meaningful </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See reconciliation of non-GAAP financial measures to GAAP results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Sales</w:t>
      </w:r>
    </w:p>
    <w:p>
      <w:pPr>
        <w:pStyle w:val="TextBody"/>
        <w:bidi w:val="0"/>
        <w:spacing w:lineRule="auto" w:line="288" w:before="120" w:after="120"/>
        <w:jc w:val="both"/>
        <w:rPr/>
      </w:pPr>
      <w:r>
        <w:rPr>
          <w:rFonts w:ascii="Times New Roman;sans-serif" w:hAnsi="Times New Roman;sans-serif"/>
          <w:b w:val="false"/>
          <w:color w:val="000000"/>
          <w:sz w:val="20"/>
        </w:rPr>
        <w:t>Net sales increased $40.2 million, or 42%, during the three months ended March 31, 2025 compared to the three months ended March 31, 2024, as a re</w:t>
      </w:r>
      <w:r>
        <w:rPr>
          <w:rFonts w:ascii="Times New Roman;sans-serif" w:hAnsi="Times New Roman;sans-serif"/>
          <w:b w:val="false"/>
          <w:color w:val="000000"/>
          <w:sz w:val="20"/>
          <w:shd w:fill="FFFFFF" w:val="clear"/>
        </w:rPr>
        <w:t>sult of sales increases of $44.7 million and $0.8 million in the power systems and transportation end markets, respectively, partly offset by a decrease of $5.2 million in the industrial end market. Higher power systems end market sales were primarily due to increased demand for products across various applications, with the largest increases attributable to products used within the packaging market such as enclosures serving the fast-growing data center market, and oil and gas products. The Company is strategically prioritizing the rapidly expanding data center sector, improving and increasing our manufacturing capacity and capabilities to meet our customers’ evolving demands for our products. The lower industrial end market sales is primarily driven by reduced demand in the material handling market. The Company is actively pursuing new industrial customers for sales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lineRule="auto" w:line="288" w:before="120" w:after="120"/>
        <w:jc w:val="both"/>
        <w:rPr/>
      </w:pPr>
      <w:r>
        <w:rPr>
          <w:rFonts w:ascii="Times New Roman;sans-serif" w:hAnsi="Times New Roman;sans-serif"/>
          <w:b w:val="false"/>
          <w:color w:val="000000"/>
          <w:sz w:val="20"/>
        </w:rPr>
        <w:t>Gross profit increased by $14.5 million, or 56%, during the three months ended March 31, 2025, as compared to the three months ended March 31, 2024. Gross marg</w:t>
      </w:r>
      <w:r>
        <w:rPr>
          <w:rFonts w:ascii="Times New Roman;sans-serif" w:hAnsi="Times New Roman;sans-serif"/>
          <w:b w:val="false"/>
          <w:color w:val="000000"/>
          <w:sz w:val="20"/>
          <w:shd w:fill="FFFFFF" w:val="clear"/>
        </w:rPr>
        <w:t xml:space="preserve">in was 29.7% during the three months ended March 31, 2025, an increase of 2.7% compared to 27.0% for the three months ended March 31, 2024, primarily due to improved mix, pricing actions, and lower warranty costs attributable to the Company's strategic sales shift away from some of our transportation customers. For the three months ended March 31, 2025, warranty costs were $0.6 million compared to warranty costs of $1.5 million in the same period last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Selling, general and administrative (“SG&amp;A”) expenses increased during the three months ended March 31, 2025 by $1.6 million, or 17%, compared to the three months ended March 31, 2024. The increase is primarily due to higher legal expenses, professional fees and administrative expenses to support business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Interest expense decreased $1.6 million to $1.8 million for the three months ended March 31, 2025 as compared to the three months ended March 31, 2024, largely due to reduced outstanding debt and lower overall effective interest rates. See Note 6. </w:t>
      </w:r>
      <w:r>
        <w:rPr>
          <w:rFonts w:ascii="Times New Roman;sans-serif" w:hAnsi="Times New Roman;sans-serif"/>
          <w:b w:val="false"/>
          <w:i/>
          <w:color w:val="000000"/>
          <w:sz w:val="20"/>
          <w:shd w:fill="FFFFFF" w:val="clear"/>
        </w:rPr>
        <w:t>Debt</w:t>
      </w:r>
      <w:r>
        <w:rPr>
          <w:rFonts w:ascii="Times New Roman;sans-serif" w:hAnsi="Times New Roman;sans-serif"/>
          <w:b w:val="false"/>
          <w:color w:val="000000"/>
          <w:sz w:val="20"/>
          <w:shd w:fill="FFFFFF" w:val="clear"/>
        </w:rPr>
        <w:t xml:space="preserve">, included in Part I, Item 1. </w:t>
      </w:r>
      <w:r>
        <w:rPr>
          <w:rFonts w:ascii="Times New Roman;sans-serif" w:hAnsi="Times New Roman;sans-serif"/>
          <w:b w:val="false"/>
          <w:i/>
          <w:color w:val="000000"/>
          <w:sz w:val="20"/>
          <w:shd w:fill="FFFFFF" w:val="clear"/>
        </w:rPr>
        <w:t>Financial Statements</w:t>
      </w:r>
      <w:r>
        <w:rPr>
          <w:rFonts w:ascii="Times New Roman;sans-serif" w:hAnsi="Times New Roman;sans-serif"/>
          <w:b w:val="false"/>
          <w:color w:val="000000"/>
          <w:sz w:val="20"/>
          <w:shd w:fill="FFFFFF" w:val="clear"/>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 Expense</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The Company recorded i</w:t>
      </w:r>
      <w:r>
        <w:rPr>
          <w:rFonts w:ascii="Times New Roman;sans-serif" w:hAnsi="Times New Roman;sans-serif"/>
          <w:b w:val="false"/>
          <w:color w:val="000000"/>
          <w:sz w:val="20"/>
        </w:rPr>
        <w:t>ncome tax expense</w:t>
      </w:r>
      <w:r>
        <w:rPr>
          <w:color w:val="000000"/>
          <w:shd w:fill="FFFFFF" w:val="clear"/>
        </w:rPr>
        <w:t xml:space="preserve"> </w:t>
      </w:r>
      <w:r>
        <w:rPr>
          <w:rFonts w:ascii="Times New Roman;sans-serif" w:hAnsi="Times New Roman;sans-serif"/>
          <w:b w:val="false"/>
          <w:color w:val="000000"/>
          <w:sz w:val="20"/>
          <w:shd w:fill="FFFFFF" w:val="clear"/>
        </w:rPr>
        <w:t xml:space="preserve">of $3.8 million and </w:t>
      </w:r>
      <w:r>
        <w:rPr>
          <w:rFonts w:ascii="Times New Roman;sans-serif" w:hAnsi="Times New Roman;sans-serif"/>
          <w:b w:val="false"/>
          <w:color w:val="000000"/>
          <w:sz w:val="20"/>
        </w:rPr>
        <w:t xml:space="preserve">$0.2 million </w:t>
      </w:r>
      <w:r>
        <w:rPr>
          <w:rFonts w:ascii="Times New Roman;sans-serif" w:hAnsi="Times New Roman;sans-serif"/>
          <w:b w:val="false"/>
          <w:color w:val="000000"/>
          <w:sz w:val="20"/>
          <w:shd w:fill="FFFFFF" w:val="clear"/>
        </w:rPr>
        <w:t xml:space="preserve">for the three months ended March 31, 2025 and 2024, respectively. The Company’s pretax income was </w:t>
      </w:r>
      <w:r>
        <w:rPr>
          <w:rFonts w:ascii="Times New Roman;sans-serif" w:hAnsi="Times New Roman;sans-serif"/>
          <w:b w:val="false"/>
          <w:color w:val="000000"/>
          <w:sz w:val="20"/>
        </w:rPr>
        <w:t>$22.9 million</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March 31, 2025, compared to a pretax income of $7.3 million for the three months ended March 31, 2024. The Company continues to record a full valuation allowance against deferred tax assets. See Note 11. </w:t>
      </w:r>
      <w:r>
        <w:rPr>
          <w:rFonts w:ascii="Times New Roman;sans-serif" w:hAnsi="Times New Roman;sans-serif"/>
          <w:b w:val="false"/>
          <w:i/>
          <w:color w:val="000000"/>
          <w:sz w:val="20"/>
          <w:shd w:fill="FFFFFF" w:val="clear"/>
        </w:rPr>
        <w:t>Income Taxes</w:t>
      </w:r>
      <w:r>
        <w:rPr>
          <w:rFonts w:ascii="Times New Roman;sans-serif" w:hAnsi="Times New Roman;sans-serif"/>
          <w:b w:val="false"/>
          <w:color w:val="000000"/>
          <w:sz w:val="20"/>
          <w:shd w:fill="FFFFFF" w:val="clear"/>
        </w:rPr>
        <w:t xml:space="preserve">, included in Part 1, Item 1. </w:t>
      </w:r>
      <w:r>
        <w:rPr>
          <w:rFonts w:ascii="Times New Roman;sans-serif" w:hAnsi="Times New Roman;sans-serif"/>
          <w:b w:val="false"/>
          <w:i/>
          <w:color w:val="000000"/>
          <w:sz w:val="20"/>
          <w:shd w:fill="FFFFFF" w:val="clear"/>
        </w:rPr>
        <w:t>Financial Statements</w:t>
      </w:r>
      <w:r>
        <w:rPr>
          <w:rFonts w:ascii="Times New Roman;sans-serif" w:hAnsi="Times New Roman;sans-serif"/>
          <w:b w:val="false"/>
          <w:color w:val="000000"/>
          <w:sz w:val="20"/>
          <w:shd w:fill="FFFFFF" w:val="clear"/>
        </w:rPr>
        <w:t>, for additional information related to the Company’s income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120"/>
        <w:jc w:val="both"/>
        <w:rPr/>
      </w:pPr>
      <w:r>
        <w:rPr>
          <w:rFonts w:ascii="Times New Roman;sans-serif" w:hAnsi="Times New Roman;sans-serif"/>
          <w:b w:val="false"/>
          <w:color w:val="000000"/>
          <w:sz w:val="20"/>
        </w:rPr>
        <w:t xml:space="preserve">In addition to the results provided in accordance with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amounts reported by other companies. The non-GAAP financial measures should be considered in conjunction with the consolidated financial statements, including the related notes, and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included in this report. Management does not use these non-GAAP financial measures for any purpose other than the reasons stated below.</w:t>
      </w:r>
    </w:p>
    <w:tbl>
      <w:tblPr>
        <w:tblW w:w="6043" w:type="dxa"/>
        <w:jc w:val="left"/>
        <w:tblInd w:w="0" w:type="dxa"/>
        <w:tblLayout w:type="fixed"/>
        <w:tblCellMar>
          <w:top w:w="28" w:type="dxa"/>
          <w:left w:w="28" w:type="dxa"/>
          <w:bottom w:w="28" w:type="dxa"/>
          <w:right w:w="28" w:type="dxa"/>
        </w:tblCellMar>
      </w:tblPr>
      <w:tblGrid>
        <w:gridCol w:w="1060"/>
        <w:gridCol w:w="931"/>
        <w:gridCol w:w="933"/>
        <w:gridCol w:w="912"/>
        <w:gridCol w:w="912"/>
        <w:gridCol w:w="1295"/>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Financial Measure</w:t>
            </w:r>
          </w:p>
        </w:tc>
        <w:tc>
          <w:tcPr>
            <w:tcW w:w="3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Comparable GAAP Financial Measure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per share – diluted</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 diluted</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r>
    </w:tbl>
    <w:p>
      <w:pPr>
        <w:pStyle w:val="TextBody"/>
        <w:bidi w:val="0"/>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per share – diluted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 </w:t>
      </w:r>
    </w:p>
    <w:p>
      <w:pPr>
        <w:pStyle w:val="TextBody"/>
        <w:bidi w:val="0"/>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from Net income to Adjusted net income for the three months ended March 31, 2025 and 2024:</w:t>
      </w:r>
    </w:p>
    <w:tbl>
      <w:tblPr>
        <w:tblW w:w="6101" w:type="dxa"/>
        <w:jc w:val="left"/>
        <w:tblInd w:w="0" w:type="dxa"/>
        <w:tblLayout w:type="fixed"/>
        <w:tblCellMar>
          <w:top w:w="28" w:type="dxa"/>
          <w:left w:w="28" w:type="dxa"/>
          <w:bottom w:w="28" w:type="dxa"/>
          <w:right w:w="28" w:type="dxa"/>
        </w:tblCellMar>
      </w:tblPr>
      <w:tblGrid>
        <w:gridCol w:w="765"/>
        <w:gridCol w:w="674"/>
        <w:gridCol w:w="676"/>
        <w:gridCol w:w="109"/>
        <w:gridCol w:w="109"/>
        <w:gridCol w:w="109"/>
        <w:gridCol w:w="291"/>
        <w:gridCol w:w="960"/>
        <w:gridCol w:w="162"/>
        <w:gridCol w:w="162"/>
        <w:gridCol w:w="162"/>
        <w:gridCol w:w="162"/>
        <w:gridCol w:w="291"/>
        <w:gridCol w:w="826"/>
        <w:gridCol w:w="162"/>
        <w:gridCol w:w="109"/>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Legal Settlements</w:t>
            </w:r>
            <w:r>
              <w:rPr>
                <w:color w:val="000000"/>
              </w:rPr>
              <w:t xml:space="preserve">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from Net income per share – diluted to Adjusted net income per share – diluted for the three months ended March 31, 2025 and 2024:</w:t>
      </w:r>
    </w:p>
    <w:tbl>
      <w:tblPr>
        <w:tblW w:w="7180" w:type="dxa"/>
        <w:jc w:val="left"/>
        <w:tblInd w:w="0" w:type="dxa"/>
        <w:tblLayout w:type="fixed"/>
        <w:tblCellMar>
          <w:top w:w="28" w:type="dxa"/>
          <w:left w:w="28" w:type="dxa"/>
          <w:bottom w:w="28" w:type="dxa"/>
          <w:right w:w="28" w:type="dxa"/>
        </w:tblCellMar>
      </w:tblPr>
      <w:tblGrid>
        <w:gridCol w:w="1155"/>
        <w:gridCol w:w="1016"/>
        <w:gridCol w:w="1024"/>
        <w:gridCol w:w="109"/>
        <w:gridCol w:w="109"/>
        <w:gridCol w:w="109"/>
        <w:gridCol w:w="333"/>
        <w:gridCol w:w="793"/>
        <w:gridCol w:w="185"/>
        <w:gridCol w:w="185"/>
        <w:gridCol w:w="185"/>
        <w:gridCol w:w="185"/>
        <w:gridCol w:w="333"/>
        <w:gridCol w:w="793"/>
        <w:gridCol w:w="185"/>
        <w:gridCol w:w="109"/>
        <w:gridCol w:w="109"/>
        <w:gridCol w:w="109"/>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shares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23,061</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20"/>
        </w:rPr>
        <w:t xml:space="preserve">The following table presents a reconciliation from </w:t>
      </w:r>
      <w:r>
        <w:rPr>
          <w:rFonts w:ascii="Times New Roman;sans-serif" w:hAnsi="Times New Roman;sans-serif"/>
          <w:b w:val="false"/>
          <w:color w:val="000000"/>
          <w:sz w:val="20"/>
          <w:shd w:fill="FFFFFF" w:val="clear"/>
        </w:rPr>
        <w:t>Net income</w:t>
      </w:r>
      <w:r>
        <w:rPr>
          <w:color w:val="000000"/>
        </w:rPr>
        <w:t xml:space="preserve"> </w:t>
      </w:r>
      <w:r>
        <w:rPr>
          <w:rFonts w:ascii="Times New Roman;sans-serif" w:hAnsi="Times New Roman;sans-serif"/>
          <w:b w:val="false"/>
          <w:color w:val="000000"/>
          <w:sz w:val="20"/>
        </w:rPr>
        <w:t>to EBITDA and Adjusted EBITDA for the three months ended March 31, 2025 and 2024:</w:t>
      </w:r>
    </w:p>
    <w:tbl>
      <w:tblPr>
        <w:tblW w:w="6428" w:type="dxa"/>
        <w:jc w:val="left"/>
        <w:tblInd w:w="0" w:type="dxa"/>
        <w:tblLayout w:type="fixed"/>
        <w:tblCellMar>
          <w:top w:w="28" w:type="dxa"/>
          <w:left w:w="28" w:type="dxa"/>
          <w:bottom w:w="28" w:type="dxa"/>
          <w:right w:w="28" w:type="dxa"/>
        </w:tblCellMar>
      </w:tblPr>
      <w:tblGrid>
        <w:gridCol w:w="886"/>
        <w:gridCol w:w="778"/>
        <w:gridCol w:w="781"/>
        <w:gridCol w:w="109"/>
        <w:gridCol w:w="109"/>
        <w:gridCol w:w="109"/>
        <w:gridCol w:w="279"/>
        <w:gridCol w:w="921"/>
        <w:gridCol w:w="155"/>
        <w:gridCol w:w="155"/>
        <w:gridCol w:w="155"/>
        <w:gridCol w:w="155"/>
        <w:gridCol w:w="279"/>
        <w:gridCol w:w="921"/>
        <w:gridCol w:w="155"/>
        <w:gridCol w:w="109"/>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Legal Settlements</w:t>
            </w:r>
            <w:r>
              <w:rPr>
                <w:color w:val="000000"/>
              </w:rPr>
              <w:t xml:space="preserve">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ans-serif" w:hAnsi="Times New Roman;sans-serif"/>
          <w:b w:val="false"/>
          <w:color w:val="000000"/>
          <w:sz w:val="16"/>
          <w:shd w:fill="FFFFFF" w:val="clear"/>
        </w:rPr>
        <w:t>1.Amounts reflect non-cash</w:t>
      </w:r>
      <w:r>
        <w:rPr>
          <w:color w:val="000000"/>
          <w:shd w:fill="FFFFFF" w:val="clear"/>
        </w:rPr>
        <w:t xml:space="preserve"> </w:t>
      </w:r>
      <w:r>
        <w:rPr>
          <w:rFonts w:ascii="Times New Roman;sans-serif" w:hAnsi="Times New Roman;sans-serif"/>
          <w:b w:val="false"/>
          <w:color w:val="000000"/>
          <w:sz w:val="16"/>
          <w:shd w:fill="FFFFFF" w:val="clear"/>
        </w:rPr>
        <w:t>stock-based compensation expense and have no material impact on the Adjusted earnings per share for the three months ended March 31, 2024.</w:t>
      </w:r>
    </w:p>
    <w:p>
      <w:pPr>
        <w:pStyle w:val="TextBody"/>
        <w:bidi w:val="0"/>
        <w:spacing w:lineRule="auto" w:line="288" w:before="0" w:after="0"/>
        <w:ind w:left="0" w:right="0" w:hanging="720"/>
        <w:jc w:val="both"/>
        <w:rPr/>
      </w:pPr>
      <w:r>
        <w:rPr>
          <w:rFonts w:ascii="Times New Roman;sans-serif" w:hAnsi="Times New Roman;sans-serif"/>
          <w:b w:val="false"/>
          <w:color w:val="000000"/>
          <w:sz w:val="16"/>
          <w:shd w:fill="FFFFFF" w:val="clear"/>
        </w:rPr>
        <w:t xml:space="preserve">2.Amounts include legal settlements and have no material impact on the Adjusted earnings per share for the three months ended March 31, 2025 and </w:t>
      </w:r>
      <w:r>
        <w:rPr>
          <w:rFonts w:ascii="Times New Roman;sans-serif" w:hAnsi="Times New Roman;sans-serif"/>
          <w:b w:val="false"/>
          <w:color w:val="000000"/>
          <w:sz w:val="16"/>
        </w:rPr>
        <w:t>2024</w:t>
      </w:r>
      <w:r>
        <w:rPr>
          <w:rFonts w:ascii="Times New Roman;sans-serif" w:hAnsi="Times New Roman;sans-serif"/>
          <w:b w:val="false"/>
          <w:color w:val="000000"/>
          <w:sz w:val="16"/>
          <w:shd w:fill="FFFFFF" w:val="clear"/>
        </w:rPr>
        <w:t>.</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Cash Flows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was impacted as follows:</w:t>
      </w:r>
    </w:p>
    <w:tbl>
      <w:tblPr>
        <w:tblW w:w="10205" w:type="dxa"/>
        <w:jc w:val="left"/>
        <w:tblInd w:w="0" w:type="dxa"/>
        <w:tblLayout w:type="fixed"/>
        <w:tblCellMar>
          <w:top w:w="28" w:type="dxa"/>
          <w:left w:w="28" w:type="dxa"/>
          <w:bottom w:w="28" w:type="dxa"/>
          <w:right w:w="28" w:type="dxa"/>
        </w:tblCellMar>
      </w:tblPr>
      <w:tblGrid>
        <w:gridCol w:w="1508"/>
        <w:gridCol w:w="1297"/>
        <w:gridCol w:w="1301"/>
        <w:gridCol w:w="109"/>
        <w:gridCol w:w="109"/>
        <w:gridCol w:w="109"/>
        <w:gridCol w:w="269"/>
        <w:gridCol w:w="862"/>
        <w:gridCol w:w="149"/>
        <w:gridCol w:w="149"/>
        <w:gridCol w:w="149"/>
        <w:gridCol w:w="149"/>
        <w:gridCol w:w="269"/>
        <w:gridCol w:w="891"/>
        <w:gridCol w:w="149"/>
        <w:gridCol w:w="109"/>
        <w:gridCol w:w="109"/>
        <w:gridCol w:w="109"/>
        <w:gridCol w:w="196"/>
        <w:gridCol w:w="713"/>
        <w:gridCol w:w="109"/>
        <w:gridCol w:w="109"/>
        <w:gridCol w:w="109"/>
        <w:gridCol w:w="109"/>
        <w:gridCol w:w="244"/>
        <w:gridCol w:w="244"/>
        <w:gridCol w:w="576"/>
      </w:tblGrid>
      <w:tr>
        <w:trPr/>
        <w:tc>
          <w:tcPr>
            <w:tcW w:w="150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(3,403)</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(4,832)</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9,634 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(3,403)</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5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 for the Three Months Ended March 31, 2025</w:t>
      </w:r>
    </w:p>
    <w:p>
      <w:pPr>
        <w:pStyle w:val="TextBody"/>
        <w:bidi w:val="0"/>
        <w:spacing w:lineRule="auto" w:line="288" w:before="12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Flow from Operating Activities</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cash provided by operating activities was $8.8 million for the three months ended March 31, 2025, compared to net cash provided by operating activities of $15.6 million for the three months ended March 31, 2024, resulting in a decrease of $6.8 million in cash provided by operating activities year-over-year. The decrease in cash provided by operating activities primarily resulted from a $18.5 million decrease of cash provided by working capital accounts, partially offset by an increase in earnings of $12.0 million. The decrease in cash generated from working capital was primarily related to the purchases of inventory and fewer collections on accounts receivables, offset by decreased payments on accounts payable for the three months ended March 31, 2025 compared to March 31, 2024.</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Flow from Investing Activities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Net cash used in investing activities was $3.4 million for the three months ended March 31, 2025, compared to cash used in investin</w:t>
      </w:r>
      <w:r>
        <w:rPr>
          <w:rFonts w:ascii="Times New Roman;sans-serif" w:hAnsi="Times New Roman;sans-serif"/>
          <w:b w:val="false"/>
          <w:color w:val="000000"/>
          <w:sz w:val="20"/>
        </w:rPr>
        <w:t>g activities of $0.8 million for the three months ended March 31, 2024</w:t>
      </w:r>
      <w:r>
        <w:rPr>
          <w:rFonts w:ascii="Times New Roman;sans-serif" w:hAnsi="Times New Roman;sans-serif"/>
          <w:b w:val="false"/>
          <w:color w:val="000000"/>
          <w:sz w:val="20"/>
          <w:shd w:fill="FFFFFF" w:val="clear"/>
        </w:rPr>
        <w:t>. For the three months ended March 31, 2025 and 2024, cash used in investing activities related to capital expenditures.</w:t>
      </w:r>
    </w:p>
    <w:p>
      <w:pPr>
        <w:pStyle w:val="TextBody"/>
        <w:bidi w:val="0"/>
        <w:spacing w:lineRule="auto" w:line="288" w:before="12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Flow from Financing Activities</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used $10.2 million in cash from financing activities for </w:t>
      </w:r>
      <w:r>
        <w:rPr>
          <w:rFonts w:ascii="Times New Roman;sans-serif" w:hAnsi="Times New Roman;sans-serif"/>
          <w:b w:val="false"/>
          <w:color w:val="000000"/>
          <w:sz w:val="20"/>
          <w:shd w:fill="FFFFFF" w:val="clear"/>
        </w:rPr>
        <w:t xml:space="preserve">the three months ended March 31, 2025, compared to $5.2 million cash used by financing activities for the three months ended March 31, 2024. The cash used by financing activities for the three months ended March 31, 2025, was due to payments made on the SLA and other existing debt year to date. See additional discussion in Note 6. </w:t>
      </w:r>
      <w:r>
        <w:rPr>
          <w:rFonts w:ascii="Times New Roman;sans-serif" w:hAnsi="Times New Roman;sans-serif"/>
          <w:b w:val="false"/>
          <w:i/>
          <w:color w:val="000000"/>
          <w:sz w:val="20"/>
          <w:shd w:fill="FFFFFF" w:val="clear"/>
        </w:rPr>
        <w:t>Debt</w:t>
      </w:r>
      <w:r>
        <w:rPr>
          <w:rFonts w:ascii="Times New Roman;sans-serif" w:hAnsi="Times New Roman;sans-serif"/>
          <w:b w:val="false"/>
          <w:color w:val="000000"/>
          <w:sz w:val="20"/>
          <w:shd w:fill="FFFFFF" w:val="clear"/>
        </w:rPr>
        <w:t xml:space="preserve">, included in Part I, Item 1. Financial Statements, which further describe the Company’s debt arrangements. </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sources of funds are cash flows from operations, borrowings made pursuant to its credit facilities and shareholder’s loan agreements, and cash and cash equivalents on hand. Uses of funds include payments of principal on our debt facilities and shareholder’s loan agreements, capital expenditures, and working capital needs.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While the Company has achieved profitability and generated positive cash flows from operating activities in 2025, uncertainties exist about the Company’s ability to refinance, amend, or extend its outstanding indebtedness. </w:t>
      </w:r>
      <w:r>
        <w:rPr>
          <w:rFonts w:ascii="Times New Roman;sans-serif" w:hAnsi="Times New Roman;sans-serif"/>
          <w:b w:val="false"/>
          <w:color w:val="000000"/>
          <w:sz w:val="20"/>
          <w:shd w:fill="FFFFFF" w:val="clear"/>
        </w:rPr>
        <w:t xml:space="preserve">As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the Company’s total outstanding debt obligations under the </w:t>
      </w:r>
      <w:r>
        <w:rPr>
          <w:rFonts w:ascii="Times New Roman;sans-serif" w:hAnsi="Times New Roman;sans-serif"/>
          <w:b w:val="false"/>
          <w:color w:val="000000"/>
          <w:sz w:val="20"/>
        </w:rPr>
        <w:t>Revolving Credit Agreement</w:t>
      </w:r>
      <w:r>
        <w:rPr>
          <w:rFonts w:ascii="Times New Roman;sans-serif" w:hAnsi="Times New Roman;sans-serif"/>
          <w:b w:val="false"/>
          <w:color w:val="000000"/>
          <w:sz w:val="20"/>
          <w:shd w:fill="FFFFFF" w:val="clear"/>
        </w:rPr>
        <w:t xml:space="preserve">, the SLA, and for finance leases and other debt, all of which are short-term requirements, were $111.0 million in the aggregate, and its cash and cash equivalents were $50.0 million. See Item 1. </w:t>
      </w:r>
      <w:r>
        <w:rPr>
          <w:rFonts w:ascii="Times New Roman;sans-serif" w:hAnsi="Times New Roman;sans-serif"/>
          <w:b w:val="false"/>
          <w:i/>
          <w:color w:val="000000"/>
          <w:sz w:val="20"/>
          <w:shd w:fill="FFFFFF" w:val="clear"/>
        </w:rPr>
        <w:t>Financial Statements</w:t>
      </w:r>
      <w:r>
        <w:rPr>
          <w:rFonts w:ascii="Times New Roman;sans-serif" w:hAnsi="Times New Roman;sans-serif"/>
          <w:b w:val="false"/>
          <w:color w:val="000000"/>
          <w:sz w:val="20"/>
          <w:shd w:fill="FFFFFF" w:val="clear"/>
        </w:rPr>
        <w:t xml:space="preserve">, Note 6. </w:t>
      </w:r>
      <w:r>
        <w:rPr>
          <w:rFonts w:ascii="Times New Roman;sans-serif" w:hAnsi="Times New Roman;sans-serif"/>
          <w:b w:val="false"/>
          <w:i/>
          <w:color w:val="000000"/>
          <w:sz w:val="20"/>
          <w:shd w:fill="FFFFFF" w:val="clear"/>
        </w:rPr>
        <w:t>Debt</w:t>
      </w:r>
      <w:r>
        <w:rPr>
          <w:rFonts w:ascii="Times New Roman;sans-serif" w:hAnsi="Times New Roman;sans-serif"/>
          <w:b w:val="false"/>
          <w:color w:val="000000"/>
          <w:sz w:val="20"/>
          <w:shd w:fill="FFFFFF" w:val="clear"/>
        </w:rPr>
        <w:t>, for additional information.</w:t>
      </w:r>
      <w:r>
        <w:rPr>
          <w:color w:val="000000"/>
          <w:shd w:fill="FFFFFF" w:val="clear"/>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continue as a going concern is dependent on extending and amending, refinancing or repaying the indebtedness outstanding under the Company’s existing debt arrangements. Without additional financing, the Company anticipates that it will not have sufficient cash and cash equivalents to repay amounts owed under its existing debt arrangements as they become due, which raises substantial doubt about the Company’s ability to continue as a going concern within one year from the date of filing. In order to provide the Company with a more permanent source of liquidity, management is seeking the replacement of its existing debt agreements with committed long-term financing from its current or other lenders before the maturity dates in 2025. There can be no assurance that the Company’s management will be able to successfully complete restructuring of its existing debt agreements or obtain new financing on acceptable terms, when required or if at all.</w:t>
      </w:r>
    </w:p>
    <w:p>
      <w:pPr>
        <w:pStyle w:val="TextBody"/>
        <w:bidi w:val="0"/>
        <w:spacing w:lineRule="auto" w:line="288" w:before="120" w:after="120"/>
        <w:jc w:val="both"/>
        <w:rPr/>
      </w:pPr>
      <w:r>
        <w:rPr>
          <w:rFonts w:ascii="Times New Roman;sans-serif" w:hAnsi="Times New Roman;sans-serif"/>
          <w:b w:val="false"/>
          <w:color w:val="000000"/>
          <w:sz w:val="20"/>
        </w:rPr>
        <w:t>PSI’s business is impacted by the current macroeconomic and geopolitical environment.</w:t>
      </w:r>
      <w:r>
        <w:rPr>
          <w:color w:val="000000"/>
        </w:rPr>
        <w:t xml:space="preserve"> </w:t>
      </w:r>
      <w:r>
        <w:rPr>
          <w:rFonts w:ascii="Times New Roman;sans-serif" w:hAnsi="Times New Roman;sans-serif"/>
          <w:b w:val="false"/>
          <w:color w:val="000000"/>
          <w:sz w:val="20"/>
        </w:rPr>
        <w:t xml:space="preserve">For example, although the oil and gas market, in which the Company has historically operated, has experienced year over year growth from its historic lows, sales levels may not reach previous higher levels because of lower rig counts. The Company experiences recent tariff costs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with its supply chain products. We are actively assessing the evolving tariff environment and are committed to proactively mitigate any associated risks through strategic sourcing, pricing actions, and supply chain agility. The potential for continued economic uncertainty and unfavorable oil and gas market dynamics may have a material adverse impact on the levels of future customer orders and the Company’s future business operations, financial condition and liquidity.</w:t>
      </w:r>
    </w:p>
    <w:p>
      <w:pPr>
        <w:pStyle w:val="TextBody"/>
        <w:bidi w:val="0"/>
        <w:spacing w:lineRule="auto" w:line="288" w:before="120" w:after="120"/>
        <w:jc w:val="both"/>
        <w:rPr/>
      </w:pPr>
      <w:r>
        <w:rPr>
          <w:rFonts w:ascii="Times New Roman;sans-serif" w:hAnsi="Times New Roman;sans-serif"/>
          <w:b w:val="false"/>
          <w:color w:val="000000"/>
          <w:sz w:val="20"/>
        </w:rPr>
        <w:t xml:space="preserve">At March 31, 2025, the Company had </w:t>
      </w:r>
      <w:r>
        <w:rPr>
          <w:rFonts w:ascii="Times New Roman;sans-serif" w:hAnsi="Times New Roman;sans-serif"/>
          <w:b w:val="false"/>
          <w:color w:val="000000"/>
          <w:sz w:val="20"/>
          <w:shd w:fill="FFFFFF" w:val="clear"/>
        </w:rPr>
        <w:t>four</w:t>
      </w:r>
      <w:r>
        <w:rPr>
          <w:color w:val="000000"/>
        </w:rPr>
        <w:t xml:space="preserve"> </w:t>
      </w:r>
      <w:r>
        <w:rPr>
          <w:rFonts w:ascii="Times New Roman;sans-serif" w:hAnsi="Times New Roman;sans-serif"/>
          <w:b w:val="false"/>
          <w:color w:val="000000"/>
          <w:sz w:val="20"/>
        </w:rPr>
        <w:t xml:space="preserve">outstanding letters of credit totaling </w:t>
      </w:r>
      <w:r>
        <w:rPr>
          <w:rFonts w:ascii="Times New Roman;sans-serif" w:hAnsi="Times New Roman;sans-serif"/>
          <w:b w:val="false"/>
          <w:color w:val="000000"/>
          <w:sz w:val="20"/>
          <w:shd w:fill="FFFFFF" w:val="clear"/>
        </w:rPr>
        <w:t>$1.8 million</w:t>
      </w:r>
      <w:r>
        <w:rPr>
          <w:rFonts w:ascii="Times New Roman;sans-serif" w:hAnsi="Times New Roman;sans-serif"/>
          <w:b w:val="false"/>
          <w:color w:val="000000"/>
          <w:sz w:val="20"/>
        </w:rPr>
        <w:t xml:space="preserve">. See Item 1. </w:t>
      </w:r>
      <w:r>
        <w:rPr>
          <w:rFonts w:ascii="Times New Roman;sans-serif" w:hAnsi="Times New Roman;sans-serif"/>
          <w:b w:val="false"/>
          <w:i/>
          <w:color w:val="000000"/>
          <w:sz w:val="20"/>
        </w:rPr>
        <w:t>Financial Statements</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rPr>
        <w:t xml:space="preserve">Note 10.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for additional information related to the Company’s off-balance sheet arrangements and the outstanding letters of credit.</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Company’s consolidated financial statements are prepared in accordance with U.S. GAAP. </w:t>
      </w:r>
      <w:r>
        <w:rPr>
          <w:rFonts w:ascii="Times New Roman;sans-serif" w:hAnsi="Times New Roman;sans-serif"/>
          <w:b w:val="false"/>
          <w:color w:val="000000"/>
          <w:sz w:val="20"/>
          <w:shd w:fill="FFFFFF" w:val="clear"/>
        </w:rPr>
        <w:t xml:space="preserve">Preparation of these financial statements requires the Company to make estimates, assumptions and judgments that affect the reported amounts of assets, liabilities, revenues and expenses, and related disclosure of contingent assets and liabilities. The Company’s most critical accounting policies and estimates are those most important to the portrayal of its financial condition and results of operations which require the Company to make its most difficult and subjective judgments, often as a result of the need to make estimates regarding matters that are inherently uncertain. The Company has identified the following as its most critical accounting policies and judgments. Although management believes that its estimates and assumptions are reasonable, they are based on information available when they are made and, therefore, may differ from estimates made under different assumptions or conditions. </w:t>
      </w:r>
      <w:r>
        <w:rPr>
          <w:rFonts w:ascii="Times New Roman;sans-serif" w:hAnsi="Times New Roman;sans-serif"/>
          <w:b w:val="false"/>
          <w:color w:val="000000"/>
          <w:sz w:val="20"/>
        </w:rPr>
        <w:t>.</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Company’s significant accounting policies are consistent with those discussed in Note 1. </w:t>
      </w:r>
      <w:r>
        <w:rPr>
          <w:rFonts w:ascii="Times New Roman;sans-serif" w:hAnsi="Times New Roman;sans-serif"/>
          <w:b w:val="false"/>
          <w:i/>
          <w:color w:val="000000"/>
          <w:sz w:val="20"/>
        </w:rPr>
        <w:t>Summary of Significant Accounting Policies and Other Information</w:t>
      </w:r>
      <w:r>
        <w:rPr>
          <w:rFonts w:ascii="Times New Roman;sans-serif" w:hAnsi="Times New Roman;sans-serif"/>
          <w:b w:val="false"/>
          <w:color w:val="000000"/>
          <w:sz w:val="20"/>
        </w:rPr>
        <w:t xml:space="preserve">, to the consolidated financial statements and the MD&amp;A section of the Company’s 2024 Annual Report. During the three months ended March 31, 2025, there were no significant changes in the application of critical accounting policies.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identified the following accounting policies as its most critical because they require the Company to make difficult, subjective, and complex judgments and estimates: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Revenue Recognition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Goodwill Impairment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Warranty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Impact of New Accounting Standards</w:t>
      </w:r>
    </w:p>
    <w:p>
      <w:pPr>
        <w:pStyle w:val="TextBody"/>
        <w:bidi w:val="0"/>
        <w:spacing w:lineRule="auto" w:line="288" w:before="120" w:after="120"/>
        <w:jc w:val="both"/>
        <w:rPr/>
      </w:pPr>
      <w:r>
        <w:rPr>
          <w:rFonts w:ascii="Times New Roman;sans-serif" w:hAnsi="Times New Roman;sans-serif"/>
          <w:b w:val="false"/>
          <w:color w:val="000000"/>
          <w:sz w:val="20"/>
        </w:rPr>
        <w:t xml:space="preserve">For information about recently issued accounting pronouncements, see Note 1. </w:t>
      </w:r>
      <w:r>
        <w:rPr>
          <w:rFonts w:ascii="Times New Roman;sans-serif" w:hAnsi="Times New Roman;sans-serif"/>
          <w:b w:val="false"/>
          <w:i/>
          <w:color w:val="000000"/>
          <w:sz w:val="20"/>
        </w:rPr>
        <w:t>Summary of Significant Accounting Policies and Other Information</w:t>
      </w:r>
      <w:r>
        <w:rPr>
          <w:rFonts w:ascii="Times New Roman;sans-serif" w:hAnsi="Times New Roman;sans-serif"/>
          <w:b w:val="false"/>
          <w:color w:val="000000"/>
          <w:sz w:val="20"/>
        </w:rPr>
        <w:t>, included in Part 1,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smaller reporting company as defined by Rule 12b-2 of the Exchange Act and is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“disclosure controls and procedures” is defined in Rule 13a-15(e) of the Exchange Act as “controls and other procedures of an issuer that are designed to ensure that information required to be disclosed by the issuer in the reports that it files or submits under the Exchange Act are recorded, processed, summarized and reported, within the time periods specified in the SEC rules and forms.” The Company’s disclosure controls and procedures are designed to ensure that material information relating to the Company and its consolidated subsidiaries is accumulated and communicated to its management, including its Chief Executive Officer and its Chief Financial Officer, as appropriate to allow timely decisions regarding required disclosures.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its Chief Executive Officer and Chief Financial Officer, conducted an evaluation of the effectiveness of its disclosure controls and procedures as of March 31, 2025. Based upon that evaluation, the Company’s Chief Executive Officer and Chief Financial Officer have concluded that the Company’s disclosure controls and procedures were effective as of March 31, 2025, to provide reasonable assurance that information required to be disclosed in the reports that it files or submits under the Exchange Act is recorded, processed, summarized and reported within the time periods specified by the rules and forms of the Exchange Act, and that such information is accumulated and communicated to management, including our Chief Executive Officer and Chief Financial Officer, as appropriate, to allow timely decisions regarding required disclosure.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Company’s internal control over financial reporting during the first quarter of 2025 that has materially affected, or is reasonably likely to materially affect, the Company’s internal control over financial reporting.</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120"/>
        <w:jc w:val="both"/>
        <w:rPr/>
      </w:pPr>
      <w:r>
        <w:rPr>
          <w:rFonts w:ascii="Times New Roman;sans-serif" w:hAnsi="Times New Roman;sans-serif"/>
          <w:b w:val="false"/>
          <w:color w:val="000000"/>
          <w:sz w:val="20"/>
        </w:rPr>
        <w:t xml:space="preserve">See Note 10.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included in Part I, Item 1.</w:t>
      </w:r>
      <w:r>
        <w:rPr>
          <w:color w:val="000000"/>
        </w:rPr>
        <w:t xml:space="preserve">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for a discussion of legal proceedings,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smaller reporting company as defined by Rule 12b-2 of the Exchange Act and is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Common Stock uplisted on the Nasdaq under the symbol “PSIX” on December 26,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 director or Section 16 officer of the Company adopted or terminated a “Rule 10b5-1 trading arrangement” or “non-Rule 10b5-1 trading arrangement,” as each term is defined in item 408(a) of Regulation 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July 9, 2024, Dino Xykis no longer held the title and responsibilities of Chief Technology Officer but his title and responsibilities as Chief Executive Officer remain unchanged.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listed below that have been previously filed with the SEC (1934 Act File No. 001-35944) are incorporated herein by reference:</w:t>
      </w:r>
    </w:p>
    <w:tbl>
      <w:tblPr>
        <w:tblW w:w="10205" w:type="dxa"/>
        <w:jc w:val="center"/>
        <w:tblInd w:w="0" w:type="dxa"/>
        <w:tblLayout w:type="fixed"/>
        <w:tblCellMar>
          <w:top w:w="28" w:type="dxa"/>
          <w:left w:w="28" w:type="dxa"/>
          <w:bottom w:w="28" w:type="dxa"/>
          <w:right w:w="28" w:type="dxa"/>
        </w:tblCellMar>
      </w:tblPr>
      <w:tblGrid>
        <w:gridCol w:w="311"/>
        <w:gridCol w:w="274"/>
        <w:gridCol w:w="275"/>
        <w:gridCol w:w="109"/>
        <w:gridCol w:w="109"/>
        <w:gridCol w:w="109"/>
        <w:gridCol w:w="2175"/>
        <w:gridCol w:w="2105"/>
        <w:gridCol w:w="2090"/>
        <w:gridCol w:w="222"/>
        <w:gridCol w:w="209"/>
        <w:gridCol w:w="170"/>
        <w:gridCol w:w="225"/>
        <w:gridCol w:w="225"/>
        <w:gridCol w:w="226"/>
        <w:gridCol w:w="272"/>
        <w:gridCol w:w="267"/>
        <w:gridCol w:w="221"/>
        <w:gridCol w:w="192"/>
        <w:gridCol w:w="170"/>
        <w:gridCol w:w="249"/>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 Herein</w:t>
            </w:r>
          </w:p>
        </w:tc>
      </w:tr>
      <w:tr>
        <w:trPr/>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r>
      <w:tr>
        <w:trPr/>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r>
        <w:trPr/>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r>
        <w:trPr/>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ocertificatio.htm">
              <w:r>
                <w:rPr>
                  <w:rStyle w:val="InternetLink"/>
                  <w:rFonts w:ascii="Times New Roman;sans-serif" w:hAnsi="Times New Roman;sans-serif"/>
                  <w:b w:val="false"/>
                  <w:color w:val="0000FF"/>
                  <w:sz w:val="18"/>
                  <w:u w:val="single"/>
                </w:rPr>
                <w:t xml:space="preserve">Certification of Chief Executive Officer, as adopted pursuant to Section 302 of the Sarbanes-Oxley Act of 2002. </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focertificatio.htm">
              <w:r>
                <w:rPr>
                  <w:rStyle w:val="InternetLink"/>
                  <w:rFonts w:ascii="Times New Roman;sans-serif" w:hAnsi="Times New Roman;sans-serif"/>
                  <w:b w:val="false"/>
                  <w:color w:val="0000FF"/>
                  <w:sz w:val="18"/>
                  <w:u w:val="single"/>
                </w:rPr>
                <w:t>Certification of Chief Financial Officer, as adopted pursuant to Section 302 of the Sarbanes-Oxley Act of 2002.</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ocertificatio.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 Oxley Act of 2002.</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cfocertificatio.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 Oxley Act of 2002.</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Instance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Labels Linkbase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Definition Linkbase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*Filed with this Report.</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8"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Exchange Act, the registrant has duly caused this Report to be signed on its behalf by the undersigned, thereunto duly authorized, on the 8th day of May 2025.</w:t>
      </w:r>
    </w:p>
    <w:tbl>
      <w:tblPr>
        <w:tblW w:w="706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28"/>
        <w:gridCol w:w="428"/>
        <w:gridCol w:w="428"/>
        <w:gridCol w:w="428"/>
        <w:gridCol w:w="428"/>
        <w:gridCol w:w="428"/>
        <w:gridCol w:w="1118"/>
        <w:gridCol w:w="1118"/>
        <w:gridCol w:w="15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POWER SOLUTIONS INTERNATIONAL,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1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17 CFR 240.13a-14 PROMULGATED UNDER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OF THE SARBANES-OXLEY ACT OF 2002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Dino Xykis, certify that: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4507" w:type="dxa"/>
        <w:jc w:val="left"/>
        <w:tblInd w:w="0" w:type="dxa"/>
        <w:tblLayout w:type="fixed"/>
        <w:tblCellMar>
          <w:top w:w="28" w:type="dxa"/>
          <w:left w:w="28" w:type="dxa"/>
          <w:bottom w:w="28" w:type="dxa"/>
          <w:right w:w="28" w:type="dxa"/>
        </w:tblCellMar>
      </w:tblPr>
      <w:tblGrid>
        <w:gridCol w:w="525"/>
        <w:gridCol w:w="463"/>
        <w:gridCol w:w="466"/>
        <w:gridCol w:w="109"/>
        <w:gridCol w:w="109"/>
        <w:gridCol w:w="109"/>
        <w:gridCol w:w="189"/>
        <w:gridCol w:w="189"/>
        <w:gridCol w:w="191"/>
        <w:gridCol w:w="109"/>
        <w:gridCol w:w="109"/>
        <w:gridCol w:w="109"/>
        <w:gridCol w:w="534"/>
        <w:gridCol w:w="534"/>
        <w:gridCol w:w="762"/>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Dino Xykis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Dino Xykis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bl>
    <w:p>
      <w:pPr>
        <w:pStyle w:val="TextBody"/>
        <w:bidi w:val="0"/>
        <w:spacing w:before="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17 CFR 240.13a-14 PROMULGATED UNDER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Xun Li,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4642"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89"/>
        <w:gridCol w:w="189"/>
        <w:gridCol w:w="191"/>
        <w:gridCol w:w="109"/>
        <w:gridCol w:w="109"/>
        <w:gridCol w:w="109"/>
        <w:gridCol w:w="523"/>
        <w:gridCol w:w="523"/>
        <w:gridCol w:w="73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Xun Li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Xun Li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spacing w:before="20" w:after="1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Power Solutions International, Inc. (the “Company”) on Form 10-Q for the three months ended March 31, 2025, as filed with the Securities and Exchange Commission on the date hereof (the “Report”), I, Dino Xykis, Chief Executive Officer of the Company, certify, pursuant to 18 U.S.C. 1350, as adopted pursuant to 906 of the Sarbanes-Oxley Act of 2002, that:</w:t>
      </w:r>
    </w:p>
    <w:p>
      <w:pPr>
        <w:pStyle w:val="TextBody"/>
        <w:bidi w:val="0"/>
        <w:spacing w:lineRule="auto" w:line="288" w:before="24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p>
    <w:tbl>
      <w:tblPr>
        <w:tblW w:w="4507" w:type="dxa"/>
        <w:jc w:val="left"/>
        <w:tblInd w:w="0" w:type="dxa"/>
        <w:tblLayout w:type="fixed"/>
        <w:tblCellMar>
          <w:top w:w="28" w:type="dxa"/>
          <w:left w:w="28" w:type="dxa"/>
          <w:bottom w:w="28" w:type="dxa"/>
          <w:right w:w="28" w:type="dxa"/>
        </w:tblCellMar>
      </w:tblPr>
      <w:tblGrid>
        <w:gridCol w:w="525"/>
        <w:gridCol w:w="463"/>
        <w:gridCol w:w="466"/>
        <w:gridCol w:w="109"/>
        <w:gridCol w:w="109"/>
        <w:gridCol w:w="109"/>
        <w:gridCol w:w="189"/>
        <w:gridCol w:w="189"/>
        <w:gridCol w:w="191"/>
        <w:gridCol w:w="109"/>
        <w:gridCol w:w="109"/>
        <w:gridCol w:w="109"/>
        <w:gridCol w:w="534"/>
        <w:gridCol w:w="534"/>
        <w:gridCol w:w="762"/>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Dino Xykis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Dino Xykis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bl>
    <w:p>
      <w:pPr>
        <w:pStyle w:val="TextBody"/>
        <w:bidi w:val="0"/>
        <w:spacing w:lineRule="auto" w:line="288" w:before="2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Power Solutions International, Inc. (the “Company”) on Form 10-Q for the three months ended March 31, 2025, as filed with the Securities and Exchange Commission on the date hereof (the “Report”), I, Xun Li, Chief Financial Officer of the Company, certify, pursuant to 18 U.S.C. 1350, as adopted pursuant to 906 of the Sarbanes-Oxley Act of 2002, that:</w:t>
      </w:r>
    </w:p>
    <w:p>
      <w:pPr>
        <w:pStyle w:val="TextBody"/>
        <w:bidi w:val="0"/>
        <w:spacing w:lineRule="auto" w:line="288" w:before="24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462" w:type="dxa"/>
        <w:jc w:val="left"/>
        <w:tblInd w:w="0" w:type="dxa"/>
        <w:tblLayout w:type="fixed"/>
        <w:tblCellMar>
          <w:top w:w="28" w:type="dxa"/>
          <w:left w:w="28" w:type="dxa"/>
          <w:bottom w:w="28" w:type="dxa"/>
          <w:right w:w="28" w:type="dxa"/>
        </w:tblCellMar>
      </w:tblPr>
      <w:tblGrid>
        <w:gridCol w:w="525"/>
        <w:gridCol w:w="463"/>
        <w:gridCol w:w="466"/>
        <w:gridCol w:w="109"/>
        <w:gridCol w:w="109"/>
        <w:gridCol w:w="109"/>
        <w:gridCol w:w="189"/>
        <w:gridCol w:w="189"/>
        <w:gridCol w:w="191"/>
        <w:gridCol w:w="109"/>
        <w:gridCol w:w="109"/>
        <w:gridCol w:w="109"/>
        <w:gridCol w:w="523"/>
        <w:gridCol w:w="523"/>
        <w:gridCol w:w="73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Xun Li</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Xun Li</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120" w:after="120"/>
        <w:jc w:val="both"/>
        <w:rPr/>
      </w:pPr>
      <w:r>
        <w:rPr/>
      </w:r>
    </w:p>
    <w:p>
      <w:pPr>
        <w:pStyle w:val="TextBody"/>
        <w:bidi w:val="0"/>
        <w:spacing w:before="16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16999</Words>
  <Characters>95253</Characters>
  <CharactersWithSpaces>111244</CharactersWithSpaces>
  <Paragraphs>2010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