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251460</wp:posOffset>
            </wp:positionV>
            <wp:extent cx="1337310" cy="283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310"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37"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1"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quarterly period ended September 30, 2024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128"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97"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transition period from ________to________</w:t>
      </w:r>
    </w:p>
    <w:p>
      <w:pPr>
        <w:spacing w:after="0" w:line="27"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Commission file number 001-35944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POWER SOLUTIONS INTERNATIONAL, INC.</w:t>
      </w:r>
    </w:p>
    <w:p>
      <w:pPr>
        <w:spacing w:after="0" w:line="3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tbl>
      <w:tblPr>
        <w:tblLayout w:type="fixed"/>
        <w:tblInd w:w="620" w:type="dxa"/>
        <w:tblCellMar>
          <w:top w:w="0" w:type="dxa"/>
          <w:left w:w="0" w:type="dxa"/>
          <w:bottom w:w="0" w:type="dxa"/>
          <w:right w:w="0" w:type="dxa"/>
        </w:tblCellMar>
      </w:tblPr>
      <w:tr>
        <w:trPr>
          <w:trHeight w:val="212"/>
        </w:trPr>
        <w:tc>
          <w:tcPr>
            <w:tcW w:w="2820" w:type="dxa"/>
            <w:vAlign w:val="bottom"/>
          </w:tcPr>
          <w:p>
            <w:pPr>
              <w:jc w:val="center"/>
              <w:ind w:left="10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720" w:type="dxa"/>
            <w:vAlign w:val="bottom"/>
          </w:tcPr>
          <w:p>
            <w:pPr>
              <w:spacing w:after="0"/>
              <w:rPr>
                <w:sz w:val="18"/>
                <w:szCs w:val="18"/>
                <w:color w:val="auto"/>
              </w:rPr>
            </w:pPr>
          </w:p>
        </w:tc>
        <w:tc>
          <w:tcPr>
            <w:tcW w:w="330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33-0963637</w:t>
            </w:r>
          </w:p>
        </w:tc>
      </w:tr>
      <w:tr>
        <w:trPr>
          <w:trHeight w:val="229"/>
        </w:trPr>
        <w:tc>
          <w:tcPr>
            <w:tcW w:w="6540" w:type="dxa"/>
            <w:vAlign w:val="bottom"/>
            <w:gridSpan w:val="2"/>
          </w:tcPr>
          <w:p>
            <w:pPr>
              <w:jc w:val="center"/>
              <w:ind w:right="247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30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56"/>
        </w:trPr>
        <w:tc>
          <w:tcPr>
            <w:tcW w:w="6540" w:type="dxa"/>
            <w:vAlign w:val="bottom"/>
            <w:gridSpan w:val="2"/>
          </w:tcPr>
          <w:p>
            <w:pPr>
              <w:jc w:val="center"/>
              <w:ind w:right="2479"/>
              <w:spacing w:after="0"/>
              <w:rPr>
                <w:sz w:val="20"/>
                <w:szCs w:val="20"/>
                <w:color w:val="auto"/>
              </w:rPr>
            </w:pPr>
            <w:r>
              <w:rPr>
                <w:rFonts w:ascii="Times New Roman" w:cs="Times New Roman" w:eastAsia="Times New Roman" w:hAnsi="Times New Roman"/>
                <w:sz w:val="16"/>
                <w:szCs w:val="16"/>
                <w:b w:val="1"/>
                <w:bCs w:val="1"/>
                <w:color w:val="auto"/>
              </w:rPr>
              <w:t>201 Mittel Drive, Wood Dale, IL</w:t>
            </w:r>
          </w:p>
        </w:tc>
        <w:tc>
          <w:tcPr>
            <w:tcW w:w="330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9"/>
              </w:rPr>
              <w:t>60191</w:t>
            </w:r>
          </w:p>
        </w:tc>
      </w:tr>
      <w:tr>
        <w:trPr>
          <w:trHeight w:val="216"/>
        </w:trPr>
        <w:tc>
          <w:tcPr>
            <w:tcW w:w="6540" w:type="dxa"/>
            <w:vAlign w:val="bottom"/>
            <w:gridSpan w:val="2"/>
          </w:tcPr>
          <w:p>
            <w:pPr>
              <w:jc w:val="center"/>
              <w:ind w:right="249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30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(Zip Code)</w:t>
            </w:r>
          </w:p>
        </w:tc>
      </w:tr>
      <w:tr>
        <w:trPr>
          <w:trHeight w:val="216"/>
        </w:trPr>
        <w:tc>
          <w:tcPr>
            <w:tcW w:w="2820" w:type="dxa"/>
            <w:vAlign w:val="bottom"/>
          </w:tcPr>
          <w:p>
            <w:pPr>
              <w:spacing w:after="0"/>
              <w:rPr>
                <w:sz w:val="18"/>
                <w:szCs w:val="18"/>
                <w:color w:val="auto"/>
              </w:rPr>
            </w:pPr>
          </w:p>
        </w:tc>
        <w:tc>
          <w:tcPr>
            <w:tcW w:w="3720" w:type="dxa"/>
            <w:vAlign w:val="bottom"/>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(630) 350-9400</w:t>
            </w:r>
          </w:p>
        </w:tc>
        <w:tc>
          <w:tcPr>
            <w:tcW w:w="33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7020" w:type="dxa"/>
            <w:vAlign w:val="bottom"/>
            <w:gridSpan w:val="2"/>
          </w:tcPr>
          <w:p>
            <w:pPr>
              <w:jc w:val="center"/>
              <w:ind w:right="257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16"/>
        </w:trPr>
        <w:tc>
          <w:tcPr>
            <w:tcW w:w="2820" w:type="dxa"/>
            <w:vAlign w:val="bottom"/>
          </w:tcPr>
          <w:p>
            <w:pPr>
              <w:spacing w:after="0"/>
              <w:rPr>
                <w:sz w:val="18"/>
                <w:szCs w:val="18"/>
                <w:color w:val="auto"/>
              </w:rPr>
            </w:pPr>
          </w:p>
        </w:tc>
        <w:tc>
          <w:tcPr>
            <w:tcW w:w="7020" w:type="dxa"/>
            <w:vAlign w:val="bottom"/>
            <w:gridSpan w:val="2"/>
          </w:tcPr>
          <w:p>
            <w:pPr>
              <w:jc w:val="center"/>
              <w:ind w:right="255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216"/>
        </w:trPr>
        <w:tc>
          <w:tcPr>
            <w:tcW w:w="2820" w:type="dxa"/>
            <w:vAlign w:val="bottom"/>
          </w:tcPr>
          <w:p>
            <w:pPr>
              <w:jc w:val="center"/>
              <w:ind w:left="107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720" w:type="dxa"/>
            <w:vAlign w:val="bottom"/>
          </w:tcPr>
          <w:p>
            <w:pPr>
              <w:jc w:val="center"/>
              <w:ind w:left="1039"/>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30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6"/>
        </w:trPr>
        <w:tc>
          <w:tcPr>
            <w:tcW w:w="2820" w:type="dxa"/>
            <w:vAlign w:val="bottom"/>
          </w:tcPr>
          <w:p>
            <w:pPr>
              <w:jc w:val="center"/>
              <w:ind w:left="1079"/>
              <w:spacing w:after="0"/>
              <w:rPr>
                <w:sz w:val="20"/>
                <w:szCs w:val="20"/>
                <w:color w:val="auto"/>
              </w:rPr>
            </w:pPr>
            <w:r>
              <w:rPr>
                <w:rFonts w:ascii="Times New Roman" w:cs="Times New Roman" w:eastAsia="Times New Roman" w:hAnsi="Times New Roman"/>
                <w:sz w:val="16"/>
                <w:szCs w:val="16"/>
                <w:color w:val="auto"/>
                <w:w w:val="97"/>
              </w:rPr>
              <w:t>None</w:t>
            </w:r>
          </w:p>
        </w:tc>
        <w:tc>
          <w:tcPr>
            <w:tcW w:w="3720" w:type="dxa"/>
            <w:vAlign w:val="bottom"/>
          </w:tcPr>
          <w:p>
            <w:pPr>
              <w:jc w:val="center"/>
              <w:ind w:left="1039"/>
              <w:spacing w:after="0"/>
              <w:rPr>
                <w:sz w:val="20"/>
                <w:szCs w:val="20"/>
                <w:color w:val="auto"/>
              </w:rPr>
            </w:pPr>
            <w:r>
              <w:rPr>
                <w:rFonts w:ascii="Times New Roman" w:cs="Times New Roman" w:eastAsia="Times New Roman" w:hAnsi="Times New Roman"/>
                <w:sz w:val="16"/>
                <w:szCs w:val="16"/>
                <w:color w:val="auto"/>
                <w:w w:val="99"/>
              </w:rPr>
              <w:t>—</w:t>
            </w:r>
          </w:p>
        </w:tc>
        <w:tc>
          <w:tcPr>
            <w:tcW w:w="330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2820" w:type="dxa"/>
            <w:vAlign w:val="bottom"/>
          </w:tcPr>
          <w:p>
            <w:pPr>
              <w:spacing w:after="0"/>
              <w:rPr>
                <w:sz w:val="18"/>
                <w:szCs w:val="18"/>
                <w:color w:val="auto"/>
              </w:rPr>
            </w:pPr>
          </w:p>
        </w:tc>
        <w:tc>
          <w:tcPr>
            <w:tcW w:w="7020" w:type="dxa"/>
            <w:vAlign w:val="bottom"/>
            <w:gridSpan w:val="2"/>
          </w:tcPr>
          <w:p>
            <w:pPr>
              <w:jc w:val="center"/>
              <w:ind w:right="257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r>
      <w:tr>
        <w:trPr>
          <w:trHeight w:val="216"/>
        </w:trPr>
        <w:tc>
          <w:tcPr>
            <w:tcW w:w="2820" w:type="dxa"/>
            <w:vAlign w:val="bottom"/>
          </w:tcPr>
          <w:p>
            <w:pPr>
              <w:spacing w:after="0"/>
              <w:rPr>
                <w:sz w:val="18"/>
                <w:szCs w:val="18"/>
                <w:color w:val="auto"/>
              </w:rPr>
            </w:pPr>
          </w:p>
        </w:tc>
        <w:tc>
          <w:tcPr>
            <w:tcW w:w="3720" w:type="dxa"/>
            <w:vAlign w:val="bottom"/>
          </w:tcPr>
          <w:p>
            <w:pPr>
              <w:jc w:val="center"/>
              <w:ind w:left="559"/>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330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8"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14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36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4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Accelerated filer</w:t>
            </w:r>
          </w:p>
        </w:tc>
        <w:tc>
          <w:tcPr>
            <w:tcW w:w="114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74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4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90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494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4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3" w:lineRule="exact"/>
        <w:rPr>
          <w:sz w:val="24"/>
          <w:szCs w:val="24"/>
          <w:color w:val="auto"/>
        </w:rPr>
      </w:pPr>
    </w:p>
    <w:p>
      <w:pPr>
        <w:ind w:right="10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20" w:right="1540"/>
        <w:spacing w:after="0" w:line="25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31, 2024, there were 22,999,616 outstanding shares of the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1080" w:type="dxa"/>
            <w:vAlign w:val="bottom"/>
            <w:gridSpan w:val="5"/>
          </w:tcPr>
          <w:p>
            <w:pPr>
              <w:ind w:left="420"/>
              <w:spacing w:after="0"/>
              <w:rPr>
                <w:sz w:val="20"/>
                <w:szCs w:val="20"/>
                <w:color w:val="auto"/>
              </w:rPr>
            </w:pPr>
            <w:r>
              <w:rPr>
                <w:rFonts w:ascii="Times New Roman" w:cs="Times New Roman" w:eastAsia="Times New Roman" w:hAnsi="Times New Roman"/>
                <w:sz w:val="16"/>
                <w:szCs w:val="16"/>
                <w:color w:val="auto"/>
              </w:rPr>
              <w:t>Page</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9160" w:type="dxa"/>
            <w:vAlign w:val="bottom"/>
          </w:tcPr>
          <w:p>
            <w:pPr>
              <w:ind w:left="3280"/>
              <w:spacing w:after="0"/>
              <w:rPr>
                <w:sz w:val="20"/>
                <w:szCs w:val="20"/>
                <w:color w:val="auto"/>
              </w:rPr>
            </w:pPr>
            <w:r>
              <w:rPr>
                <w:rFonts w:ascii="Times New Roman" w:cs="Times New Roman" w:eastAsia="Times New Roman" w:hAnsi="Times New Roman"/>
                <w:sz w:val="16"/>
                <w:szCs w:val="16"/>
                <w:color w:val="auto"/>
              </w:rPr>
              <w:t>PART I – FINANCIAL INFORMATION</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9160" w:type="dxa"/>
            <w:vAlign w:val="bottom"/>
          </w:tcPr>
          <w:p>
            <w:pPr>
              <w:ind w:left="380"/>
              <w:spacing w:after="0" w:line="181" w:lineRule="exact"/>
              <w:rPr>
                <w:sz w:val="20"/>
                <w:szCs w:val="20"/>
                <w:color w:val="auto"/>
              </w:rPr>
            </w:pPr>
            <w:r>
              <w:rPr>
                <w:rFonts w:ascii="Times New Roman" w:cs="Times New Roman" w:eastAsia="Times New Roman" w:hAnsi="Times New Roman"/>
                <w:sz w:val="16"/>
                <w:szCs w:val="16"/>
                <w:color w:val="auto"/>
              </w:rPr>
              <w:t>Forward-Looking Statements</w:t>
            </w:r>
          </w:p>
        </w:tc>
        <w:tc>
          <w:tcPr>
            <w:tcW w:w="540" w:type="dxa"/>
            <w:vAlign w:val="bottom"/>
            <w:gridSpan w:val="2"/>
          </w:tcPr>
          <w:p>
            <w:pPr>
              <w:spacing w:after="0"/>
              <w:rPr>
                <w:sz w:val="15"/>
                <w:szCs w:val="15"/>
                <w:color w:val="auto"/>
              </w:rPr>
            </w:pPr>
          </w:p>
        </w:tc>
        <w:tc>
          <w:tcPr>
            <w:tcW w:w="80" w:type="dxa"/>
            <w:vAlign w:val="bottom"/>
            <w:tcBorders>
              <w:bottom w:val="single" w:sz="8" w:color="0000FF"/>
            </w:tcBorders>
          </w:tcPr>
          <w:p>
            <w:pPr>
              <w:jc w:val="center"/>
              <w:spacing w:after="0" w:line="181" w:lineRule="exact"/>
              <w:rPr>
                <w:sz w:val="20"/>
                <w:szCs w:val="20"/>
                <w:color w:val="auto"/>
              </w:rPr>
            </w:pPr>
            <w:r>
              <w:rPr>
                <w:rFonts w:ascii="Times New Roman" w:cs="Times New Roman" w:eastAsia="Times New Roman" w:hAnsi="Times New Roman"/>
                <w:sz w:val="16"/>
                <w:szCs w:val="16"/>
                <w:color w:val="0000FF"/>
                <w:w w:val="99"/>
              </w:rPr>
              <w:t>3</w:t>
            </w: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Item 1.</w:t>
            </w:r>
          </w:p>
        </w:tc>
        <w:tc>
          <w:tcPr>
            <w:tcW w:w="9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Financial Statements</w:t>
            </w:r>
          </w:p>
        </w:tc>
        <w:tc>
          <w:tcPr>
            <w:tcW w:w="54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4</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Consolidated Balance Sheets as of September 30, 2024 (Unaudited) and December 31, 2023</w:t>
            </w:r>
          </w:p>
        </w:tc>
        <w:tc>
          <w:tcPr>
            <w:tcW w:w="54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4</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Consolidated Statements of Income for the three and nine months ended September 30, 2024 and 2023 (Unaudited)</w:t>
            </w:r>
          </w:p>
        </w:tc>
        <w:tc>
          <w:tcPr>
            <w:tcW w:w="54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5</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9160" w:type="dxa"/>
            <w:vAlign w:val="bottom"/>
          </w:tcPr>
          <w:p>
            <w:pPr>
              <w:ind w:left="580"/>
              <w:spacing w:after="0" w:line="183" w:lineRule="exact"/>
              <w:rPr>
                <w:sz w:val="20"/>
                <w:szCs w:val="20"/>
                <w:color w:val="auto"/>
              </w:rPr>
            </w:pPr>
            <w:r>
              <w:rPr>
                <w:rFonts w:ascii="Times New Roman" w:cs="Times New Roman" w:eastAsia="Times New Roman" w:hAnsi="Times New Roman"/>
                <w:sz w:val="16"/>
                <w:szCs w:val="16"/>
                <w:color w:val="auto"/>
              </w:rPr>
              <w:t>Consolidated Statements of Stockholders’ Equity (Deficit) for the three and nine months ended September 30, 2024 and 2023</w:t>
            </w:r>
          </w:p>
        </w:tc>
        <w:tc>
          <w:tcPr>
            <w:tcW w:w="540" w:type="dxa"/>
            <w:vAlign w:val="bottom"/>
            <w:gridSpan w:val="2"/>
            <w:vMerge w:val="restart"/>
          </w:tcPr>
          <w:p>
            <w:pPr>
              <w:spacing w:after="0"/>
              <w:rPr>
                <w:sz w:val="15"/>
                <w:szCs w:val="15"/>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w:t>
            </w: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00" w:type="dxa"/>
            <w:vAlign w:val="bottom"/>
          </w:tcPr>
          <w:p>
            <w:pPr>
              <w:spacing w:after="0"/>
              <w:rPr>
                <w:sz w:val="15"/>
                <w:szCs w:val="15"/>
                <w:color w:val="auto"/>
              </w:rPr>
            </w:pPr>
          </w:p>
        </w:tc>
        <w:tc>
          <w:tcPr>
            <w:tcW w:w="9160" w:type="dxa"/>
            <w:vAlign w:val="bottom"/>
          </w:tcPr>
          <w:p>
            <w:pPr>
              <w:ind w:left="580"/>
              <w:spacing w:after="0" w:line="175" w:lineRule="exact"/>
              <w:rPr>
                <w:sz w:val="20"/>
                <w:szCs w:val="20"/>
                <w:color w:val="auto"/>
              </w:rPr>
            </w:pPr>
            <w:r>
              <w:rPr>
                <w:rFonts w:ascii="Times New Roman" w:cs="Times New Roman" w:eastAsia="Times New Roman" w:hAnsi="Times New Roman"/>
                <w:sz w:val="16"/>
                <w:szCs w:val="16"/>
                <w:color w:val="auto"/>
              </w:rPr>
              <w:t>(Unaudited)</w:t>
            </w:r>
          </w:p>
        </w:tc>
        <w:tc>
          <w:tcPr>
            <w:tcW w:w="540" w:type="dxa"/>
            <w:vAlign w:val="bottom"/>
            <w:gridSpan w:val="2"/>
            <w:vMerge w:val="continue"/>
          </w:tcPr>
          <w:p>
            <w:pPr>
              <w:spacing w:after="0"/>
              <w:rPr>
                <w:sz w:val="15"/>
                <w:szCs w:val="15"/>
                <w:color w:val="auto"/>
              </w:rPr>
            </w:pPr>
          </w:p>
        </w:tc>
        <w:tc>
          <w:tcPr>
            <w:tcW w:w="80" w:type="dxa"/>
            <w:vAlign w:val="bottom"/>
            <w:tcBorders>
              <w:bottom w:val="single" w:sz="8" w:color="0000FF"/>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Consolidated Statements of Cash Flows for the nine months ended September 30, 2024 and 2023 (Unaudited)</w:t>
            </w:r>
          </w:p>
        </w:tc>
        <w:tc>
          <w:tcPr>
            <w:tcW w:w="54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7</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1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Notes to Consolidated Financial Statements (Unaudited)</w:t>
            </w:r>
          </w:p>
        </w:tc>
        <w:tc>
          <w:tcPr>
            <w:tcW w:w="54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8</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Item 2.</w:t>
            </w:r>
          </w:p>
        </w:tc>
        <w:tc>
          <w:tcPr>
            <w:tcW w:w="9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Operations</w:t>
            </w:r>
          </w:p>
        </w:tc>
        <w:tc>
          <w:tcPr>
            <w:tcW w:w="660" w:type="dxa"/>
            <w:vAlign w:val="bottom"/>
            <w:gridSpan w:val="4"/>
          </w:tcPr>
          <w:p>
            <w:pPr>
              <w:jc w:val="center"/>
              <w:ind w:left="419"/>
              <w:spacing w:after="0"/>
              <w:rPr>
                <w:sz w:val="20"/>
                <w:szCs w:val="20"/>
                <w:color w:val="auto"/>
              </w:rPr>
            </w:pPr>
            <w:r>
              <w:rPr>
                <w:rFonts w:ascii="Times New Roman" w:cs="Times New Roman" w:eastAsia="Times New Roman" w:hAnsi="Times New Roman"/>
                <w:sz w:val="16"/>
                <w:szCs w:val="16"/>
                <w:color w:val="0000FF"/>
                <w:w w:val="99"/>
              </w:rPr>
              <w:t>27</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Item 3.</w:t>
            </w:r>
          </w:p>
        </w:tc>
        <w:tc>
          <w:tcPr>
            <w:tcW w:w="9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Quantitative and Qualitative Disclosures About Market Risk</w:t>
            </w:r>
          </w:p>
        </w:tc>
        <w:tc>
          <w:tcPr>
            <w:tcW w:w="660" w:type="dxa"/>
            <w:vAlign w:val="bottom"/>
            <w:gridSpan w:val="4"/>
          </w:tcPr>
          <w:p>
            <w:pPr>
              <w:jc w:val="center"/>
              <w:ind w:left="419"/>
              <w:spacing w:after="0"/>
              <w:rPr>
                <w:sz w:val="20"/>
                <w:szCs w:val="20"/>
                <w:color w:val="auto"/>
              </w:rPr>
            </w:pPr>
            <w:r>
              <w:rPr>
                <w:rFonts w:ascii="Times New Roman" w:cs="Times New Roman" w:eastAsia="Times New Roman" w:hAnsi="Times New Roman"/>
                <w:sz w:val="16"/>
                <w:szCs w:val="16"/>
                <w:color w:val="0000FF"/>
                <w:w w:val="99"/>
              </w:rPr>
              <w:t>36</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Item 4.</w:t>
            </w:r>
          </w:p>
        </w:tc>
        <w:tc>
          <w:tcPr>
            <w:tcW w:w="9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Controls and Procedures</w:t>
            </w:r>
          </w:p>
        </w:tc>
        <w:tc>
          <w:tcPr>
            <w:tcW w:w="660" w:type="dxa"/>
            <w:vAlign w:val="bottom"/>
            <w:gridSpan w:val="4"/>
          </w:tcPr>
          <w:p>
            <w:pPr>
              <w:jc w:val="center"/>
              <w:ind w:left="419"/>
              <w:spacing w:after="0"/>
              <w:rPr>
                <w:sz w:val="20"/>
                <w:szCs w:val="20"/>
                <w:color w:val="auto"/>
              </w:rPr>
            </w:pPr>
            <w:r>
              <w:rPr>
                <w:rFonts w:ascii="Times New Roman" w:cs="Times New Roman" w:eastAsia="Times New Roman" w:hAnsi="Times New Roman"/>
                <w:sz w:val="16"/>
                <w:szCs w:val="16"/>
                <w:color w:val="0000FF"/>
                <w:w w:val="99"/>
              </w:rPr>
              <w:t>37</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000" w:type="dxa"/>
            <w:vAlign w:val="bottom"/>
          </w:tcPr>
          <w:p>
            <w:pPr>
              <w:spacing w:after="0"/>
              <w:rPr>
                <w:sz w:val="20"/>
                <w:szCs w:val="20"/>
                <w:color w:val="auto"/>
              </w:rPr>
            </w:pPr>
          </w:p>
        </w:tc>
        <w:tc>
          <w:tcPr>
            <w:tcW w:w="9160" w:type="dxa"/>
            <w:vAlign w:val="bottom"/>
          </w:tcPr>
          <w:p>
            <w:pPr>
              <w:ind w:left="3420"/>
              <w:spacing w:after="0"/>
              <w:rPr>
                <w:sz w:val="20"/>
                <w:szCs w:val="20"/>
                <w:color w:val="auto"/>
              </w:rPr>
            </w:pPr>
            <w:r>
              <w:rPr>
                <w:rFonts w:ascii="Times New Roman" w:cs="Times New Roman" w:eastAsia="Times New Roman" w:hAnsi="Times New Roman"/>
                <w:sz w:val="16"/>
                <w:szCs w:val="16"/>
                <w:color w:val="auto"/>
              </w:rPr>
              <w:t>PART II – OTHER INFORMATION</w:t>
            </w:r>
          </w:p>
        </w:tc>
        <w:tc>
          <w:tcPr>
            <w:tcW w:w="50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1000" w:type="dxa"/>
            <w:vAlign w:val="bottom"/>
          </w:tcPr>
          <w:p>
            <w:pPr>
              <w:ind w:left="60"/>
              <w:spacing w:after="0" w:line="181" w:lineRule="exact"/>
              <w:rPr>
                <w:sz w:val="20"/>
                <w:szCs w:val="20"/>
                <w:color w:val="auto"/>
              </w:rPr>
            </w:pPr>
            <w:r>
              <w:rPr>
                <w:rFonts w:ascii="Times New Roman" w:cs="Times New Roman" w:eastAsia="Times New Roman" w:hAnsi="Times New Roman"/>
                <w:sz w:val="16"/>
                <w:szCs w:val="16"/>
                <w:color w:val="auto"/>
              </w:rPr>
              <w:t>Item 1.</w:t>
            </w:r>
          </w:p>
        </w:tc>
        <w:tc>
          <w:tcPr>
            <w:tcW w:w="9160" w:type="dxa"/>
            <w:vAlign w:val="bottom"/>
          </w:tcPr>
          <w:p>
            <w:pPr>
              <w:ind w:left="380"/>
              <w:spacing w:after="0" w:line="181" w:lineRule="exact"/>
              <w:rPr>
                <w:sz w:val="20"/>
                <w:szCs w:val="20"/>
                <w:color w:val="auto"/>
              </w:rPr>
            </w:pPr>
            <w:r>
              <w:rPr>
                <w:rFonts w:ascii="Times New Roman" w:cs="Times New Roman" w:eastAsia="Times New Roman" w:hAnsi="Times New Roman"/>
                <w:sz w:val="16"/>
                <w:szCs w:val="16"/>
                <w:color w:val="auto"/>
              </w:rPr>
              <w:t>Legal Proceedings</w:t>
            </w:r>
          </w:p>
        </w:tc>
        <w:tc>
          <w:tcPr>
            <w:tcW w:w="660" w:type="dxa"/>
            <w:vAlign w:val="bottom"/>
            <w:gridSpan w:val="4"/>
          </w:tcPr>
          <w:p>
            <w:pPr>
              <w:jc w:val="center"/>
              <w:ind w:left="419"/>
              <w:spacing w:after="0" w:line="181" w:lineRule="exact"/>
              <w:rPr>
                <w:sz w:val="20"/>
                <w:szCs w:val="20"/>
                <w:color w:val="auto"/>
              </w:rPr>
            </w:pPr>
            <w:r>
              <w:rPr>
                <w:rFonts w:ascii="Times New Roman" w:cs="Times New Roman" w:eastAsia="Times New Roman" w:hAnsi="Times New Roman"/>
                <w:sz w:val="16"/>
                <w:szCs w:val="16"/>
                <w:color w:val="0000FF"/>
                <w:w w:val="99"/>
              </w:rPr>
              <w:t>38</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Item 1A.</w:t>
            </w:r>
          </w:p>
        </w:tc>
        <w:tc>
          <w:tcPr>
            <w:tcW w:w="9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Risk Factors</w:t>
            </w:r>
          </w:p>
        </w:tc>
        <w:tc>
          <w:tcPr>
            <w:tcW w:w="660" w:type="dxa"/>
            <w:vAlign w:val="bottom"/>
            <w:gridSpan w:val="4"/>
          </w:tcPr>
          <w:p>
            <w:pPr>
              <w:jc w:val="center"/>
              <w:ind w:left="419"/>
              <w:spacing w:after="0"/>
              <w:rPr>
                <w:sz w:val="20"/>
                <w:szCs w:val="20"/>
                <w:color w:val="auto"/>
              </w:rPr>
            </w:pPr>
            <w:r>
              <w:rPr>
                <w:rFonts w:ascii="Times New Roman" w:cs="Times New Roman" w:eastAsia="Times New Roman" w:hAnsi="Times New Roman"/>
                <w:sz w:val="16"/>
                <w:szCs w:val="16"/>
                <w:color w:val="0000FF"/>
                <w:w w:val="99"/>
              </w:rPr>
              <w:t>38</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Item 2.</w:t>
            </w:r>
          </w:p>
        </w:tc>
        <w:tc>
          <w:tcPr>
            <w:tcW w:w="9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Unregistered Sales of Equity Securities and Use of Proceeds</w:t>
            </w:r>
          </w:p>
        </w:tc>
        <w:tc>
          <w:tcPr>
            <w:tcW w:w="660" w:type="dxa"/>
            <w:vAlign w:val="bottom"/>
            <w:gridSpan w:val="4"/>
          </w:tcPr>
          <w:p>
            <w:pPr>
              <w:jc w:val="center"/>
              <w:ind w:left="419"/>
              <w:spacing w:after="0"/>
              <w:rPr>
                <w:sz w:val="20"/>
                <w:szCs w:val="20"/>
                <w:color w:val="auto"/>
              </w:rPr>
            </w:pPr>
            <w:r>
              <w:rPr>
                <w:rFonts w:ascii="Times New Roman" w:cs="Times New Roman" w:eastAsia="Times New Roman" w:hAnsi="Times New Roman"/>
                <w:sz w:val="16"/>
                <w:szCs w:val="16"/>
                <w:color w:val="0000FF"/>
                <w:w w:val="99"/>
              </w:rPr>
              <w:t>38</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Item 3.</w:t>
            </w:r>
          </w:p>
        </w:tc>
        <w:tc>
          <w:tcPr>
            <w:tcW w:w="9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Defaults Upon Senior Securities</w:t>
            </w:r>
          </w:p>
        </w:tc>
        <w:tc>
          <w:tcPr>
            <w:tcW w:w="660" w:type="dxa"/>
            <w:vAlign w:val="bottom"/>
            <w:gridSpan w:val="4"/>
          </w:tcPr>
          <w:p>
            <w:pPr>
              <w:jc w:val="center"/>
              <w:ind w:left="419"/>
              <w:spacing w:after="0"/>
              <w:rPr>
                <w:sz w:val="20"/>
                <w:szCs w:val="20"/>
                <w:color w:val="auto"/>
              </w:rPr>
            </w:pPr>
            <w:r>
              <w:rPr>
                <w:rFonts w:ascii="Times New Roman" w:cs="Times New Roman" w:eastAsia="Times New Roman" w:hAnsi="Times New Roman"/>
                <w:sz w:val="16"/>
                <w:szCs w:val="16"/>
                <w:color w:val="0000FF"/>
                <w:w w:val="99"/>
              </w:rPr>
              <w:t>38</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Item 4.</w:t>
            </w:r>
          </w:p>
        </w:tc>
        <w:tc>
          <w:tcPr>
            <w:tcW w:w="9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Mine Safety Disclosures</w:t>
            </w:r>
          </w:p>
        </w:tc>
        <w:tc>
          <w:tcPr>
            <w:tcW w:w="660" w:type="dxa"/>
            <w:vAlign w:val="bottom"/>
            <w:gridSpan w:val="4"/>
          </w:tcPr>
          <w:p>
            <w:pPr>
              <w:jc w:val="center"/>
              <w:ind w:left="419"/>
              <w:spacing w:after="0"/>
              <w:rPr>
                <w:sz w:val="20"/>
                <w:szCs w:val="20"/>
                <w:color w:val="auto"/>
              </w:rPr>
            </w:pPr>
            <w:r>
              <w:rPr>
                <w:rFonts w:ascii="Times New Roman" w:cs="Times New Roman" w:eastAsia="Times New Roman" w:hAnsi="Times New Roman"/>
                <w:sz w:val="16"/>
                <w:szCs w:val="16"/>
                <w:color w:val="0000FF"/>
                <w:w w:val="99"/>
              </w:rPr>
              <w:t>38</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Item 5.</w:t>
            </w:r>
          </w:p>
        </w:tc>
        <w:tc>
          <w:tcPr>
            <w:tcW w:w="9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Information</w:t>
            </w:r>
          </w:p>
        </w:tc>
        <w:tc>
          <w:tcPr>
            <w:tcW w:w="660" w:type="dxa"/>
            <w:vAlign w:val="bottom"/>
            <w:gridSpan w:val="4"/>
          </w:tcPr>
          <w:p>
            <w:pPr>
              <w:jc w:val="center"/>
              <w:ind w:left="419"/>
              <w:spacing w:after="0"/>
              <w:rPr>
                <w:sz w:val="20"/>
                <w:szCs w:val="20"/>
                <w:color w:val="auto"/>
              </w:rPr>
            </w:pPr>
            <w:r>
              <w:rPr>
                <w:rFonts w:ascii="Times New Roman" w:cs="Times New Roman" w:eastAsia="Times New Roman" w:hAnsi="Times New Roman"/>
                <w:sz w:val="16"/>
                <w:szCs w:val="16"/>
                <w:color w:val="0000FF"/>
                <w:w w:val="99"/>
              </w:rPr>
              <w:t>38</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Item 6.</w:t>
            </w:r>
          </w:p>
        </w:tc>
        <w:tc>
          <w:tcPr>
            <w:tcW w:w="9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Exhibits</w:t>
            </w:r>
          </w:p>
        </w:tc>
        <w:tc>
          <w:tcPr>
            <w:tcW w:w="660" w:type="dxa"/>
            <w:vAlign w:val="bottom"/>
            <w:gridSpan w:val="4"/>
          </w:tcPr>
          <w:p>
            <w:pPr>
              <w:jc w:val="center"/>
              <w:ind w:left="419"/>
              <w:spacing w:after="0"/>
              <w:rPr>
                <w:sz w:val="20"/>
                <w:szCs w:val="20"/>
                <w:color w:val="auto"/>
              </w:rPr>
            </w:pPr>
            <w:r>
              <w:rPr>
                <w:rFonts w:ascii="Times New Roman" w:cs="Times New Roman" w:eastAsia="Times New Roman" w:hAnsi="Times New Roman"/>
                <w:sz w:val="16"/>
                <w:szCs w:val="16"/>
                <w:color w:val="0000FF"/>
                <w:w w:val="99"/>
              </w:rPr>
              <w:t>39</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Signatures</w:t>
            </w:r>
          </w:p>
        </w:tc>
        <w:tc>
          <w:tcPr>
            <w:tcW w:w="660" w:type="dxa"/>
            <w:vAlign w:val="bottom"/>
            <w:gridSpan w:val="4"/>
          </w:tcPr>
          <w:p>
            <w:pPr>
              <w:jc w:val="center"/>
              <w:ind w:left="419"/>
              <w:spacing w:after="0"/>
              <w:rPr>
                <w:sz w:val="20"/>
                <w:szCs w:val="20"/>
                <w:color w:val="auto"/>
              </w:rPr>
            </w:pPr>
            <w:r>
              <w:rPr>
                <w:rFonts w:ascii="Times New Roman" w:cs="Times New Roman" w:eastAsia="Times New Roman" w:hAnsi="Times New Roman"/>
                <w:sz w:val="16"/>
                <w:szCs w:val="16"/>
                <w:color w:val="0000FF"/>
                <w:w w:val="99"/>
              </w:rPr>
              <w:t>39</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9"/>
        </w:trPr>
        <w:tc>
          <w:tcPr>
            <w:tcW w:w="1000" w:type="dxa"/>
            <w:vAlign w:val="bottom"/>
            <w:tcBorders>
              <w:bottom w:val="single" w:sz="8" w:color="9A9A9A"/>
            </w:tcBorders>
          </w:tcPr>
          <w:p>
            <w:pPr>
              <w:spacing w:after="0"/>
              <w:rPr>
                <w:sz w:val="24"/>
                <w:szCs w:val="24"/>
                <w:color w:val="auto"/>
              </w:rPr>
            </w:pPr>
          </w:p>
        </w:tc>
        <w:tc>
          <w:tcPr>
            <w:tcW w:w="91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Certain statements contained in this Quarterly Report on Form 10-Q for the three months ended September 30, 2024, (the “Quarterly Report”) that are not historical facts are intended to constitute “forward-looking statements” entitled to the safe-harbor provisions of Section 21E of the Securities Exchange Act of 1934, as amended (the “Exchange Act”). These statements may involve risks and uncertainties. These statements often include words such as “anticipate,” “believe,” “budgeted,” “contemplate,” “estimate,” “expect,” “forecast,” “guidance,” “may,” “outlook,” “plan,” “projection,” “should,” “target,” “will,” “would” or similar expressions, but these words are not the exclusive means for identifying such statements. These forward-looking statements include statements regarding Power Solutions International, Inc.’s, a Delaware corporation (“Power Solutions,” “PSI” or the “Company”), projected sales, potential profitability and liquidity, strategic initiatives, future business strategies, warranty mitigation efforts and market opportunities, improvements in its business, improvement of product margins, and product market conditions and trends. These statements are not guarantees of performance or results, and they involve risks, uncertainties and assumptions. Although the Company believes that these forward-looking statements are based on reasonable assumptions, there are many factors that could affect the Company’s results of operations and liquidity and could cause actual results, performance or achievements to differ materially from those expressed in, or implied by, the Company’s forward-looking statements.</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The Company cautions that the risks, uncertainties and other factors that could cause its actual results to differ materially from those expressed in, or implied by, the forward-looking statements include, without limitation, the factors discussed in the Company’s Annual Report on Form 10-K for the year ended December 31, 2023, and from time to time in the Company’s subsequent filings with the United States Securities and Exchange Commission (the “SEC”); the impact of the macro-economic environment in both the U.S. and internationally on our business and expectations regarding growth of the industry; uncertainties arising from global events (including the Russia-Ukraine and Israel-Hamas conflicts), natural disasters or pandemics, and their impact on material prices; the effects of strategic investments on our operations, including our efforts to expand our global market share and actions taken to increase sales growth; the ability to develop and successfully launch new products; labor costs and other employment-related costs; loss of suppliers and disruptions in the supply of raw materials; the Company’s ability to continue as a going concern; the Company’s ability to raise additional capital when needed and its liquidity; uncertainties around the Company’s ability to meet funding conditions under its financing arrangements and access to capital thereunder; the potential acceleration of the maturity at any time of the loans under the Company’s uncommitted revolving credit agreement through the exercise by any lender of its demand right in its Revolving Credit Agreement; the impact of rising interest rates; changes in economic conditions, including inflationary trends in the price of raw materials; our reliance on information technology and the associated risk involving potential security lapses and/or cyber-attacks; the ability of the Company to accurately forecast sales, and the extent to which sales result in recorded revenues; changes in customer demand for the Company’s products; volatility in oil and gas prices; the impact of U.S. tariffs on imports; the impact of supply chain interruptions and raw material shortages, including compliance disruptions such as the Uyghur Forced Labor Prevention Act (the “UFLPA”) delaying goods from China; the potential impact of higher warranty costs and the Company’s ability to mitigate such costs; any delays and challenges in recruiting and retaining key employees consistent with the Company’s plans; the potential effects of damage to our reputation or other adverse consequences if our employees, suppliers, sub-suppliers or other contract parties, agents or business partners violate anti-bribery, competition, export and import, trade sanctions, data privacy, environmental, human rights or other laws; any negative impacts from the trading of the Company’s common stock, par value $0.001 per share (the “Common Stock”) on the OTC Pink Market and any delays and challenges in re-listing on the Nasdaq Stock Market (“Nasdaq”); and the impact of unanticipated changes in our effective tax rate, the adoption of new tax legislation or exposure to additional income tax liabilities.</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The Company’s forward-looking statements are presented as of the date hereof. Except as required by law, the Company expressly disclaims any intention or obligation to revise or update any forward-looking statements, whether as a result of new information, future events or otherwise.</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Company is subject to the reporting and information requirements of the Exchange Act, and as a result, it is obligated to file annual, quarterly and current reports on Form 8-K, proxy and information statements and other information with the SEC. The Company makes these filings available free of charge on its website (http://www.psiengines.com) as soon as reasonably practicable after it electronically files them with, or furnishes them to, the SEC. Information on the Company’s website does not constitute part of this Quarterly Report. In addition, the SEC maintains a website (http://www.sec.gov) that contains the annual, quarterly and current reports on Form 8-K, proxy and information statements, and other information the Company electronically files with, or furnishes to, the SEC.</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POWER SOLUTIONS INTERNATIONAL, INC.</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0"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76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(in thousands, except par values)</w:t>
            </w: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0" w:type="dxa"/>
            <w:vAlign w:val="bottom"/>
          </w:tcPr>
          <w:p>
            <w:pPr>
              <w:spacing w:after="0"/>
              <w:rPr>
                <w:sz w:val="1"/>
                <w:szCs w:val="1"/>
                <w:color w:val="auto"/>
              </w:rPr>
            </w:pPr>
          </w:p>
        </w:tc>
      </w:tr>
      <w:tr>
        <w:trPr>
          <w:trHeight w:val="214"/>
        </w:trPr>
        <w:tc>
          <w:tcPr>
            <w:tcW w:w="3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2024 (unaudited)</w:t>
            </w:r>
          </w:p>
        </w:tc>
        <w:tc>
          <w:tcPr>
            <w:tcW w:w="1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60" w:type="dxa"/>
            <w:vAlign w:val="bottom"/>
            <w:tcBorders>
              <w:top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gridSpan w:val="5"/>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40,456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22,758</w:t>
            </w:r>
          </w:p>
        </w:tc>
        <w:tc>
          <w:tcPr>
            <w:tcW w:w="0" w:type="dxa"/>
            <w:vAlign w:val="bottom"/>
          </w:tcPr>
          <w:p>
            <w:pPr>
              <w:spacing w:after="0"/>
              <w:rPr>
                <w:sz w:val="1"/>
                <w:szCs w:val="1"/>
                <w:color w:val="auto"/>
              </w:rPr>
            </w:pPr>
          </w:p>
        </w:tc>
      </w:tr>
      <w:tr>
        <w:trPr>
          <w:trHeight w:val="213"/>
        </w:trPr>
        <w:tc>
          <w:tcPr>
            <w:tcW w:w="766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3,836</w:t>
            </w:r>
          </w:p>
        </w:tc>
        <w:tc>
          <w:tcPr>
            <w:tcW w:w="0" w:type="dxa"/>
            <w:vAlign w:val="bottom"/>
          </w:tcPr>
          <w:p>
            <w:pPr>
              <w:spacing w:after="0"/>
              <w:rPr>
                <w:sz w:val="1"/>
                <w:szCs w:val="1"/>
                <w:color w:val="auto"/>
              </w:rPr>
            </w:pPr>
          </w:p>
        </w:tc>
      </w:tr>
      <w:tr>
        <w:trPr>
          <w:trHeight w:val="165"/>
        </w:trPr>
        <w:tc>
          <w:tcPr>
            <w:tcW w:w="7660" w:type="dxa"/>
            <w:vAlign w:val="bottom"/>
            <w:gridSpan w:val="5"/>
            <w:shd w:val="clear" w:color="auto" w:fill="CCEEFF"/>
          </w:tcPr>
          <w:p>
            <w:pPr>
              <w:ind w:left="460"/>
              <w:spacing w:after="0" w:line="165" w:lineRule="exact"/>
              <w:rPr>
                <w:sz w:val="20"/>
                <w:szCs w:val="20"/>
                <w:color w:val="auto"/>
              </w:rPr>
            </w:pPr>
            <w:r>
              <w:rPr>
                <w:rFonts w:ascii="Times New Roman" w:cs="Times New Roman" w:eastAsia="Times New Roman" w:hAnsi="Times New Roman"/>
                <w:sz w:val="16"/>
                <w:szCs w:val="16"/>
                <w:color w:val="auto"/>
              </w:rPr>
              <w:t>Accounts receivable, net of allowances of $3,890 and $5,975 as of September 30, 2024 and December 31,</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gridSpan w:val="5"/>
            <w:shd w:val="clear" w:color="auto" w:fill="CCEEFF"/>
          </w:tcPr>
          <w:p>
            <w:pPr>
              <w:ind w:left="460"/>
              <w:spacing w:after="0" w:line="162" w:lineRule="exact"/>
              <w:rPr>
                <w:sz w:val="20"/>
                <w:szCs w:val="20"/>
                <w:color w:val="auto"/>
              </w:rPr>
            </w:pPr>
            <w:r>
              <w:rPr>
                <w:rFonts w:ascii="Times New Roman" w:cs="Times New Roman" w:eastAsia="Times New Roman" w:hAnsi="Times New Roman"/>
                <w:sz w:val="16"/>
                <w:szCs w:val="16"/>
                <w:color w:val="auto"/>
              </w:rPr>
              <w:t>2023, respectively; (from related parties $550 and $777 as of September 30, 2024 and December 31, 2023,</w:t>
            </w:r>
          </w:p>
        </w:tc>
        <w:tc>
          <w:tcPr>
            <w:tcW w:w="14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77,493</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66,979</w:t>
            </w:r>
          </w:p>
        </w:tc>
        <w:tc>
          <w:tcPr>
            <w:tcW w:w="0" w:type="dxa"/>
            <w:vAlign w:val="bottom"/>
          </w:tcPr>
          <w:p>
            <w:pPr>
              <w:spacing w:after="0"/>
              <w:rPr>
                <w:sz w:val="1"/>
                <w:szCs w:val="1"/>
                <w:color w:val="auto"/>
              </w:rPr>
            </w:pPr>
          </w:p>
        </w:tc>
      </w:tr>
      <w:tr>
        <w:trPr>
          <w:trHeight w:val="216"/>
        </w:trPr>
        <w:tc>
          <w:tcPr>
            <w:tcW w:w="7660" w:type="dxa"/>
            <w:vAlign w:val="bottom"/>
            <w:gridSpan w:val="5"/>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respectively)</w:t>
            </w:r>
          </w:p>
        </w:tc>
        <w:tc>
          <w:tcPr>
            <w:tcW w:w="14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Income tax receivable</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219"/>
        </w:trPr>
        <w:tc>
          <w:tcPr>
            <w:tcW w:w="7660" w:type="dxa"/>
            <w:vAlign w:val="bottom"/>
            <w:gridSpan w:val="5"/>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Inventories, net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104,889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84,947</w:t>
            </w:r>
          </w:p>
        </w:tc>
        <w:tc>
          <w:tcPr>
            <w:tcW w:w="0" w:type="dxa"/>
            <w:vAlign w:val="bottom"/>
          </w:tcPr>
          <w:p>
            <w:pPr>
              <w:spacing w:after="0"/>
              <w:rPr>
                <w:sz w:val="1"/>
                <w:szCs w:val="1"/>
                <w:color w:val="auto"/>
              </w:rPr>
            </w:pPr>
          </w:p>
        </w:tc>
      </w:tr>
      <w:tr>
        <w:trPr>
          <w:trHeight w:val="213"/>
        </w:trPr>
        <w:tc>
          <w:tcPr>
            <w:tcW w:w="766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Prepaid expenses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8,518</w:t>
            </w:r>
          </w:p>
        </w:tc>
        <w:tc>
          <w:tcPr>
            <w:tcW w:w="0" w:type="dxa"/>
            <w:vAlign w:val="bottom"/>
          </w:tcPr>
          <w:p>
            <w:pPr>
              <w:spacing w:after="0"/>
              <w:rPr>
                <w:sz w:val="1"/>
                <w:szCs w:val="1"/>
                <w:color w:val="auto"/>
              </w:rPr>
            </w:pPr>
          </w:p>
        </w:tc>
      </w:tr>
      <w:tr>
        <w:trPr>
          <w:trHeight w:val="219"/>
        </w:trPr>
        <w:tc>
          <w:tcPr>
            <w:tcW w:w="7660" w:type="dxa"/>
            <w:vAlign w:val="bottom"/>
            <w:gridSpan w:val="5"/>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Contract assets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15,554</w:t>
            </w:r>
          </w:p>
        </w:tc>
        <w:tc>
          <w:tcPr>
            <w:tcW w:w="0" w:type="dxa"/>
            <w:vAlign w:val="bottom"/>
          </w:tcPr>
          <w:p>
            <w:pPr>
              <w:spacing w:after="0"/>
              <w:rPr>
                <w:sz w:val="1"/>
                <w:szCs w:val="1"/>
                <w:color w:val="auto"/>
              </w:rPr>
            </w:pPr>
          </w:p>
        </w:tc>
      </w:tr>
      <w:tr>
        <w:trPr>
          <w:trHeight w:val="213"/>
        </w:trPr>
        <w:tc>
          <w:tcPr>
            <w:tcW w:w="7660" w:type="dxa"/>
            <w:vAlign w:val="bottom"/>
            <w:tcBorders>
              <w:bottom w:val="single" w:sz="8" w:color="CCEEFF"/>
            </w:tcBorders>
            <w:gridSpan w:val="5"/>
          </w:tcPr>
          <w:p>
            <w:pPr>
              <w:ind w:left="460"/>
              <w:spacing w:after="0"/>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2,655</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0" w:type="dxa"/>
            <w:vAlign w:val="bottom"/>
          </w:tcPr>
          <w:p>
            <w:pPr>
              <w:spacing w:after="0"/>
              <w:rPr>
                <w:sz w:val="1"/>
                <w:szCs w:val="1"/>
                <w:color w:val="auto"/>
              </w:rPr>
            </w:pPr>
          </w:p>
        </w:tc>
      </w:tr>
      <w:tr>
        <w:trPr>
          <w:trHeight w:val="212"/>
        </w:trPr>
        <w:tc>
          <w:tcPr>
            <w:tcW w:w="76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265,168</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205,382</w:t>
            </w:r>
          </w:p>
        </w:tc>
        <w:tc>
          <w:tcPr>
            <w:tcW w:w="0" w:type="dxa"/>
            <w:vAlign w:val="bottom"/>
          </w:tcPr>
          <w:p>
            <w:pPr>
              <w:spacing w:after="0"/>
              <w:rPr>
                <w:sz w:val="1"/>
                <w:szCs w:val="1"/>
                <w:color w:val="auto"/>
              </w:rPr>
            </w:pPr>
          </w:p>
        </w:tc>
      </w:tr>
      <w:tr>
        <w:trPr>
          <w:trHeight w:val="207"/>
        </w:trPr>
        <w:tc>
          <w:tcPr>
            <w:tcW w:w="76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14,928</w:t>
            </w:r>
          </w:p>
        </w:tc>
        <w:tc>
          <w:tcPr>
            <w:tcW w:w="0" w:type="dxa"/>
            <w:vAlign w:val="bottom"/>
          </w:tcPr>
          <w:p>
            <w:pPr>
              <w:spacing w:after="0"/>
              <w:rPr>
                <w:sz w:val="1"/>
                <w:szCs w:val="1"/>
                <w:color w:val="auto"/>
              </w:rPr>
            </w:pPr>
          </w:p>
        </w:tc>
      </w:tr>
      <w:tr>
        <w:trPr>
          <w:trHeight w:val="219"/>
        </w:trPr>
        <w:tc>
          <w:tcPr>
            <w:tcW w:w="76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Right-of-use assets, net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27,145</w:t>
            </w:r>
          </w:p>
        </w:tc>
        <w:tc>
          <w:tcPr>
            <w:tcW w:w="0" w:type="dxa"/>
            <w:vAlign w:val="bottom"/>
          </w:tcPr>
          <w:p>
            <w:pPr>
              <w:spacing w:after="0"/>
              <w:rPr>
                <w:sz w:val="1"/>
                <w:szCs w:val="1"/>
                <w:color w:val="auto"/>
              </w:rPr>
            </w:pPr>
          </w:p>
        </w:tc>
      </w:tr>
      <w:tr>
        <w:trPr>
          <w:trHeight w:val="213"/>
        </w:trPr>
        <w:tc>
          <w:tcPr>
            <w:tcW w:w="76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3,914</w:t>
            </w:r>
          </w:p>
        </w:tc>
        <w:tc>
          <w:tcPr>
            <w:tcW w:w="0" w:type="dxa"/>
            <w:vAlign w:val="bottom"/>
          </w:tcPr>
          <w:p>
            <w:pPr>
              <w:spacing w:after="0"/>
              <w:rPr>
                <w:sz w:val="1"/>
                <w:szCs w:val="1"/>
                <w:color w:val="auto"/>
              </w:rPr>
            </w:pPr>
          </w:p>
        </w:tc>
      </w:tr>
      <w:tr>
        <w:trPr>
          <w:trHeight w:val="219"/>
        </w:trPr>
        <w:tc>
          <w:tcPr>
            <w:tcW w:w="76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29,835</w:t>
            </w:r>
          </w:p>
        </w:tc>
        <w:tc>
          <w:tcPr>
            <w:tcW w:w="0" w:type="dxa"/>
            <w:vAlign w:val="bottom"/>
          </w:tcPr>
          <w:p>
            <w:pPr>
              <w:spacing w:after="0"/>
              <w:rPr>
                <w:sz w:val="1"/>
                <w:szCs w:val="1"/>
                <w:color w:val="auto"/>
              </w:rPr>
            </w:pPr>
          </w:p>
        </w:tc>
      </w:tr>
      <w:tr>
        <w:trPr>
          <w:trHeight w:val="213"/>
        </w:trPr>
        <w:tc>
          <w:tcPr>
            <w:tcW w:w="7660" w:type="dxa"/>
            <w:vAlign w:val="bottom"/>
            <w:tcBorders>
              <w:bottom w:val="single" w:sz="8" w:color="CCEEFF"/>
            </w:tcBorders>
            <w:gridSpan w:val="5"/>
          </w:tcPr>
          <w:p>
            <w:pPr>
              <w:ind w:left="2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3,099</w:t>
            </w: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339,135</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284,303</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7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 (DEFICIT)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660" w:type="dxa"/>
            <w:vAlign w:val="bottom"/>
            <w:gridSpan w:val="2"/>
            <w:shd w:val="clear" w:color="auto" w:fill="CCEEFF"/>
          </w:tcPr>
          <w:p>
            <w:pPr>
              <w:ind w:left="460"/>
              <w:spacing w:after="0" w:line="165" w:lineRule="exact"/>
              <w:rPr>
                <w:sz w:val="20"/>
                <w:szCs w:val="20"/>
                <w:color w:val="auto"/>
              </w:rPr>
            </w:pPr>
            <w:r>
              <w:rPr>
                <w:rFonts w:ascii="Times New Roman" w:cs="Times New Roman" w:eastAsia="Times New Roman" w:hAnsi="Times New Roman"/>
                <w:sz w:val="16"/>
                <w:szCs w:val="16"/>
                <w:color w:val="auto"/>
              </w:rPr>
              <w:t>Accounts payable (to related parties $24,192 and</w:t>
            </w:r>
          </w:p>
        </w:tc>
        <w:tc>
          <w:tcPr>
            <w:tcW w:w="540" w:type="dxa"/>
            <w:vAlign w:val="bottom"/>
            <w:gridSpan w:val="2"/>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w w:val="99"/>
                <w:shd w:val="clear" w:color="auto" w:fill="CCEEFF"/>
              </w:rPr>
              <w:t>$24,496</w:t>
            </w:r>
          </w:p>
        </w:tc>
        <w:tc>
          <w:tcPr>
            <w:tcW w:w="3460" w:type="dxa"/>
            <w:vAlign w:val="bottom"/>
            <w:shd w:val="clear" w:color="auto" w:fill="CCEEFF"/>
          </w:tcPr>
          <w:p>
            <w:pPr>
              <w:ind w:left="40"/>
              <w:spacing w:after="0" w:line="165" w:lineRule="exact"/>
              <w:rPr>
                <w:sz w:val="20"/>
                <w:szCs w:val="20"/>
                <w:color w:val="auto"/>
              </w:rPr>
            </w:pPr>
            <w:r>
              <w:rPr>
                <w:rFonts w:ascii="Times New Roman" w:cs="Times New Roman" w:eastAsia="Times New Roman" w:hAnsi="Times New Roman"/>
                <w:sz w:val="16"/>
                <w:szCs w:val="16"/>
                <w:color w:val="auto"/>
              </w:rPr>
              <w:t>as of September 30, 2024 and December 31, 2023,</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respectively)</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76,615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67,355</w:t>
            </w:r>
          </w:p>
        </w:tc>
        <w:tc>
          <w:tcPr>
            <w:tcW w:w="0" w:type="dxa"/>
            <w:vAlign w:val="bottom"/>
          </w:tcPr>
          <w:p>
            <w:pPr>
              <w:spacing w:after="0"/>
              <w:rPr>
                <w:sz w:val="1"/>
                <w:szCs w:val="1"/>
                <w:color w:val="auto"/>
              </w:rPr>
            </w:pPr>
          </w:p>
        </w:tc>
      </w:tr>
      <w:tr>
        <w:trPr>
          <w:trHeight w:val="213"/>
        </w:trPr>
        <w:tc>
          <w:tcPr>
            <w:tcW w:w="766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9"/>
        </w:trPr>
        <w:tc>
          <w:tcPr>
            <w:tcW w:w="7660" w:type="dxa"/>
            <w:vAlign w:val="bottom"/>
            <w:gridSpan w:val="5"/>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Revolving line of credit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13"/>
        </w:trPr>
        <w:tc>
          <w:tcPr>
            <w:tcW w:w="766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Finance lease liability, current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9"/>
        </w:trPr>
        <w:tc>
          <w:tcPr>
            <w:tcW w:w="7660" w:type="dxa"/>
            <w:vAlign w:val="bottom"/>
            <w:gridSpan w:val="5"/>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Operating lease liability, current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3,912</w:t>
            </w:r>
          </w:p>
        </w:tc>
        <w:tc>
          <w:tcPr>
            <w:tcW w:w="0" w:type="dxa"/>
            <w:vAlign w:val="bottom"/>
          </w:tcPr>
          <w:p>
            <w:pPr>
              <w:spacing w:after="0"/>
              <w:rPr>
                <w:sz w:val="1"/>
                <w:szCs w:val="1"/>
                <w:color w:val="auto"/>
              </w:rPr>
            </w:pPr>
          </w:p>
        </w:tc>
      </w:tr>
      <w:tr>
        <w:trPr>
          <w:trHeight w:val="162"/>
        </w:trPr>
        <w:tc>
          <w:tcPr>
            <w:tcW w:w="7660" w:type="dxa"/>
            <w:vAlign w:val="bottom"/>
            <w:gridSpan w:val="5"/>
          </w:tcPr>
          <w:p>
            <w:pPr>
              <w:ind w:left="460"/>
              <w:spacing w:after="0" w:line="162" w:lineRule="exact"/>
              <w:rPr>
                <w:sz w:val="20"/>
                <w:szCs w:val="20"/>
                <w:color w:val="auto"/>
              </w:rPr>
            </w:pPr>
            <w:r>
              <w:rPr>
                <w:rFonts w:ascii="Times New Roman" w:cs="Times New Roman" w:eastAsia="Times New Roman" w:hAnsi="Times New Roman"/>
                <w:sz w:val="16"/>
                <w:szCs w:val="16"/>
                <w:color w:val="auto"/>
              </w:rPr>
              <w:t>Other short-term financing (from related parties $35,000 and $94,820 as of September 30, 2024 and</w:t>
            </w:r>
          </w:p>
        </w:tc>
        <w:tc>
          <w:tcPr>
            <w:tcW w:w="14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94,820</w:t>
            </w:r>
          </w:p>
        </w:tc>
        <w:tc>
          <w:tcPr>
            <w:tcW w:w="0" w:type="dxa"/>
            <w:vAlign w:val="bottom"/>
          </w:tcPr>
          <w:p>
            <w:pPr>
              <w:spacing w:after="0"/>
              <w:rPr>
                <w:sz w:val="1"/>
                <w:szCs w:val="1"/>
                <w:color w:val="auto"/>
              </w:rPr>
            </w:pPr>
          </w:p>
        </w:tc>
      </w:tr>
      <w:tr>
        <w:trPr>
          <w:trHeight w:val="213"/>
        </w:trPr>
        <w:tc>
          <w:tcPr>
            <w:tcW w:w="766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1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40" w:type="dxa"/>
            <w:vAlign w:val="bottom"/>
            <w:shd w:val="clear" w:color="auto" w:fill="CCEEFF"/>
          </w:tcPr>
          <w:p>
            <w:pPr>
              <w:ind w:left="460"/>
              <w:spacing w:after="0" w:line="165" w:lineRule="exact"/>
              <w:rPr>
                <w:sz w:val="20"/>
                <w:szCs w:val="20"/>
                <w:color w:val="auto"/>
              </w:rPr>
            </w:pPr>
            <w:r>
              <w:rPr>
                <w:rFonts w:ascii="Times New Roman" w:cs="Times New Roman" w:eastAsia="Times New Roman" w:hAnsi="Times New Roman"/>
                <w:sz w:val="16"/>
                <w:szCs w:val="16"/>
                <w:color w:val="auto"/>
              </w:rPr>
              <w:t>Other accrued liabilities (to related parties</w:t>
            </w:r>
          </w:p>
        </w:tc>
        <w:tc>
          <w:tcPr>
            <w:tcW w:w="440" w:type="dxa"/>
            <w:vAlign w:val="bottom"/>
            <w:gridSpan w:val="2"/>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w w:val="95"/>
                <w:shd w:val="clear" w:color="auto" w:fill="CCEEFF"/>
              </w:rPr>
              <w:t>$1,829</w:t>
            </w:r>
          </w:p>
        </w:tc>
        <w:tc>
          <w:tcPr>
            <w:tcW w:w="3980" w:type="dxa"/>
            <w:vAlign w:val="bottom"/>
            <w:gridSpan w:val="2"/>
            <w:shd w:val="clear" w:color="auto" w:fill="CCEEFF"/>
          </w:tcPr>
          <w:p>
            <w:pPr>
              <w:ind w:left="40"/>
              <w:spacing w:after="0" w:line="165" w:lineRule="exact"/>
              <w:rPr>
                <w:sz w:val="20"/>
                <w:szCs w:val="20"/>
                <w:color w:val="auto"/>
              </w:rPr>
            </w:pPr>
            <w:r>
              <w:rPr>
                <w:rFonts w:ascii="Times New Roman" w:cs="Times New Roman" w:eastAsia="Times New Roman" w:hAnsi="Times New Roman"/>
                <w:sz w:val="16"/>
                <w:szCs w:val="16"/>
                <w:color w:val="auto"/>
              </w:rPr>
              <w:t>and $1,833 as of September 30, 2024 and December 31,</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2023, respectively)</w:t>
            </w:r>
          </w:p>
        </w:tc>
        <w:tc>
          <w:tcPr>
            <w:tcW w:w="440" w:type="dxa"/>
            <w:vAlign w:val="bottom"/>
            <w:gridSpan w:val="2"/>
            <w:shd w:val="clear" w:color="auto" w:fill="CCEEFF"/>
          </w:tcPr>
          <w:p>
            <w:pPr>
              <w:spacing w:after="0"/>
              <w:rPr>
                <w:sz w:val="18"/>
                <w:szCs w:val="18"/>
                <w:color w:val="auto"/>
              </w:rPr>
            </w:pPr>
          </w:p>
        </w:tc>
        <w:tc>
          <w:tcPr>
            <w:tcW w:w="3980" w:type="dxa"/>
            <w:vAlign w:val="bottom"/>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43,080</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31,999</w:t>
            </w:r>
          </w:p>
        </w:tc>
        <w:tc>
          <w:tcPr>
            <w:tcW w:w="0" w:type="dxa"/>
            <w:vAlign w:val="bottom"/>
          </w:tcPr>
          <w:p>
            <w:pPr>
              <w:spacing w:after="0"/>
              <w:rPr>
                <w:sz w:val="1"/>
                <w:szCs w:val="1"/>
                <w:color w:val="auto"/>
              </w:rPr>
            </w:pPr>
          </w:p>
        </w:tc>
      </w:tr>
      <w:tr>
        <w:trPr>
          <w:trHeight w:val="207"/>
        </w:trPr>
        <w:tc>
          <w:tcPr>
            <w:tcW w:w="7660" w:type="dxa"/>
            <w:vAlign w:val="bottom"/>
            <w:tcBorders>
              <w:bottom w:val="single" w:sz="8" w:color="CCEEFF"/>
            </w:tcBorders>
            <w:gridSpan w:val="5"/>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259,220</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248,301</w:t>
            </w:r>
          </w:p>
        </w:tc>
        <w:tc>
          <w:tcPr>
            <w:tcW w:w="0" w:type="dxa"/>
            <w:vAlign w:val="bottom"/>
          </w:tcPr>
          <w:p>
            <w:pPr>
              <w:spacing w:after="0"/>
              <w:rPr>
                <w:sz w:val="1"/>
                <w:szCs w:val="1"/>
                <w:color w:val="auto"/>
              </w:rPr>
            </w:pPr>
          </w:p>
        </w:tc>
      </w:tr>
      <w:tr>
        <w:trPr>
          <w:trHeight w:val="212"/>
        </w:trPr>
        <w:tc>
          <w:tcPr>
            <w:tcW w:w="76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0" w:type="dxa"/>
            <w:vAlign w:val="bottom"/>
          </w:tcPr>
          <w:p>
            <w:pPr>
              <w:spacing w:after="0"/>
              <w:rPr>
                <w:sz w:val="1"/>
                <w:szCs w:val="1"/>
                <w:color w:val="auto"/>
              </w:rPr>
            </w:pPr>
          </w:p>
        </w:tc>
      </w:tr>
      <w:tr>
        <w:trPr>
          <w:trHeight w:val="213"/>
        </w:trPr>
        <w:tc>
          <w:tcPr>
            <w:tcW w:w="76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Long-term debt, net of current maturities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9"/>
        </w:trPr>
        <w:tc>
          <w:tcPr>
            <w:tcW w:w="76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Finance lease liability, long-term</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3"/>
        </w:trPr>
        <w:tc>
          <w:tcPr>
            <w:tcW w:w="76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Operating lease liability, long-term</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21,845</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25,070</w:t>
            </w:r>
          </w:p>
        </w:tc>
        <w:tc>
          <w:tcPr>
            <w:tcW w:w="0" w:type="dxa"/>
            <w:vAlign w:val="bottom"/>
          </w:tcPr>
          <w:p>
            <w:pPr>
              <w:spacing w:after="0"/>
              <w:rPr>
                <w:sz w:val="1"/>
                <w:szCs w:val="1"/>
                <w:color w:val="auto"/>
              </w:rPr>
            </w:pPr>
          </w:p>
        </w:tc>
      </w:tr>
      <w:tr>
        <w:trPr>
          <w:trHeight w:val="219"/>
        </w:trPr>
        <w:tc>
          <w:tcPr>
            <w:tcW w:w="76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Noncurrent contract liabilities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0" w:type="dxa"/>
            <w:vAlign w:val="bottom"/>
          </w:tcPr>
          <w:p>
            <w:pPr>
              <w:spacing w:after="0"/>
              <w:rPr>
                <w:sz w:val="1"/>
                <w:szCs w:val="1"/>
                <w:color w:val="auto"/>
              </w:rPr>
            </w:pPr>
          </w:p>
        </w:tc>
      </w:tr>
      <w:tr>
        <w:trPr>
          <w:trHeight w:val="213"/>
        </w:trPr>
        <w:tc>
          <w:tcPr>
            <w:tcW w:w="7660" w:type="dxa"/>
            <w:vAlign w:val="bottom"/>
            <w:tcBorders>
              <w:bottom w:val="single" w:sz="8" w:color="CCEEFF"/>
            </w:tcBorders>
            <w:gridSpan w:val="5"/>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12,289</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10,786</w:t>
            </w:r>
          </w:p>
        </w:tc>
        <w:tc>
          <w:tcPr>
            <w:tcW w:w="0" w:type="dxa"/>
            <w:vAlign w:val="bottom"/>
          </w:tcPr>
          <w:p>
            <w:pPr>
              <w:spacing w:after="0"/>
              <w:rPr>
                <w:sz w:val="1"/>
                <w:szCs w:val="1"/>
                <w:color w:val="auto"/>
              </w:rPr>
            </w:pPr>
          </w:p>
        </w:tc>
      </w:tr>
      <w:tr>
        <w:trPr>
          <w:trHeight w:val="212"/>
        </w:trPr>
        <w:tc>
          <w:tcPr>
            <w:tcW w:w="7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297,029</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288,220</w:t>
            </w:r>
          </w:p>
        </w:tc>
        <w:tc>
          <w:tcPr>
            <w:tcW w:w="0" w:type="dxa"/>
            <w:vAlign w:val="bottom"/>
          </w:tcPr>
          <w:p>
            <w:pPr>
              <w:spacing w:after="0"/>
              <w:rPr>
                <w:sz w:val="1"/>
                <w:szCs w:val="1"/>
                <w:color w:val="auto"/>
              </w:rPr>
            </w:pPr>
          </w:p>
        </w:tc>
      </w:tr>
      <w:tr>
        <w:trPr>
          <w:trHeight w:val="34"/>
        </w:trPr>
        <w:tc>
          <w:tcPr>
            <w:tcW w:w="3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10)</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 (DEFICIT)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Preferred stock – $0.001 par value. Shares authorized: 5,000. No shares issued and outstanding at all dates.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660" w:type="dxa"/>
            <w:vAlign w:val="bottom"/>
            <w:gridSpan w:val="5"/>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 $0.001 par value; 50,000 shares authorized; 23,117 shares issued; 22,990 and 22,968 shares</w:t>
            </w:r>
          </w:p>
        </w:tc>
        <w:tc>
          <w:tcPr>
            <w:tcW w:w="14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6"/>
        </w:trPr>
        <w:tc>
          <w:tcPr>
            <w:tcW w:w="76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outstanding at September 30, 2024 and December 31, 2023, respectively</w:t>
            </w:r>
          </w:p>
        </w:tc>
        <w:tc>
          <w:tcPr>
            <w:tcW w:w="14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157,741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157,770</w:t>
            </w:r>
          </w:p>
        </w:tc>
        <w:tc>
          <w:tcPr>
            <w:tcW w:w="0" w:type="dxa"/>
            <w:vAlign w:val="bottom"/>
          </w:tcPr>
          <w:p>
            <w:pPr>
              <w:spacing w:after="0"/>
              <w:rPr>
                <w:sz w:val="1"/>
                <w:szCs w:val="1"/>
                <w:color w:val="auto"/>
              </w:rPr>
            </w:pPr>
          </w:p>
        </w:tc>
      </w:tr>
      <w:tr>
        <w:trPr>
          <w:trHeight w:val="219"/>
        </w:trPr>
        <w:tc>
          <w:tcPr>
            <w:tcW w:w="76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(114,798)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(160,790)</w:t>
            </w:r>
          </w:p>
        </w:tc>
        <w:tc>
          <w:tcPr>
            <w:tcW w:w="0" w:type="dxa"/>
            <w:vAlign w:val="bottom"/>
          </w:tcPr>
          <w:p>
            <w:pPr>
              <w:spacing w:after="0"/>
              <w:rPr>
                <w:sz w:val="1"/>
                <w:szCs w:val="1"/>
                <w:color w:val="auto"/>
              </w:rPr>
            </w:pPr>
          </w:p>
        </w:tc>
      </w:tr>
      <w:tr>
        <w:trPr>
          <w:trHeight w:val="213"/>
        </w:trPr>
        <w:tc>
          <w:tcPr>
            <w:tcW w:w="7660" w:type="dxa"/>
            <w:vAlign w:val="bottom"/>
            <w:tcBorders>
              <w:bottom w:val="single" w:sz="8" w:color="CCEEFF"/>
            </w:tcBorders>
            <w:gridSpan w:val="5"/>
          </w:tcPr>
          <w:p>
            <w:pPr>
              <w:ind w:left="220"/>
              <w:spacing w:after="0"/>
              <w:rPr>
                <w:sz w:val="20"/>
                <w:szCs w:val="20"/>
                <w:color w:val="auto"/>
              </w:rPr>
            </w:pPr>
            <w:r>
              <w:rPr>
                <w:rFonts w:ascii="Times New Roman" w:cs="Times New Roman" w:eastAsia="Times New Roman" w:hAnsi="Times New Roman"/>
                <w:sz w:val="16"/>
                <w:szCs w:val="16"/>
                <w:color w:val="auto"/>
              </w:rPr>
              <w:t>Treasury stock, at cost, 127 and 149 shares at September 30, 2024 and December 31, 2023, respectively</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0" w:type="dxa"/>
            <w:vAlign w:val="bottom"/>
          </w:tcPr>
          <w:p>
            <w:pPr>
              <w:spacing w:after="0"/>
              <w:rPr>
                <w:sz w:val="1"/>
                <w:szCs w:val="1"/>
                <w:color w:val="auto"/>
              </w:rPr>
            </w:pPr>
          </w:p>
        </w:tc>
      </w:tr>
      <w:tr>
        <w:trPr>
          <w:trHeight w:val="210"/>
        </w:trPr>
        <w:tc>
          <w:tcPr>
            <w:tcW w:w="7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 (DEFICIT)</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42,106</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(3,917)</w:t>
            </w:r>
          </w:p>
        </w:tc>
        <w:tc>
          <w:tcPr>
            <w:tcW w:w="0" w:type="dxa"/>
            <w:vAlign w:val="bottom"/>
          </w:tcPr>
          <w:p>
            <w:pPr>
              <w:spacing w:after="0"/>
              <w:rPr>
                <w:sz w:val="1"/>
                <w:szCs w:val="1"/>
                <w:color w:val="auto"/>
              </w:rPr>
            </w:pPr>
          </w:p>
        </w:tc>
      </w:tr>
      <w:tr>
        <w:trPr>
          <w:trHeight w:val="212"/>
        </w:trPr>
        <w:tc>
          <w:tcPr>
            <w:tcW w:w="76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 (DEFICIT)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339,135</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284,303</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Notes to Consolidated Financial Statements</w:t>
      </w:r>
    </w:p>
    <w:p>
      <w:pPr>
        <w:sectPr>
          <w:pgSz w:w="11900" w:h="16838" w:orient="portrait"/>
          <w:cols w:equalWidth="0" w:num="1">
            <w:col w:w="11180"/>
          </w:cols>
          <w:pgMar w:left="320" w:top="1211" w:right="39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1" w:right="39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POWER SOLUTIONS INTERNATIONAL,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(in thousands, except per share amounts)</w:t>
            </w:r>
          </w:p>
        </w:tc>
        <w:tc>
          <w:tcPr>
            <w:tcW w:w="220" w:type="dxa"/>
            <w:vAlign w:val="bottom"/>
          </w:tcPr>
          <w:p>
            <w:pPr>
              <w:spacing w:after="0"/>
              <w:rPr>
                <w:sz w:val="16"/>
                <w:szCs w:val="16"/>
                <w:color w:val="auto"/>
              </w:rPr>
            </w:pPr>
          </w:p>
        </w:tc>
        <w:tc>
          <w:tcPr>
            <w:tcW w:w="26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40" w:type="dxa"/>
            <w:vAlign w:val="bottom"/>
          </w:tcPr>
          <w:p>
            <w:pPr>
              <w:spacing w:after="0"/>
              <w:rPr>
                <w:sz w:val="16"/>
                <w:szCs w:val="16"/>
                <w:color w:val="auto"/>
              </w:rPr>
            </w:pPr>
          </w:p>
        </w:tc>
        <w:tc>
          <w:tcPr>
            <w:tcW w:w="248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14"/>
        </w:trPr>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0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157"/>
        </w:trPr>
        <w:tc>
          <w:tcPr>
            <w:tcW w:w="5680" w:type="dxa"/>
            <w:vAlign w:val="bottom"/>
            <w:gridSpan w:val="9"/>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(from related parties</w:t>
            </w:r>
          </w:p>
        </w:tc>
        <w:tc>
          <w:tcPr>
            <w:tcW w:w="2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shd w:val="clear" w:color="auto" w:fill="CCEEFF"/>
              </w:rPr>
              <w:t>$50</w:t>
            </w:r>
          </w:p>
        </w:tc>
        <w:tc>
          <w:tcPr>
            <w:tcW w:w="3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and</w:t>
            </w:r>
          </w:p>
        </w:tc>
        <w:tc>
          <w:tcPr>
            <w:tcW w:w="3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w w:val="93"/>
                <w:shd w:val="clear" w:color="auto" w:fill="CCEEFF"/>
              </w:rPr>
              <w:t>$340</w:t>
            </w:r>
          </w:p>
        </w:tc>
        <w:tc>
          <w:tcPr>
            <w:tcW w:w="3400" w:type="dxa"/>
            <w:vAlign w:val="bottom"/>
            <w:gridSpan w:val="5"/>
            <w:shd w:val="clear" w:color="auto" w:fill="CCEEFF"/>
          </w:tcPr>
          <w:p>
            <w:pPr>
              <w:ind w:left="40"/>
              <w:spacing w:after="0" w:line="162" w:lineRule="exact"/>
              <w:rPr>
                <w:sz w:val="20"/>
                <w:szCs w:val="20"/>
                <w:color w:val="auto"/>
              </w:rPr>
            </w:pPr>
            <w:r>
              <w:rPr>
                <w:rFonts w:ascii="Times New Roman" w:cs="Times New Roman" w:eastAsia="Times New Roman" w:hAnsi="Times New Roman"/>
                <w:sz w:val="16"/>
                <w:szCs w:val="16"/>
                <w:color w:val="auto"/>
              </w:rPr>
              <w:t>for the three months ended September 30, 2024</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60" w:type="dxa"/>
            <w:vAlign w:val="bottom"/>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and September 30, 2023,</w:t>
            </w:r>
          </w:p>
        </w:tc>
        <w:tc>
          <w:tcPr>
            <w:tcW w:w="880" w:type="dxa"/>
            <w:vAlign w:val="bottom"/>
            <w:gridSpan w:val="3"/>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respectively,</w:t>
            </w:r>
          </w:p>
        </w:tc>
        <w:tc>
          <w:tcPr>
            <w:tcW w:w="36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w w:val="93"/>
                <w:shd w:val="clear" w:color="auto" w:fill="CCEEFF"/>
              </w:rPr>
              <w:t>$500</w:t>
            </w:r>
          </w:p>
        </w:tc>
        <w:tc>
          <w:tcPr>
            <w:tcW w:w="2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auto"/>
              </w:rPr>
              <w:t>and</w:t>
            </w:r>
          </w:p>
        </w:tc>
        <w:tc>
          <w:tcPr>
            <w:tcW w:w="46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w w:val="95"/>
                <w:shd w:val="clear" w:color="auto" w:fill="CCEEFF"/>
              </w:rPr>
              <w:t>$2,400</w:t>
            </w:r>
          </w:p>
        </w:tc>
        <w:tc>
          <w:tcPr>
            <w:tcW w:w="2060" w:type="dxa"/>
            <w:vAlign w:val="bottom"/>
            <w:shd w:val="clear" w:color="auto" w:fill="CCEEFF"/>
          </w:tcPr>
          <w:p>
            <w:pPr>
              <w:ind w:left="40"/>
              <w:spacing w:after="0" w:line="148" w:lineRule="exact"/>
              <w:rPr>
                <w:sz w:val="20"/>
                <w:szCs w:val="20"/>
                <w:color w:val="auto"/>
              </w:rPr>
            </w:pPr>
            <w:r>
              <w:rPr>
                <w:rFonts w:ascii="Times New Roman" w:cs="Times New Roman" w:eastAsia="Times New Roman" w:hAnsi="Times New Roman"/>
                <w:sz w:val="16"/>
                <w:szCs w:val="16"/>
                <w:color w:val="auto"/>
              </w:rPr>
              <w:t>for the nine months ended</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September 30, 2024 and September 30,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2023,</w:t>
            </w:r>
          </w:p>
        </w:tc>
        <w:tc>
          <w:tcPr>
            <w:tcW w:w="26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respectively)</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125,842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331,668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354,218</w:t>
            </w:r>
          </w:p>
        </w:tc>
        <w:tc>
          <w:tcPr>
            <w:tcW w:w="0" w:type="dxa"/>
            <w:vAlign w:val="bottom"/>
          </w:tcPr>
          <w:p>
            <w:pPr>
              <w:spacing w:after="0"/>
              <w:rPr>
                <w:sz w:val="1"/>
                <w:szCs w:val="1"/>
                <w:color w:val="auto"/>
              </w:rPr>
            </w:pPr>
          </w:p>
        </w:tc>
      </w:tr>
      <w:tr>
        <w:trPr>
          <w:trHeight w:val="162"/>
        </w:trPr>
        <w:tc>
          <w:tcPr>
            <w:tcW w:w="5680" w:type="dxa"/>
            <w:vAlign w:val="bottom"/>
            <w:gridSpan w:val="9"/>
          </w:tcPr>
          <w:p>
            <w:pPr>
              <w:ind w:left="220"/>
              <w:spacing w:after="0" w:line="162" w:lineRule="exact"/>
              <w:rPr>
                <w:sz w:val="20"/>
                <w:szCs w:val="20"/>
                <w:color w:val="auto"/>
              </w:rPr>
            </w:pPr>
            <w:r>
              <w:rPr>
                <w:rFonts w:ascii="Times New Roman" w:cs="Times New Roman" w:eastAsia="Times New Roman" w:hAnsi="Times New Roman"/>
                <w:sz w:val="16"/>
                <w:szCs w:val="16"/>
                <w:color w:val="auto"/>
              </w:rPr>
              <w:t>Cost of sales</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80" w:type="dxa"/>
            <w:vAlign w:val="bottom"/>
            <w:gridSpan w:val="9"/>
          </w:tcPr>
          <w:p>
            <w:pPr>
              <w:ind w:left="220"/>
              <w:spacing w:after="0" w:line="162" w:lineRule="exact"/>
              <w:rPr>
                <w:sz w:val="20"/>
                <w:szCs w:val="20"/>
                <w:color w:val="auto"/>
              </w:rPr>
            </w:pPr>
            <w:r>
              <w:rPr>
                <w:rFonts w:ascii="Times New Roman" w:cs="Times New Roman" w:eastAsia="Times New Roman" w:hAnsi="Times New Roman"/>
                <w:sz w:val="16"/>
                <w:szCs w:val="16"/>
                <w:color w:val="auto"/>
              </w:rPr>
              <w:t>(from related parties $40 and $245 for the three months ended September 30,</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80" w:type="dxa"/>
            <w:vAlign w:val="bottom"/>
            <w:gridSpan w:val="9"/>
          </w:tcPr>
          <w:p>
            <w:pPr>
              <w:ind w:left="220"/>
              <w:spacing w:after="0" w:line="162" w:lineRule="exact"/>
              <w:rPr>
                <w:sz w:val="20"/>
                <w:szCs w:val="20"/>
                <w:color w:val="auto"/>
              </w:rPr>
            </w:pPr>
            <w:r>
              <w:rPr>
                <w:rFonts w:ascii="Times New Roman" w:cs="Times New Roman" w:eastAsia="Times New Roman" w:hAnsi="Times New Roman"/>
                <w:sz w:val="16"/>
                <w:szCs w:val="16"/>
                <w:color w:val="auto"/>
              </w:rPr>
              <w:t>2024 and September 30, 2023, respectively, and $370 and $1,755 for the nine</w:t>
            </w:r>
          </w:p>
        </w:tc>
        <w:tc>
          <w:tcPr>
            <w:tcW w:w="2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89,418</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87,979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234,300</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275,890</w:t>
            </w:r>
          </w:p>
        </w:tc>
        <w:tc>
          <w:tcPr>
            <w:tcW w:w="0" w:type="dxa"/>
            <w:vAlign w:val="bottom"/>
          </w:tcPr>
          <w:p>
            <w:pPr>
              <w:spacing w:after="0"/>
              <w:rPr>
                <w:sz w:val="1"/>
                <w:szCs w:val="1"/>
                <w:color w:val="auto"/>
              </w:rPr>
            </w:pPr>
          </w:p>
        </w:tc>
      </w:tr>
      <w:tr>
        <w:trPr>
          <w:trHeight w:val="213"/>
        </w:trPr>
        <w:tc>
          <w:tcPr>
            <w:tcW w:w="5680" w:type="dxa"/>
            <w:vAlign w:val="bottom"/>
            <w:tcBorders>
              <w:bottom w:val="single" w:sz="8" w:color="CCEEFF"/>
            </w:tcBorders>
            <w:gridSpan w:val="9"/>
          </w:tcPr>
          <w:p>
            <w:pPr>
              <w:ind w:left="220"/>
              <w:spacing w:after="0"/>
              <w:rPr>
                <w:sz w:val="20"/>
                <w:szCs w:val="20"/>
                <w:color w:val="auto"/>
              </w:rPr>
            </w:pPr>
            <w:r>
              <w:rPr>
                <w:rFonts w:ascii="Times New Roman" w:cs="Times New Roman" w:eastAsia="Times New Roman" w:hAnsi="Times New Roman"/>
                <w:sz w:val="16"/>
                <w:szCs w:val="16"/>
                <w:color w:val="auto"/>
              </w:rPr>
              <w:t>months ended September 30, 2024 and September 30, 2023, respectively)</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8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36,424</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97,368</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78,328</w:t>
            </w:r>
          </w:p>
        </w:tc>
        <w:tc>
          <w:tcPr>
            <w:tcW w:w="0" w:type="dxa"/>
            <w:vAlign w:val="bottom"/>
          </w:tcPr>
          <w:p>
            <w:pPr>
              <w:spacing w:after="0"/>
              <w:rPr>
                <w:sz w:val="1"/>
                <w:szCs w:val="1"/>
                <w:color w:val="auto"/>
              </w:rPr>
            </w:pPr>
          </w:p>
        </w:tc>
      </w:tr>
      <w:tr>
        <w:trPr>
          <w:trHeight w:val="193"/>
        </w:trPr>
        <w:tc>
          <w:tcPr>
            <w:tcW w:w="5680" w:type="dxa"/>
            <w:vAlign w:val="bottom"/>
            <w:gridSpan w:val="9"/>
          </w:tcPr>
          <w:p>
            <w:pPr>
              <w:ind w:left="220"/>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680" w:type="dxa"/>
            <w:vAlign w:val="bottom"/>
            <w:gridSpan w:val="9"/>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14,028</w:t>
            </w:r>
          </w:p>
        </w:tc>
        <w:tc>
          <w:tcPr>
            <w:tcW w:w="0" w:type="dxa"/>
            <w:vAlign w:val="bottom"/>
          </w:tcPr>
          <w:p>
            <w:pPr>
              <w:spacing w:after="0"/>
              <w:rPr>
                <w:sz w:val="1"/>
                <w:szCs w:val="1"/>
                <w:color w:val="auto"/>
              </w:rPr>
            </w:pPr>
          </w:p>
        </w:tc>
      </w:tr>
      <w:tr>
        <w:trPr>
          <w:trHeight w:val="213"/>
        </w:trPr>
        <w:tc>
          <w:tcPr>
            <w:tcW w:w="5680" w:type="dxa"/>
            <w:vAlign w:val="bottom"/>
            <w:gridSpan w:val="9"/>
          </w:tcPr>
          <w:p>
            <w:pPr>
              <w:ind w:left="48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31,050</w:t>
            </w:r>
          </w:p>
        </w:tc>
        <w:tc>
          <w:tcPr>
            <w:tcW w:w="0" w:type="dxa"/>
            <w:vAlign w:val="bottom"/>
          </w:tcPr>
          <w:p>
            <w:pPr>
              <w:spacing w:after="0"/>
              <w:rPr>
                <w:sz w:val="1"/>
                <w:szCs w:val="1"/>
                <w:color w:val="auto"/>
              </w:rPr>
            </w:pPr>
          </w:p>
        </w:tc>
      </w:tr>
      <w:tr>
        <w:trPr>
          <w:trHeight w:val="219"/>
        </w:trPr>
        <w:tc>
          <w:tcPr>
            <w:tcW w:w="5680" w:type="dxa"/>
            <w:vAlign w:val="bottom"/>
            <w:gridSpan w:val="9"/>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0" w:type="dxa"/>
            <w:vAlign w:val="bottom"/>
          </w:tcPr>
          <w:p>
            <w:pPr>
              <w:spacing w:after="0"/>
              <w:rPr>
                <w:sz w:val="1"/>
                <w:szCs w:val="1"/>
                <w:color w:val="auto"/>
              </w:rPr>
            </w:pPr>
          </w:p>
        </w:tc>
      </w:tr>
      <w:tr>
        <w:trPr>
          <w:trHeight w:val="207"/>
        </w:trPr>
        <w:tc>
          <w:tcPr>
            <w:tcW w:w="5680" w:type="dxa"/>
            <w:vAlign w:val="bottom"/>
            <w:tcBorders>
              <w:bottom w:val="single" w:sz="8" w:color="CCEEFF"/>
            </w:tcBorders>
            <w:gridSpan w:val="9"/>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15,973</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15,793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40,911</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46,387</w:t>
            </w:r>
          </w:p>
        </w:tc>
        <w:tc>
          <w:tcPr>
            <w:tcW w:w="0" w:type="dxa"/>
            <w:vAlign w:val="bottom"/>
          </w:tcPr>
          <w:p>
            <w:pPr>
              <w:spacing w:after="0"/>
              <w:rPr>
                <w:sz w:val="1"/>
                <w:szCs w:val="1"/>
                <w:color w:val="auto"/>
              </w:rPr>
            </w:pPr>
          </w:p>
        </w:tc>
      </w:tr>
      <w:tr>
        <w:trPr>
          <w:trHeight w:val="212"/>
        </w:trPr>
        <w:tc>
          <w:tcPr>
            <w:tcW w:w="568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56,457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31,941</w:t>
            </w:r>
          </w:p>
        </w:tc>
        <w:tc>
          <w:tcPr>
            <w:tcW w:w="0" w:type="dxa"/>
            <w:vAlign w:val="bottom"/>
          </w:tcPr>
          <w:p>
            <w:pPr>
              <w:spacing w:after="0"/>
              <w:rPr>
                <w:sz w:val="1"/>
                <w:szCs w:val="1"/>
                <w:color w:val="auto"/>
              </w:rPr>
            </w:pPr>
          </w:p>
        </w:tc>
      </w:tr>
      <w:tr>
        <w:trPr>
          <w:trHeight w:val="162"/>
        </w:trPr>
        <w:tc>
          <w:tcPr>
            <w:tcW w:w="5680" w:type="dxa"/>
            <w:vAlign w:val="bottom"/>
            <w:gridSpan w:val="9"/>
          </w:tcPr>
          <w:p>
            <w:pPr>
              <w:ind w:left="480"/>
              <w:spacing w:after="0" w:line="162" w:lineRule="exact"/>
              <w:rPr>
                <w:sz w:val="20"/>
                <w:szCs w:val="20"/>
                <w:color w:val="auto"/>
              </w:rPr>
            </w:pPr>
            <w:r>
              <w:rPr>
                <w:rFonts w:ascii="Times New Roman" w:cs="Times New Roman" w:eastAsia="Times New Roman" w:hAnsi="Times New Roman"/>
                <w:sz w:val="16"/>
                <w:szCs w:val="16"/>
                <w:color w:val="auto"/>
              </w:rPr>
              <w:t>Interest expense (from related parties $1,800 and $2,000 for the three months</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80" w:type="dxa"/>
            <w:vAlign w:val="bottom"/>
            <w:gridSpan w:val="9"/>
          </w:tcPr>
          <w:p>
            <w:pPr>
              <w:ind w:left="480"/>
              <w:spacing w:after="0" w:line="162" w:lineRule="exact"/>
              <w:rPr>
                <w:sz w:val="20"/>
                <w:szCs w:val="20"/>
                <w:color w:val="auto"/>
              </w:rPr>
            </w:pPr>
            <w:r>
              <w:rPr>
                <w:rFonts w:ascii="Times New Roman" w:cs="Times New Roman" w:eastAsia="Times New Roman" w:hAnsi="Times New Roman"/>
                <w:sz w:val="16"/>
                <w:szCs w:val="16"/>
                <w:color w:val="auto"/>
              </w:rPr>
              <w:t>ended September 30, 2024 and 2023, respectively, and $6,300 and $5,800 for</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80" w:type="dxa"/>
            <w:vAlign w:val="bottom"/>
            <w:gridSpan w:val="9"/>
          </w:tcPr>
          <w:p>
            <w:pPr>
              <w:ind w:left="480"/>
              <w:spacing w:after="0" w:line="162" w:lineRule="exact"/>
              <w:rPr>
                <w:sz w:val="20"/>
                <w:szCs w:val="20"/>
                <w:color w:val="auto"/>
              </w:rPr>
            </w:pPr>
            <w:r>
              <w:rPr>
                <w:rFonts w:ascii="Times New Roman" w:cs="Times New Roman" w:eastAsia="Times New Roman" w:hAnsi="Times New Roman"/>
                <w:sz w:val="16"/>
                <w:szCs w:val="16"/>
                <w:color w:val="auto"/>
              </w:rPr>
              <w:t>the nine months ended September 30, 2024 and September 30, 2023,</w:t>
            </w:r>
          </w:p>
        </w:tc>
        <w:tc>
          <w:tcPr>
            <w:tcW w:w="2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2,837</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4,164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9,092</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13,474</w:t>
            </w:r>
          </w:p>
        </w:tc>
        <w:tc>
          <w:tcPr>
            <w:tcW w:w="0" w:type="dxa"/>
            <w:vAlign w:val="bottom"/>
          </w:tcPr>
          <w:p>
            <w:pPr>
              <w:spacing w:after="0"/>
              <w:rPr>
                <w:sz w:val="1"/>
                <w:szCs w:val="1"/>
                <w:color w:val="auto"/>
              </w:rPr>
            </w:pPr>
          </w:p>
        </w:tc>
      </w:tr>
      <w:tr>
        <w:trPr>
          <w:trHeight w:val="213"/>
        </w:trPr>
        <w:tc>
          <w:tcPr>
            <w:tcW w:w="5680" w:type="dxa"/>
            <w:vAlign w:val="bottom"/>
            <w:tcBorders>
              <w:bottom w:val="single" w:sz="8" w:color="CCEEFF"/>
            </w:tcBorders>
            <w:gridSpan w:val="9"/>
          </w:tcPr>
          <w:p>
            <w:pPr>
              <w:ind w:left="480"/>
              <w:spacing w:after="0"/>
              <w:rPr>
                <w:sz w:val="20"/>
                <w:szCs w:val="20"/>
                <w:color w:val="auto"/>
              </w:rPr>
            </w:pPr>
            <w:r>
              <w:rPr>
                <w:rFonts w:ascii="Times New Roman" w:cs="Times New Roman" w:eastAsia="Times New Roman" w:hAnsi="Times New Roman"/>
                <w:sz w:val="16"/>
                <w:szCs w:val="16"/>
                <w:color w:val="auto"/>
              </w:rPr>
              <w:t>respectively)</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8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17,614</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47,365</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18,467</w:t>
            </w:r>
          </w:p>
        </w:tc>
        <w:tc>
          <w:tcPr>
            <w:tcW w:w="0" w:type="dxa"/>
            <w:vAlign w:val="bottom"/>
          </w:tcPr>
          <w:p>
            <w:pPr>
              <w:spacing w:after="0"/>
              <w:rPr>
                <w:sz w:val="1"/>
                <w:szCs w:val="1"/>
                <w:color w:val="auto"/>
              </w:rPr>
            </w:pPr>
          </w:p>
        </w:tc>
      </w:tr>
      <w:tr>
        <w:trPr>
          <w:trHeight w:val="207"/>
        </w:trPr>
        <w:tc>
          <w:tcPr>
            <w:tcW w:w="5680" w:type="dxa"/>
            <w:vAlign w:val="bottom"/>
            <w:tcBorders>
              <w:bottom w:val="single" w:sz="8" w:color="CCEEFF"/>
            </w:tcBorders>
            <w:gridSpan w:val="9"/>
          </w:tcPr>
          <w:p>
            <w:pPr>
              <w:ind w:left="48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CCEEFF"/>
            </w:tcBorders>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17,337</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45,992</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17,936</w:t>
            </w: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common shares outstanding:</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80" w:type="dxa"/>
            <w:vAlign w:val="bottom"/>
            <w:gridSpan w:val="9"/>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22,957</w:t>
            </w:r>
          </w:p>
        </w:tc>
        <w:tc>
          <w:tcPr>
            <w:tcW w:w="0" w:type="dxa"/>
            <w:vAlign w:val="bottom"/>
          </w:tcPr>
          <w:p>
            <w:pPr>
              <w:spacing w:after="0"/>
              <w:rPr>
                <w:sz w:val="1"/>
                <w:szCs w:val="1"/>
                <w:color w:val="auto"/>
              </w:rPr>
            </w:pPr>
          </w:p>
        </w:tc>
      </w:tr>
      <w:tr>
        <w:trPr>
          <w:trHeight w:val="219"/>
        </w:trPr>
        <w:tc>
          <w:tcPr>
            <w:tcW w:w="5680" w:type="dxa"/>
            <w:vAlign w:val="bottom"/>
            <w:gridSpan w:val="9"/>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23,044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22,969</w:t>
            </w:r>
          </w:p>
        </w:tc>
        <w:tc>
          <w:tcPr>
            <w:tcW w:w="0" w:type="dxa"/>
            <w:vAlign w:val="bottom"/>
          </w:tcPr>
          <w:p>
            <w:pPr>
              <w:spacing w:after="0"/>
              <w:rPr>
                <w:sz w:val="1"/>
                <w:szCs w:val="1"/>
                <w:color w:val="auto"/>
              </w:rPr>
            </w:pPr>
          </w:p>
        </w:tc>
      </w:tr>
      <w:tr>
        <w:trPr>
          <w:trHeight w:val="214"/>
        </w:trPr>
        <w:tc>
          <w:tcPr>
            <w:tcW w:w="5680" w:type="dxa"/>
            <w:vAlign w:val="bottom"/>
            <w:gridSpan w:val="9"/>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80" w:type="dxa"/>
            <w:vAlign w:val="bottom"/>
            <w:gridSpan w:val="9"/>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0" w:type="dxa"/>
            <w:vAlign w:val="bottom"/>
          </w:tcPr>
          <w:p>
            <w:pPr>
              <w:spacing w:after="0"/>
              <w:rPr>
                <w:sz w:val="1"/>
                <w:szCs w:val="1"/>
                <w:color w:val="auto"/>
              </w:rPr>
            </w:pPr>
          </w:p>
        </w:tc>
      </w:tr>
      <w:tr>
        <w:trPr>
          <w:trHeight w:val="210"/>
        </w:trPr>
        <w:tc>
          <w:tcPr>
            <w:tcW w:w="5680" w:type="dxa"/>
            <w:vAlign w:val="bottom"/>
            <w:gridSpan w:val="9"/>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18"/>
                <w:szCs w:val="18"/>
                <w:color w:val="auto"/>
              </w:rPr>
            </w:pP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Notes to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 w:name="page6"/>
    <w:bookmarkEnd w:id="5"/>
    <w:p>
      <w:pPr>
        <w:jc w:val="center"/>
        <w:spacing w:after="0" w:line="361" w:lineRule="auto"/>
        <w:rPr>
          <w:sz w:val="20"/>
          <w:szCs w:val="20"/>
          <w:color w:val="auto"/>
        </w:rPr>
      </w:pPr>
      <w:r>
        <w:rPr>
          <w:rFonts w:ascii="Times New Roman" w:cs="Times New Roman" w:eastAsia="Times New Roman" w:hAnsi="Times New Roman"/>
          <w:sz w:val="18"/>
          <w:szCs w:val="18"/>
          <w:b w:val="1"/>
          <w:bCs w:val="1"/>
          <w:color w:val="auto"/>
        </w:rPr>
        <w:t>POWER SOLUTIONS INTERNATIONAL, INC. CONDENSED CONSOLIDATED STATEMENTS OF STOCKHOLDERS’ EQUITY (DEFICIT) (UNAUDITED)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Additional Paid-</w:t>
            </w:r>
          </w:p>
        </w:tc>
        <w:tc>
          <w:tcPr>
            <w:tcW w:w="160" w:type="dxa"/>
            <w:vAlign w:val="bottom"/>
          </w:tcPr>
          <w:p>
            <w:pPr>
              <w:spacing w:after="0"/>
              <w:rPr>
                <w:sz w:val="13"/>
                <w:szCs w:val="13"/>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tcPr>
          <w:p>
            <w:pPr>
              <w:spacing w:after="0"/>
              <w:rPr>
                <w:sz w:val="14"/>
                <w:szCs w:val="14"/>
                <w:color w:val="auto"/>
              </w:rPr>
            </w:pPr>
          </w:p>
        </w:tc>
        <w:tc>
          <w:tcPr>
            <w:tcW w:w="122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2"/>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Equity (Deficit)</w:t>
            </w:r>
          </w:p>
        </w:tc>
        <w:tc>
          <w:tcPr>
            <w:tcW w:w="0" w:type="dxa"/>
            <w:vAlign w:val="bottom"/>
          </w:tcPr>
          <w:p>
            <w:pPr>
              <w:spacing w:after="0"/>
              <w:rPr>
                <w:sz w:val="1"/>
                <w:szCs w:val="1"/>
                <w:color w:val="auto"/>
              </w:rPr>
            </w:pPr>
          </w:p>
        </w:tc>
      </w:tr>
      <w:tr>
        <w:trPr>
          <w:trHeight w:val="210"/>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157,737</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(132,135)</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24,765</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17,337</w:t>
            </w:r>
          </w:p>
        </w:tc>
        <w:tc>
          <w:tcPr>
            <w:tcW w:w="0" w:type="dxa"/>
            <w:vAlign w:val="bottom"/>
          </w:tcPr>
          <w:p>
            <w:pPr>
              <w:spacing w:after="0"/>
              <w:rPr>
                <w:sz w:val="1"/>
                <w:szCs w:val="1"/>
                <w:color w:val="auto"/>
              </w:rPr>
            </w:pPr>
          </w:p>
        </w:tc>
      </w:tr>
      <w:tr>
        <w:trPr>
          <w:trHeight w:val="213"/>
        </w:trPr>
        <w:tc>
          <w:tcPr>
            <w:tcW w:w="4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 Appreciation Rights (“SAR”) awards</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4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Tax benefit from exercise of stock based compensation</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42,106</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(20,125)</w:t>
            </w:r>
          </w:p>
        </w:tc>
        <w:tc>
          <w:tcPr>
            <w:tcW w:w="0" w:type="dxa"/>
            <w:vAlign w:val="bottom"/>
          </w:tcPr>
          <w:p>
            <w:pPr>
              <w:spacing w:after="0"/>
              <w:rPr>
                <w:sz w:val="1"/>
                <w:szCs w:val="1"/>
                <w:color w:val="auto"/>
              </w:rPr>
            </w:pPr>
          </w:p>
        </w:tc>
      </w:tr>
      <w:tr>
        <w:trPr>
          <w:trHeight w:val="213"/>
        </w:trPr>
        <w:tc>
          <w:tcPr>
            <w:tcW w:w="4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7,795</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9"/>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157,857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(169,160)</w:t>
            </w: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(12,304)</w:t>
            </w: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Additional Paid-</w:t>
            </w:r>
          </w:p>
        </w:tc>
        <w:tc>
          <w:tcPr>
            <w:tcW w:w="160" w:type="dxa"/>
            <w:vAlign w:val="bottom"/>
          </w:tcPr>
          <w:p>
            <w:pPr>
              <w:spacing w:after="0"/>
              <w:rPr>
                <w:sz w:val="13"/>
                <w:szCs w:val="13"/>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tcPr>
          <w:p>
            <w:pPr>
              <w:spacing w:after="0"/>
              <w:rPr>
                <w:sz w:val="14"/>
                <w:szCs w:val="14"/>
                <w:color w:val="auto"/>
              </w:rPr>
            </w:pPr>
          </w:p>
        </w:tc>
        <w:tc>
          <w:tcPr>
            <w:tcW w:w="122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2"/>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Equity (Deficit)</w:t>
            </w:r>
          </w:p>
        </w:tc>
        <w:tc>
          <w:tcPr>
            <w:tcW w:w="0" w:type="dxa"/>
            <w:vAlign w:val="bottom"/>
          </w:tcPr>
          <w:p>
            <w:pPr>
              <w:spacing w:after="0"/>
              <w:rPr>
                <w:sz w:val="1"/>
                <w:szCs w:val="1"/>
                <w:color w:val="auto"/>
              </w:rPr>
            </w:pPr>
          </w:p>
        </w:tc>
      </w:tr>
      <w:tr>
        <w:trPr>
          <w:trHeight w:val="210"/>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157,770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(160,790)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(3,917)</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45,992</w:t>
            </w:r>
          </w:p>
        </w:tc>
        <w:tc>
          <w:tcPr>
            <w:tcW w:w="0" w:type="dxa"/>
            <w:vAlign w:val="bottom"/>
          </w:tcPr>
          <w:p>
            <w:pPr>
              <w:spacing w:after="0"/>
              <w:rPr>
                <w:sz w:val="1"/>
                <w:szCs w:val="1"/>
                <w:color w:val="auto"/>
              </w:rPr>
            </w:pPr>
          </w:p>
        </w:tc>
      </w:tr>
      <w:tr>
        <w:trPr>
          <w:trHeight w:val="213"/>
        </w:trPr>
        <w:tc>
          <w:tcPr>
            <w:tcW w:w="4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SAR awards</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3"/>
        </w:trPr>
        <w:tc>
          <w:tcPr>
            <w:tcW w:w="4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Tax benefit from exercise of stock based compensation</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37"/>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42,106</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(30,372)</w:t>
            </w:r>
          </w:p>
        </w:tc>
        <w:tc>
          <w:tcPr>
            <w:tcW w:w="0" w:type="dxa"/>
            <w:vAlign w:val="bottom"/>
          </w:tcPr>
          <w:p>
            <w:pPr>
              <w:spacing w:after="0"/>
              <w:rPr>
                <w:sz w:val="1"/>
                <w:szCs w:val="1"/>
                <w:color w:val="auto"/>
              </w:rPr>
            </w:pPr>
          </w:p>
        </w:tc>
      </w:tr>
      <w:tr>
        <w:trPr>
          <w:trHeight w:val="213"/>
        </w:trPr>
        <w:tc>
          <w:tcPr>
            <w:tcW w:w="4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17,936</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157,857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(169,160)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(12,304)</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Notes to Consolidated Financial Statements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SOLUTIONS INTERNATIONAL,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1"/>
        </w:trPr>
        <w:tc>
          <w:tcPr>
            <w:tcW w:w="73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provided by operating activities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45,992</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17,936</w:t>
            </w:r>
          </w:p>
        </w:tc>
      </w:tr>
      <w:tr>
        <w:trPr>
          <w:trHeight w:val="219"/>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7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w:t>
            </w:r>
          </w:p>
        </w:tc>
      </w:tr>
      <w:tr>
        <w:trPr>
          <w:trHeight w:val="219"/>
        </w:trPr>
        <w:tc>
          <w:tcPr>
            <w:tcW w:w="7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w:t>
            </w:r>
          </w:p>
        </w:tc>
      </w:tr>
      <w:tr>
        <w:trPr>
          <w:trHeight w:val="213"/>
        </w:trPr>
        <w:tc>
          <w:tcPr>
            <w:tcW w:w="7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3,494</w:t>
            </w:r>
          </w:p>
        </w:tc>
      </w:tr>
      <w:tr>
        <w:trPr>
          <w:trHeight w:val="219"/>
        </w:trPr>
        <w:tc>
          <w:tcPr>
            <w:tcW w:w="7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13"/>
        </w:trPr>
        <w:tc>
          <w:tcPr>
            <w:tcW w:w="7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Amortization of financing fees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w:t>
            </w:r>
          </w:p>
        </w:tc>
      </w:tr>
      <w:tr>
        <w:trPr>
          <w:trHeight w:val="219"/>
        </w:trPr>
        <w:tc>
          <w:tcPr>
            <w:tcW w:w="7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3"/>
        </w:trPr>
        <w:tc>
          <w:tcPr>
            <w:tcW w:w="7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(Credit) provision for losses in accounts receivable</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2,998</w:t>
            </w:r>
          </w:p>
        </w:tc>
      </w:tr>
      <w:tr>
        <w:trPr>
          <w:trHeight w:val="219"/>
        </w:trPr>
        <w:tc>
          <w:tcPr>
            <w:tcW w:w="7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Increase in allowance for inventory obsolescence</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w:t>
            </w:r>
          </w:p>
        </w:tc>
      </w:tr>
      <w:tr>
        <w:trPr>
          <w:trHeight w:val="213"/>
        </w:trPr>
        <w:tc>
          <w:tcPr>
            <w:tcW w:w="7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adjustments, net</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7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73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15,476</w:t>
            </w:r>
          </w:p>
        </w:tc>
      </w:tr>
      <w:tr>
        <w:trPr>
          <w:trHeight w:val="219"/>
        </w:trPr>
        <w:tc>
          <w:tcPr>
            <w:tcW w:w="7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23,611</w:t>
            </w:r>
          </w:p>
        </w:tc>
      </w:tr>
      <w:tr>
        <w:trPr>
          <w:trHeight w:val="213"/>
        </w:trPr>
        <w:tc>
          <w:tcPr>
            <w:tcW w:w="73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Prepaid expenses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4,097</w:t>
            </w:r>
          </w:p>
        </w:tc>
      </w:tr>
      <w:tr>
        <w:trPr>
          <w:trHeight w:val="219"/>
        </w:trPr>
        <w:tc>
          <w:tcPr>
            <w:tcW w:w="7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Contract assets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(12,048)</w:t>
            </w:r>
          </w:p>
        </w:tc>
      </w:tr>
      <w:tr>
        <w:trPr>
          <w:trHeight w:val="213"/>
        </w:trPr>
        <w:tc>
          <w:tcPr>
            <w:tcW w:w="73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w:t>
            </w:r>
          </w:p>
        </w:tc>
      </w:tr>
      <w:tr>
        <w:trPr>
          <w:trHeight w:val="219"/>
        </w:trPr>
        <w:tc>
          <w:tcPr>
            <w:tcW w:w="7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w:t>
            </w:r>
          </w:p>
        </w:tc>
      </w:tr>
      <w:tr>
        <w:trPr>
          <w:trHeight w:val="213"/>
        </w:trPr>
        <w:tc>
          <w:tcPr>
            <w:tcW w:w="73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Income taxes receivable</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Accrued expenses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w:t>
            </w:r>
          </w:p>
        </w:tc>
      </w:tr>
      <w:tr>
        <w:trPr>
          <w:trHeight w:val="213"/>
        </w:trPr>
        <w:tc>
          <w:tcPr>
            <w:tcW w:w="73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(1,631)</w:t>
            </w:r>
          </w:p>
        </w:tc>
      </w:tr>
      <w:tr>
        <w:trPr>
          <w:trHeight w:val="21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62,117</w:t>
            </w:r>
          </w:p>
        </w:tc>
      </w:tr>
      <w:tr>
        <w:trPr>
          <w:trHeight w:val="194"/>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used in investing activities</w:t>
            </w: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8"/>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(2,678)</w:t>
            </w:r>
          </w:p>
        </w:tc>
      </w:tr>
      <w:tr>
        <w:trPr>
          <w:trHeight w:val="207"/>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(2,678)</w:t>
            </w:r>
          </w:p>
        </w:tc>
      </w:tr>
      <w:tr>
        <w:trPr>
          <w:trHeight w:val="19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used in financing activities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7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 of long-term debt and lease liabilities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19"/>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short-term financings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 of short-term financings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(109,820)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(50,593)</w:t>
            </w:r>
          </w:p>
        </w:tc>
      </w:tr>
      <w:tr>
        <w:trPr>
          <w:trHeight w:val="219"/>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deferred financing costs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r>
      <w:tr>
        <w:trPr>
          <w:trHeight w:val="213"/>
        </w:trPr>
        <w:tc>
          <w:tcPr>
            <w:tcW w:w="7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Tax benefit from exercise of stock based compensation</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7"/>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6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(10,703)</w:t>
            </w:r>
          </w:p>
        </w:tc>
        <w:tc>
          <w:tcPr>
            <w:tcW w:w="10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(51,739)</w:t>
            </w:r>
          </w:p>
        </w:tc>
      </w:tr>
      <w:tr>
        <w:trPr>
          <w:trHeight w:val="21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in cash, cash equivalents, and restricted cash</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7,700</w:t>
            </w:r>
          </w:p>
        </w:tc>
      </w:tr>
      <w:tr>
        <w:trPr>
          <w:trHeight w:val="213"/>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period</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26,594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27,900</w:t>
            </w:r>
          </w:p>
        </w:tc>
      </w:tr>
      <w:tr>
        <w:trPr>
          <w:trHeight w:val="237"/>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the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43,673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35,600</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160" w:type="dxa"/>
            <w:vAlign w:val="bottom"/>
            <w:tcBorders>
              <w:bottom w:val="single" w:sz="8" w:color="auto"/>
            </w:tcBorders>
          </w:tcPr>
          <w:p>
            <w:pPr>
              <w:spacing w:after="0"/>
              <w:rPr>
                <w:sz w:val="18"/>
                <w:szCs w:val="18"/>
                <w:color w:val="auto"/>
              </w:rPr>
            </w:pPr>
          </w:p>
        </w:tc>
      </w:tr>
      <w:tr>
        <w:trPr>
          <w:trHeight w:val="211"/>
        </w:trPr>
        <w:tc>
          <w:tcPr>
            <w:tcW w:w="73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to the Consolidated Balance Sheets</w:t>
            </w: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7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40,456</w:t>
            </w:r>
          </w:p>
        </w:tc>
        <w:tc>
          <w:tcPr>
            <w:tcW w:w="120" w:type="dxa"/>
            <w:vAlign w:val="bottom"/>
          </w:tcPr>
          <w:p>
            <w:pPr>
              <w:spacing w:after="0"/>
              <w:rPr>
                <w:sz w:val="18"/>
                <w:szCs w:val="18"/>
                <w:color w:val="auto"/>
              </w:rPr>
            </w:pPr>
          </w:p>
        </w:tc>
        <w:tc>
          <w:tcPr>
            <w:tcW w:w="7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31,793</w:t>
            </w:r>
          </w:p>
        </w:tc>
      </w:tr>
      <w:tr>
        <w:trPr>
          <w:trHeight w:val="216"/>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1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3,807</w:t>
            </w:r>
          </w:p>
        </w:tc>
      </w:tr>
      <w:tr>
        <w:trPr>
          <w:trHeight w:val="212"/>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43,673</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35,600</w:t>
            </w:r>
          </w:p>
        </w:tc>
      </w:tr>
      <w:tr>
        <w:trPr>
          <w:trHeight w:val="20"/>
        </w:trPr>
        <w:tc>
          <w:tcPr>
            <w:tcW w:w="7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POWER SOLUTIONS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ind w:right="5300"/>
        <w:spacing w:after="0" w:line="377" w:lineRule="auto"/>
        <w:rPr>
          <w:sz w:val="20"/>
          <w:szCs w:val="20"/>
          <w:color w:val="auto"/>
        </w:rPr>
      </w:pPr>
      <w:r>
        <w:rPr>
          <w:rFonts w:ascii="Times New Roman" w:cs="Times New Roman" w:eastAsia="Times New Roman" w:hAnsi="Times New Roman"/>
          <w:sz w:val="18"/>
          <w:szCs w:val="18"/>
          <w:b w:val="1"/>
          <w:bCs w:val="1"/>
          <w:color w:val="auto"/>
        </w:rPr>
        <w:t>Note 1. Summary of Significant Accounting Policies and Other Information Nature of Business Operations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Power Solutions International, Inc. (“Power Solutions,” “PSI” or the “Company”), a Delaware corporation, is a global producer and distributor of a broad range of high-performance, certified, low-emission power systems, including alternative-fueled power systems for original equipment manufacturers (“OEMs”) of off-highway industrial equipment and certain on-road vehicles and large custom-engineered integrated electrical power generation systems.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customers include large, industry-leading and multinational organizations. The Company’s products and services are sold predominantly to customers throughout North America as well as to customers located throughout the Pacific Rim and Europe. The Company’s power systems are highly engineered, comprehensive systems which, through the Company’s technologically sophisticated development and manufacturing processes, including its in-house design, prototyping, testing and engineering capabilities and its analysis and determination of the specific components to be integrated into a given power system (driven in large part by emission standards and cost considerations), allow the Company to provide its customers with power systems customized to meet specific OEM application requirements, other customers’ technical specifications and requirements imposed by environmental regulatory bodies.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power system configurations range from a basic engine integrated with appropriate fuel system components to completely packaged power systems that include any combination of cooling systems, electronic systems, air intake systems, fuel systems, housings, power takeoff systems, exhaust systems, hydraulic systems, enclosures, brackets, hoses, tubes and other assembled componentry. The Company also designs and manufactures large, custom-engineered integrated electrical power generation systems for both standby and prime power applications. The Company purchases engines from third-party suppliers and produces internally designed engines, all of which are then integrated into its power systems.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 the other components that the Company integrates into its power systems, a substantial portion consist of internally designed components and components for which it coordinates significant design efforts with third-party suppliers, with the remainder consisting largely of parts that are sourced off-the-shelf from third-party suppliers. Some of the key components (including purchased engines) embody proprietary intellectual property of the Company’s suppliers. As a result of its design and manufacturing capabilities, the Company is able to provide its customers with a power system that can be incorporated into a customer’s specified application. In addition to the certified products described above, the Company sells diesel, gasoline and non-certified power systems and aftermarket components.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and Control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Weichai America Corp., a wholly-owned subsidiary of Weichai Power Co., Ltd. (HK2338, SZ000338) (herein collectively referred to as “Weichai”) owns a majority of the outstanding shares of the Company’s Common Stock. As a result, Weichai is able to exercise control over matters requiring stockholders’ approval, including the election of directors, amendment of the Company’s Certificate of Incorporation (the “Charter”) and approval of significant corporate transactions. This control could have the effect of delaying or preventing a change of control of the Company or changes in management and will make the approval of certain transactions impractical without the support of Weichai.</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Weichai has entered into an Investor Rights Agreement (the “Rights Agreement”). The Rights Agreement provides Weichai with representation on the Company’s Board of Directors (the “Board”) and management representation rights. Weichai currently has four representatives on the Board, which constitutes the majority of the directors serving on the Board. According to the Rights Agreement, during any period when the Company is a “controlled company” within the meaning of the Nasdaq Listing Rules, it will take such measures as to avail itself of the “controlled company” exemptions available under Rule 5615 of the Nasdaq Listing Rules from Rules 5605(b), (d) and (e) to the extent applicable.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Considerations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nine months of 2024, the Company reported net income of $46.0 million and generated $29.7 million in cash flow from operating activities. In August 2024, the Company refinanced its debt through a new short-term credit facility with three banks. Additionally, the Company entered into a new Shareholder’s Loan Agreement with Weichai. The new credit facility and the Shareholder’s Loan Agreement mature on August 30, 2025 and August 31, 2025, respectively, and have borrowing capacity of $120.0 million and $105.0 million, respectively.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Company has achieved profitability and generated positive cash flows from operating activities in 2024, uncertainties exist about the Company’s ability to refinance, extend, or repay its outstanding indebtedness. As of September 30, 2024, the Company held $40.5 million in cash and cash equivalents and its short-term debt obligations under the credit facility and Shareholder’s Loan Agreement totaled $100.0 million and $35.0 million, respectively.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 xml:space="preserve">See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further information regarding the terms and conditions of the Company’s debt arrangements.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these uncertainties, the Company’s management has concluded that, substantial doubt exists as to its ability to continue as a going concern within one year after the date that these financial statements are issued. The Company’s plans to alleviate the substantial doubt about its ability to continue as a going concern may not be successful, and it may be forced to limit its business activities or be unable to continue as a going concern, which would have a material adverse effect on its results of operations and financial condition.</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included herein have been prepared assuming that the Company will continue as a going concern and contemplating the realization of assets and the satisfaction of liabilities and commitments in the normal course of business. The Company’s ability to continue as a going concern is dependent on extending and amending, refinancing or repaying the indebtedness outstanding under the Company’s existing debt arrangements. Without additional financing, the Company anticipates that it will not have sufficient cash and cash equivalents to repay amounts owed under its existing debt arrangements as they become due. In order to provide the Company with a more permanent source of liquidity, management plans to seek an extension and amendment and/or replacement of its existing debt agreements or seek additional liquidity from its current or other lenders before the maturity dates in 2025. There can be no assurance that the Company’s management will be able to successfully complete an extension and amendment of its existing debt agreements or obtain new financing on acceptable terms, when required or if at all. These consolidated financial statements do not include any adjustments that might result from the outcome of the Company’s efforts to address these issues.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filing this Form 10-Q for the quarterly period ended September 30, 2024, which contains unaudited condensed consolidated financial statements as of September 30, 2024 and for the three and nine months ended September 30, 2024 and 2023.</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Power Solutions International, Inc. and its wholly-owned subsidiaries and majority-owned subsidiaries in which the Company exercises control. The condensed consolidated financial statements were prepared in accordance with generally accepted accounting principles in the United States (“U.S. GAAP”) and rules and regulations of the SEC for interim financial reporting. All intercompany balances and transactions have been eliminated in consolidation.</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information and note disclosures normally included in the Company’s annual financial statements prepared in accordance with U.S. GAAP have been condensed or omitted. The accompanying unaudited Condensed Consolidated Financial Statements have been prepared in accordance with the instructions to Form 10-Q and Article 8 of Regulation S-X and include all of the information and disclosures required by U.S GAAP for interim financial reporting. These unaudited Condensed Consolidated Financial Statements should be read in conjunction with the Consolidated Financial Statements of the Company and related footnotes for the year ended December 31, 2023, included in the 2023 Annual Report on Form 10-K, filed with the SEC on March 14, 2024 (the “2023 Annual Report”). The Company’s significant accounting policies are described in the aforementioned 2023 Annual Report. The accompanying interim financial information is unaudited; however, the Company believes the financial information reflects all adjustments (consisting of items of a normal recurring nature) necessary for a fair presentation of its financial position, results of operations and cash flows in conformity with U.S. GAAP. Operating results for interim periods are not necessarily indicative of annual operating results.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operates as one business and geographic operating segment. Operating segments are defined as components of a business that can earn revenues and incur expenses for which discrete financial information is available that is evaluated on a regular basis by the chief operating decision maker (“CODM”). The Company’s CODM is its principal executive officer, who decides how to allocate resources and assess performance. A single management team reports to the CODM, who manages the entire business. The Company’s CODM reviews consolidated statements of income to make decisions, allocate resources and assess performance, and the CODM does not evaluate the profit or loss from any separate geography or product line.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customers individually accounting for more than 10% of the Company’s net sales: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20" w:type="dxa"/>
            <w:vAlign w:val="bottom"/>
          </w:tcPr>
          <w:p>
            <w:pPr>
              <w:spacing w:after="0"/>
              <w:rPr>
                <w:sz w:val="18"/>
                <w:szCs w:val="18"/>
                <w:color w:val="auto"/>
              </w:rPr>
            </w:pPr>
          </w:p>
        </w:tc>
        <w:tc>
          <w:tcPr>
            <w:tcW w:w="35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tcBorders>
              <w:bottom w:val="single" w:sz="8" w:color="auto"/>
            </w:tcBorders>
            <w:gridSpan w:val="3"/>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1"/>
        </w:trPr>
        <w:tc>
          <w:tcPr>
            <w:tcW w:w="322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2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94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A</w:t>
            </w:r>
          </w:p>
        </w:tc>
        <w:tc>
          <w:tcPr>
            <w:tcW w:w="13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1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B</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C</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The following table presents customers individually accounting for more than 10% of the Company’s trade accounts receivable: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As of September 30, 2024</w:t>
            </w:r>
          </w:p>
        </w:tc>
        <w:tc>
          <w:tcPr>
            <w:tcW w:w="10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A</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10"/>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C</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2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D</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suppliers individually accounting for more than 10% of the Company’s purchases: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36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Borders>
              <w:bottom w:val="single" w:sz="8" w:color="auto"/>
            </w:tcBorders>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1"/>
        </w:trPr>
        <w:tc>
          <w:tcPr>
            <w:tcW w:w="324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84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Supplier A</w:t>
            </w:r>
          </w:p>
        </w:tc>
        <w:tc>
          <w:tcPr>
            <w:tcW w:w="13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72"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10% of the total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that management make estimates and assumptions that affect the reported amounts of assets and liabilities and disclosure of contingent assets and liabilities at the date of the consolidated financial statements and the reported amounts of revenue and expenses during the reporting period. Significant estimates and assumptions include the valuation of allowances for credit losses, inventory reserves, warranty reserves, stock-based compensation, evaluation of goodwill, other intangibles, property, plant and equipment for impairment, income tax valuation allowances and determination of useful lives of long-lived assets. Actual results could materially differ from those estimates.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Restricted cash consists of funds that are contractually restricted as to usage or withdrawal due to required minimum levels of cash collateral for letters of credits and contractual agreements with customers. As of September 30, 2024 and December 31, 2023, the Company had restricted cash of $3.2 million and $3.8 million, respectively, which includes $1.4 million restricted cash held in escrow which could be required to be refunded to the customer if conditions occur as defined in such certain agreement with such customer. The Company has not recognized revenue associated with the restricted cash. The deferred revenue is included within </w:t>
      </w:r>
      <w:r>
        <w:rPr>
          <w:rFonts w:ascii="Times New Roman" w:cs="Times New Roman" w:eastAsia="Times New Roman" w:hAnsi="Times New Roman"/>
          <w:sz w:val="18"/>
          <w:szCs w:val="18"/>
          <w:i w:val="1"/>
          <w:iCs w:val="1"/>
          <w:color w:val="auto"/>
        </w:rPr>
        <w:t>Noncurrent Contract Liabilities</w:t>
      </w:r>
      <w:r>
        <w:rPr>
          <w:rFonts w:ascii="Times New Roman" w:cs="Times New Roman" w:eastAsia="Times New Roman" w:hAnsi="Times New Roman"/>
          <w:sz w:val="18"/>
          <w:szCs w:val="18"/>
          <w:color w:val="auto"/>
        </w:rPr>
        <w:t xml:space="preserve"> on the Consolidated Balance Sheet.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inventories consist primarily of engines and parts. Engines are valued at the lower of cost, including estimated freight-in, or net realizable value. Parts are valued at the lower of cost or net realizable value, except for integral parts provided by customers for installation on custom ordered engines. Such parts are accounted for as noncash consideration which is valued at fair value. Net realizable value approximates replacement cost. Cost is principally determined using the first-in, first-out method and includes material, labor and manufacturing overhead. It is the Company’s policy to review inventories on a continuing basis for obsolete, excess and slow-moving items and to record valuation adjustments for such items in order to eliminate non-recoverable costs from inventory. Valuation adjustments are recorded in an inventory reserve account and reduce the cost basis of the inventory in the period in which the reduced valuation is determined. Inventory reserves are established based on quantities on hand, usage and sales history, customer orders, projected demand and utilization within a current or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future power system. Specific analysis of individual items or groups of items is performed based on these same criteria, as well as on changes in market conditions or any other identified conditions.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20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As of September 30, 2024</w:t>
            </w:r>
          </w:p>
        </w:tc>
        <w:tc>
          <w:tcPr>
            <w:tcW w:w="100" w:type="dxa"/>
            <w:vAlign w:val="bottom"/>
          </w:tcPr>
          <w:p>
            <w:pPr>
              <w:spacing w:after="0"/>
              <w:rPr>
                <w:sz w:val="18"/>
                <w:szCs w:val="18"/>
                <w:color w:val="auto"/>
              </w:rPr>
            </w:pPr>
          </w:p>
        </w:tc>
        <w:tc>
          <w:tcPr>
            <w:tcW w:w="18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r>
      <w:tr>
        <w:trPr>
          <w:trHeight w:val="213"/>
        </w:trPr>
        <w:tc>
          <w:tcPr>
            <w:tcW w:w="71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Raw materials</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91,061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68,273</w:t>
            </w:r>
          </w:p>
        </w:tc>
      </w:tr>
      <w:tr>
        <w:trPr>
          <w:trHeight w:val="213"/>
        </w:trPr>
        <w:tc>
          <w:tcPr>
            <w:tcW w:w="73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Work in process</w:t>
            </w:r>
          </w:p>
        </w:tc>
        <w:tc>
          <w:tcPr>
            <w:tcW w:w="7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w:t>
            </w:r>
          </w:p>
        </w:tc>
      </w:tr>
      <w:tr>
        <w:trPr>
          <w:trHeight w:val="219"/>
        </w:trPr>
        <w:tc>
          <w:tcPr>
            <w:tcW w:w="7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Finished goods</w:t>
            </w:r>
          </w:p>
        </w:tc>
        <w:tc>
          <w:tcPr>
            <w:tcW w:w="7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21,238</w:t>
            </w:r>
          </w:p>
        </w:tc>
      </w:tr>
      <w:tr>
        <w:trPr>
          <w:trHeight w:val="207"/>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inventories</w:t>
            </w: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90,677</w:t>
            </w:r>
          </w:p>
        </w:tc>
      </w:tr>
      <w:tr>
        <w:trPr>
          <w:trHeight w:val="216"/>
        </w:trPr>
        <w:tc>
          <w:tcPr>
            <w:tcW w:w="7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Inventory allowance</w:t>
            </w:r>
          </w:p>
        </w:tc>
        <w:tc>
          <w:tcPr>
            <w:tcW w:w="7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(5,730)</w:t>
            </w:r>
          </w:p>
        </w:tc>
      </w:tr>
      <w:tr>
        <w:trPr>
          <w:trHeight w:val="212"/>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Inventories, net</w:t>
            </w:r>
          </w:p>
        </w:tc>
        <w:tc>
          <w:tcPr>
            <w:tcW w:w="7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104,889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84,947</w:t>
            </w:r>
          </w:p>
        </w:tc>
      </w:tr>
      <w:tr>
        <w:trPr>
          <w:trHeight w:val="20"/>
        </w:trPr>
        <w:tc>
          <w:tcPr>
            <w:tcW w:w="7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Company’s inventory allowance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8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4"/>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Inventory Allowance</w:t>
            </w:r>
          </w:p>
        </w:tc>
        <w:tc>
          <w:tcPr>
            <w:tcW w:w="280" w:type="dxa"/>
            <w:vAlign w:val="bottom"/>
          </w:tcPr>
          <w:p>
            <w:pPr>
              <w:spacing w:after="0"/>
              <w:rPr>
                <w:sz w:val="18"/>
                <w:szCs w:val="18"/>
                <w:color w:val="auto"/>
              </w:rPr>
            </w:pPr>
          </w:p>
        </w:tc>
        <w:tc>
          <w:tcPr>
            <w:tcW w:w="162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5,730</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3,904</w:t>
            </w:r>
          </w:p>
        </w:tc>
      </w:tr>
      <w:tr>
        <w:trPr>
          <w:trHeight w:val="213"/>
        </w:trPr>
        <w:tc>
          <w:tcPr>
            <w:tcW w:w="73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Charged to expense</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2,560</w:t>
            </w:r>
          </w:p>
        </w:tc>
      </w:tr>
      <w:tr>
        <w:trPr>
          <w:trHeight w:val="216"/>
        </w:trPr>
        <w:tc>
          <w:tcPr>
            <w:tcW w:w="7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Write-offs</w:t>
            </w:r>
          </w:p>
        </w:tc>
        <w:tc>
          <w:tcPr>
            <w:tcW w:w="2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r>
      <w:tr>
        <w:trPr>
          <w:trHeight w:val="212"/>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8,228</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5,782</w:t>
            </w:r>
          </w:p>
        </w:tc>
      </w:tr>
      <w:tr>
        <w:trPr>
          <w:trHeight w:val="21"/>
        </w:trPr>
        <w:tc>
          <w:tcPr>
            <w:tcW w:w="7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September 30, 2024, the Company’s inventory included $3.3 million of raw materials provided by its customers for installation in the fulfillment of its performance obligations to these customers and recorded an associated contract liability. See Note 2.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for further information regarding contract assets and contract liabilities.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liabilities consisted of the following:</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Accrued Liabilities</w:t>
            </w:r>
          </w:p>
        </w:tc>
        <w:tc>
          <w:tcPr>
            <w:tcW w:w="180" w:type="dxa"/>
            <w:vAlign w:val="bottom"/>
          </w:tcPr>
          <w:p>
            <w:pPr>
              <w:spacing w:after="0"/>
              <w:rPr>
                <w:sz w:val="18"/>
                <w:szCs w:val="18"/>
                <w:color w:val="auto"/>
              </w:rPr>
            </w:pPr>
          </w:p>
        </w:tc>
        <w:tc>
          <w:tcPr>
            <w:tcW w:w="21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As of September 30, 2024</w:t>
            </w:r>
          </w:p>
        </w:tc>
        <w:tc>
          <w:tcPr>
            <w:tcW w:w="180" w:type="dxa"/>
            <w:vAlign w:val="bottom"/>
          </w:tcPr>
          <w:p>
            <w:pPr>
              <w:spacing w:after="0"/>
              <w:rPr>
                <w:sz w:val="18"/>
                <w:szCs w:val="18"/>
                <w:color w:val="auto"/>
              </w:rPr>
            </w:pPr>
          </w:p>
        </w:tc>
        <w:tc>
          <w:tcPr>
            <w:tcW w:w="20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r>
      <w:tr>
        <w:trPr>
          <w:trHeight w:val="213"/>
        </w:trPr>
        <w:tc>
          <w:tcPr>
            <w:tcW w:w="65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product warranty</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11,290</w:t>
            </w:r>
          </w:p>
        </w:tc>
      </w:tr>
      <w:tr>
        <w:trPr>
          <w:trHeight w:val="216"/>
        </w:trPr>
        <w:tc>
          <w:tcPr>
            <w:tcW w:w="666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Accrued litigation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3,929</w:t>
            </w:r>
          </w:p>
        </w:tc>
      </w:tr>
      <w:tr>
        <w:trPr>
          <w:trHeight w:val="216"/>
        </w:trPr>
        <w:tc>
          <w:tcPr>
            <w:tcW w:w="6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liabilities</w:t>
            </w:r>
          </w:p>
        </w:tc>
        <w:tc>
          <w:tcPr>
            <w:tcW w:w="18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w:t>
            </w:r>
          </w:p>
        </w:tc>
      </w:tr>
      <w:tr>
        <w:trPr>
          <w:trHeight w:val="213"/>
        </w:trPr>
        <w:tc>
          <w:tcPr>
            <w:tcW w:w="6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8,469</w:t>
            </w:r>
          </w:p>
        </w:tc>
      </w:tr>
      <w:tr>
        <w:trPr>
          <w:trHeight w:val="219"/>
        </w:trPr>
        <w:tc>
          <w:tcPr>
            <w:tcW w:w="6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interest expense</w:t>
            </w: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w:t>
            </w:r>
          </w:p>
        </w:tc>
      </w:tr>
      <w:tr>
        <w:trPr>
          <w:trHeight w:val="216"/>
        </w:trPr>
        <w:tc>
          <w:tcPr>
            <w:tcW w:w="666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Stock appreciation rights liability </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6"/>
        </w:trPr>
        <w:tc>
          <w:tcPr>
            <w:tcW w:w="6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Non-interest bearing note payable</w:t>
            </w:r>
          </w:p>
        </w:tc>
        <w:tc>
          <w:tcPr>
            <w:tcW w:w="18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3,616</w:t>
            </w:r>
          </w:p>
        </w:tc>
      </w:tr>
      <w:tr>
        <w:trPr>
          <w:trHeight w:val="237"/>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31,999</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40" w:hanging="8"/>
        <w:spacing w:after="0" w:line="231" w:lineRule="auto"/>
        <w:tabs>
          <w:tab w:leader="none" w:pos="41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As of September 30, 2024 and December 31, 2023 accrued litigation includes accruals related to various ongoing legal matters including associated legal fees. See Note 10. </w:t>
      </w:r>
      <w:r>
        <w:rPr>
          <w:rFonts w:ascii="Times New Roman" w:cs="Times New Roman" w:eastAsia="Times New Roman" w:hAnsi="Times New Roman"/>
          <w:sz w:val="14"/>
          <w:szCs w:val="14"/>
          <w:i w:val="1"/>
          <w:iCs w:val="1"/>
          <w:color w:val="auto"/>
        </w:rPr>
        <w:t>Commitments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and Contingencies </w:t>
      </w:r>
      <w:r>
        <w:rPr>
          <w:rFonts w:ascii="Times New Roman" w:cs="Times New Roman" w:eastAsia="Times New Roman" w:hAnsi="Times New Roman"/>
          <w:sz w:val="14"/>
          <w:szCs w:val="14"/>
          <w:color w:val="auto"/>
        </w:rPr>
        <w:t>for further information regarding the various ongoing legal matters.</w:t>
      </w:r>
    </w:p>
    <w:p>
      <w:pPr>
        <w:spacing w:after="0" w:line="231" w:lineRule="exact"/>
        <w:rPr>
          <w:sz w:val="20"/>
          <w:szCs w:val="20"/>
          <w:color w:val="auto"/>
        </w:rPr>
      </w:pPr>
    </w:p>
    <w:p>
      <w:pPr>
        <w:jc w:val="both"/>
        <w:ind w:left="340" w:hanging="8"/>
        <w:spacing w:after="0" w:line="242" w:lineRule="auto"/>
        <w:tabs>
          <w:tab w:leader="none" w:pos="436"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 has an incentive compensation plan, which authorizes the granting of a variety of different types of awards including, but not limited to, non-qualified stock options, incentive stock options, Stock Appreciation Rights (“SARs”), Restricted Stock Awards (“RSAs”)</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deferred stock and performance units to its executive officers, employees, consultants and Directors. The SAR awards granted for the year ended September 30, 2024 and December 31, 2023 were all liability classified awards and remained outstanding. See Note 13. </w:t>
      </w:r>
      <w:r>
        <w:rPr>
          <w:rFonts w:ascii="Times New Roman" w:cs="Times New Roman" w:eastAsia="Times New Roman" w:hAnsi="Times New Roman"/>
          <w:sz w:val="14"/>
          <w:szCs w:val="14"/>
          <w:i w:val="1"/>
          <w:iCs w:val="1"/>
          <w:color w:val="auto"/>
        </w:rPr>
        <w:t>Stock-Based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Compensation </w:t>
      </w:r>
      <w:r>
        <w:rPr>
          <w:rFonts w:ascii="Times New Roman" w:cs="Times New Roman" w:eastAsia="Times New Roman" w:hAnsi="Times New Roman"/>
          <w:sz w:val="14"/>
          <w:szCs w:val="14"/>
          <w:color w:val="auto"/>
        </w:rPr>
        <w:t>in the Company’s 2023 Annual Report for additional information on the SARs and RSAs.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Costs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offers a standard limited warranty on the workmanship of its products that in most cases covers defects for a defined period. Warranties for certified emission products are mandated by the U.S. Environmental Protection Agency (the “EPA”) and/or the California Air Resources Board (the “CARB”) and are longer than the Company’s standard warranty on certain emission-related products. The Company’s products also carry limited warranties from suppliers. The Company’s warranties generally apply to engines fully manufactured by the Company and to the modifications the Company makes to</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supplier base products. Costs related to supplier warranty claims are generally borne by the supplier and passed through to the end customer.</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Warranty estimates are based on historical experience and represent the projected cost associated with the product. A liability and related expense are recognized at the time products are sold. The Company adjusts estimates when it is determined that actual costs may differ from initial or previous estimates. The Company’s warranty liability is generally affected by failure rates, repair costs and the timing of failures. Future events and circumstances related to these factors could materially change the estimates and require adjustments to the warranty liability. In addition, new product launches require a greater use of judgment in developing estimates until historical experience becomes available.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product warranty activities are presented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8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0" w:type="dxa"/>
            <w:vAlign w:val="bottom"/>
          </w:tcPr>
          <w:p>
            <w:pPr>
              <w:spacing w:after="0"/>
              <w:rPr>
                <w:sz w:val="1"/>
                <w:szCs w:val="1"/>
                <w:color w:val="auto"/>
              </w:rPr>
            </w:pPr>
          </w:p>
        </w:tc>
      </w:tr>
      <w:tr>
        <w:trPr>
          <w:trHeight w:val="214"/>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Accrued Product Warranty</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21,550</w:t>
            </w:r>
          </w:p>
        </w:tc>
        <w:tc>
          <w:tcPr>
            <w:tcW w:w="0" w:type="dxa"/>
            <w:vAlign w:val="bottom"/>
          </w:tcPr>
          <w:p>
            <w:pPr>
              <w:spacing w:after="0"/>
              <w:rPr>
                <w:sz w:val="1"/>
                <w:szCs w:val="1"/>
                <w:color w:val="auto"/>
              </w:rPr>
            </w:pPr>
          </w:p>
        </w:tc>
      </w:tr>
      <w:tr>
        <w:trPr>
          <w:trHeight w:val="216"/>
        </w:trPr>
        <w:tc>
          <w:tcPr>
            <w:tcW w:w="73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Current period provision </w:t>
            </w:r>
            <w:r>
              <w:rPr>
                <w:rFonts w:ascii="Times New Roman" w:cs="Times New Roman" w:eastAsia="Times New Roman" w:hAnsi="Times New Roman"/>
                <w:sz w:val="21"/>
                <w:szCs w:val="21"/>
                <w:color w:val="auto"/>
                <w:vertAlign w:val="superscript"/>
              </w:rPr>
              <w:t>*</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6,588</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Changes in estimates for preexisting warranties </w:t>
            </w:r>
            <w:r>
              <w:rPr>
                <w:rFonts w:ascii="Times New Roman" w:cs="Times New Roman" w:eastAsia="Times New Roman" w:hAnsi="Times New Roman"/>
                <w:sz w:val="21"/>
                <w:szCs w:val="21"/>
                <w:color w:val="auto"/>
                <w:vertAlign w:val="superscript"/>
              </w:rPr>
              <w:t>**</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6,274</w:t>
            </w:r>
          </w:p>
        </w:tc>
        <w:tc>
          <w:tcPr>
            <w:tcW w:w="0" w:type="dxa"/>
            <w:vAlign w:val="bottom"/>
          </w:tcPr>
          <w:p>
            <w:pPr>
              <w:spacing w:after="0"/>
              <w:rPr>
                <w:sz w:val="1"/>
                <w:szCs w:val="1"/>
                <w:color w:val="auto"/>
              </w:rPr>
            </w:pPr>
          </w:p>
        </w:tc>
      </w:tr>
      <w:tr>
        <w:trPr>
          <w:trHeight w:val="213"/>
        </w:trPr>
        <w:tc>
          <w:tcPr>
            <w:tcW w:w="7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Payments made during the period</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(10,413)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(13,418)</w:t>
            </w:r>
          </w:p>
        </w:tc>
        <w:tc>
          <w:tcPr>
            <w:tcW w:w="0" w:type="dxa"/>
            <w:vAlign w:val="bottom"/>
          </w:tcPr>
          <w:p>
            <w:pPr>
              <w:spacing w:after="0"/>
              <w:rPr>
                <w:sz w:val="1"/>
                <w:szCs w:val="1"/>
                <w:color w:val="auto"/>
              </w:rPr>
            </w:pPr>
          </w:p>
        </w:tc>
      </w:tr>
      <w:tr>
        <w:trPr>
          <w:trHeight w:val="21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20,994</w:t>
            </w:r>
          </w:p>
        </w:tc>
        <w:tc>
          <w:tcPr>
            <w:tcW w:w="0" w:type="dxa"/>
            <w:vAlign w:val="bottom"/>
          </w:tcPr>
          <w:p>
            <w:pPr>
              <w:spacing w:after="0"/>
              <w:rPr>
                <w:sz w:val="1"/>
                <w:szCs w:val="1"/>
                <w:color w:val="auto"/>
              </w:rPr>
            </w:pPr>
          </w:p>
        </w:tc>
      </w:tr>
      <w:tr>
        <w:trPr>
          <w:trHeight w:val="213"/>
        </w:trPr>
        <w:tc>
          <w:tcPr>
            <w:tcW w:w="73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Less: current portion</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11,564</w:t>
            </w:r>
          </w:p>
        </w:tc>
        <w:tc>
          <w:tcPr>
            <w:tcW w:w="0" w:type="dxa"/>
            <w:vAlign w:val="bottom"/>
          </w:tcPr>
          <w:p>
            <w:pPr>
              <w:spacing w:after="0"/>
              <w:rPr>
                <w:sz w:val="1"/>
                <w:szCs w:val="1"/>
                <w:color w:val="auto"/>
              </w:rPr>
            </w:pPr>
          </w:p>
        </w:tc>
      </w:tr>
      <w:tr>
        <w:trPr>
          <w:trHeight w:val="145"/>
        </w:trPr>
        <w:tc>
          <w:tcPr>
            <w:tcW w:w="73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Noncurrent accrued product warranty</w:t>
            </w: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4,908</w:t>
            </w:r>
          </w:p>
        </w:tc>
        <w:tc>
          <w:tcPr>
            <w:tcW w:w="10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9,430</w:t>
            </w:r>
          </w:p>
        </w:tc>
        <w:tc>
          <w:tcPr>
            <w:tcW w:w="0" w:type="dxa"/>
            <w:vAlign w:val="bottom"/>
          </w:tcPr>
          <w:p>
            <w:pPr>
              <w:spacing w:after="0"/>
              <w:rPr>
                <w:sz w:val="1"/>
                <w:szCs w:val="1"/>
                <w:color w:val="auto"/>
              </w:rPr>
            </w:pPr>
          </w:p>
        </w:tc>
      </w:tr>
      <w:tr>
        <w:trPr>
          <w:trHeight w:val="209"/>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(included with Other Noncurrent liabilities)</w:t>
            </w: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14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660" w:right="20" w:hanging="652"/>
        <w:spacing w:after="0" w:line="253" w:lineRule="auto"/>
        <w:tabs>
          <w:tab w:leader="none" w:pos="651"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Warranty costs, net of supplier recoveries, and other adjustments, were $5.8 million and $12.0 million for the nine months ended September 30, 2024 and 2023, respectively. Supplier recoveries were $0.7 million for both the nine months ended September 30, 2024 and 2023.</w:t>
      </w:r>
    </w:p>
    <w:p>
      <w:pPr>
        <w:spacing w:after="0" w:line="1" w:lineRule="exact"/>
        <w:rPr>
          <w:sz w:val="20"/>
          <w:szCs w:val="20"/>
          <w:color w:val="auto"/>
        </w:rPr>
      </w:pPr>
    </w:p>
    <w:p>
      <w:pPr>
        <w:jc w:val="both"/>
        <w:ind w:left="660" w:right="20" w:hanging="652"/>
        <w:spacing w:after="0" w:line="255" w:lineRule="auto"/>
        <w:tabs>
          <w:tab w:leader="none" w:pos="655"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estimates for preexisting warranties reflect changes in the Company’s estimate of warranty costs for products sold in prior periods. Such adjustments typically occur when claims experience deviates from historical and expected trends. During the nine months ended September 30, 2024, the Company recorded a cost for changes in estimates of preexisting warranties of $2.1 million, or $0.09 per diluted share. During the nine months ended September 30, 2023, the Company recorded a cost of $6.3 million, or $0.27 per diluted share.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Recently Issued Accounting Pronouncements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Adopted</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The standard replaces the incurred loss impairment methodology under current U.S. GAAP with a methodology that reflects expected credit losses and requires the use of a forward-looking expected credit loss model for accounts receivables, loans, and other financial instruments. The standard requires a modified retrospective approach through a cumulative-effect adjustment to retained earnings as of the beginning of the first reporting period in which the guidance is effective. The new standard was effective for non-public companies, and public business entities that meet the definition of a smaller reporting company as defined by the SEC, for interim and annual periods beginning after December 15, 2022. The Company adopted this guidance effective January 1, 2023. The adoption of the standard did not have a material impact on the Company’s consolidated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 Not Yet Adopted</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Improvements to Reportable Segment Disclosures – Segment Reporting (Topic 280). The amendments to this standard require public entities to disclose more detailed information about their reportable segments’ significant expenses on an interim and annual basis. The amendments to this standard do not change how a public entity identifies its operating segments, aggregates those operating segments, or applies the quantitative thresholds to determine its reportable segments. The amendments to this standard apply to all public entities that are required to report segment information in accordance with Topic 280, Segment Reporting and are effective for fiscal years beginning after December 15, 2023, and interim periods within fiscal years beginning after December 15, 2024. The Company plans to adopt this guidance in its annual reporting for the year ending December 31, 2024 and subsequent interim periods. The Company is continuing to assess the impact of the amendment to this standard on its consolidated financial statements.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 Income Taxes (Topic 740). The amendments to this standard enhance the transparency and decision usefulness of income tax disclosures, primarily related to rate reconciliation and income taxes paid information as well as effectiveness of overall income tax disclosures. The new standard is effective for non-public companies, and public business entities that meet the definition of a smaller reporting company as defined by the SEC, for interim and annual periods beginning after December 15, 2024, although early adoption is permitted. The Company currently plans to adopt this guidance effective January 1, 2025. The Company is continuing to assess the impact of the amendment to this standard on its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2" w:name="page13"/>
    <w:bookmarkEnd w:id="1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2.</w:t>
        <w:tab/>
        <w:t>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sales by end market: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tcPr>
          <w:p>
            <w:pPr>
              <w:spacing w:after="0"/>
              <w:rPr>
                <w:sz w:val="18"/>
                <w:szCs w:val="18"/>
                <w:color w:val="auto"/>
              </w:rPr>
            </w:pPr>
          </w:p>
        </w:tc>
        <w:tc>
          <w:tcPr>
            <w:tcW w:w="374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280" w:type="dxa"/>
            <w:vAlign w:val="bottom"/>
          </w:tcPr>
          <w:p>
            <w:pPr>
              <w:spacing w:after="0"/>
              <w:rPr>
                <w:sz w:val="18"/>
                <w:szCs w:val="18"/>
                <w:color w:val="auto"/>
              </w:rPr>
            </w:pPr>
          </w:p>
        </w:tc>
        <w:tc>
          <w:tcPr>
            <w:tcW w:w="360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4"/>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End Market</w:t>
            </w:r>
          </w:p>
        </w:tc>
        <w:tc>
          <w:tcPr>
            <w:tcW w:w="2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32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Power Systems</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84,111</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60,405</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219,160</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159,491</w:t>
            </w:r>
          </w:p>
        </w:tc>
      </w:tr>
      <w:tr>
        <w:trPr>
          <w:trHeight w:val="213"/>
        </w:trPr>
        <w:tc>
          <w:tcPr>
            <w:tcW w:w="3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Industrial</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32,774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93,031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128,819</w:t>
            </w:r>
          </w:p>
        </w:tc>
      </w:tr>
      <w:tr>
        <w:trPr>
          <w:trHeight w:val="216"/>
        </w:trPr>
        <w:tc>
          <w:tcPr>
            <w:tcW w:w="3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Transportation</w:t>
            </w: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8,957</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65,908</w:t>
            </w:r>
          </w:p>
        </w:tc>
      </w:tr>
      <w:tr>
        <w:trPr>
          <w:trHeight w:val="212"/>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125,842</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115,884</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331,668</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354,218</w:t>
            </w:r>
          </w:p>
        </w:tc>
      </w:tr>
      <w:tr>
        <w:trPr>
          <w:trHeight w:val="21"/>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sales by geographic area: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28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4"/>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Geographic Area</w:t>
            </w:r>
          </w:p>
        </w:tc>
        <w:tc>
          <w:tcPr>
            <w:tcW w:w="260" w:type="dxa"/>
            <w:vAlign w:val="bottom"/>
          </w:tcPr>
          <w:p>
            <w:pPr>
              <w:spacing w:after="0"/>
              <w:rPr>
                <w:sz w:val="18"/>
                <w:szCs w:val="18"/>
                <w:color w:val="auto"/>
              </w:rPr>
            </w:pPr>
          </w:p>
        </w:tc>
        <w:tc>
          <w:tcPr>
            <w:tcW w:w="162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32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United States</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113,533</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96,899</w:t>
            </w: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294,295</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285,761</w:t>
            </w:r>
          </w:p>
        </w:tc>
      </w:tr>
      <w:tr>
        <w:trPr>
          <w:trHeight w:val="213"/>
        </w:trPr>
        <w:tc>
          <w:tcPr>
            <w:tcW w:w="3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North America (outside of United States)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16,605</w:t>
            </w:r>
          </w:p>
        </w:tc>
      </w:tr>
      <w:tr>
        <w:trPr>
          <w:trHeight w:val="219"/>
        </w:trPr>
        <w:tc>
          <w:tcPr>
            <w:tcW w:w="3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Pacific Rim</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36,036</w:t>
            </w:r>
          </w:p>
        </w:tc>
      </w:tr>
      <w:tr>
        <w:trPr>
          <w:trHeight w:val="213"/>
        </w:trPr>
        <w:tc>
          <w:tcPr>
            <w:tcW w:w="3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Europe</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11,238</w:t>
            </w:r>
          </w:p>
        </w:tc>
      </w:tr>
      <w:tr>
        <w:trPr>
          <w:trHeight w:val="216"/>
        </w:trPr>
        <w:tc>
          <w:tcPr>
            <w:tcW w:w="3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4,578</w:t>
            </w:r>
          </w:p>
        </w:tc>
      </w:tr>
      <w:tr>
        <w:trPr>
          <w:trHeight w:val="212"/>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125,842</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115,884</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331,668</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354,218</w:t>
            </w:r>
          </w:p>
        </w:tc>
      </w:tr>
      <w:tr>
        <w:trPr>
          <w:trHeight w:val="21"/>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Most of the Company’s contracts are for a period of less than one year; however, extended warranty contracts extend beyond one year. The timing of revenue recognition may differ from the time of invoicing to customers and these timing differences result in contract assets, or contract liabilities on the Company’s Consolidated Balance Sheet. Contract assets include amounts related to the contractual right to consideration for completed performance when the right to consideration is conditional. The Company records contract liabilities when cash payments are received or due in advance of performance. The fair value of noncash consideration of parts provided by customers is recorded in contract liabilities. Contract assets and contract liabilities are recognized at the contract level.</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As of September 30, 2024</w:t>
            </w:r>
          </w:p>
        </w:tc>
        <w:tc>
          <w:tcPr>
            <w:tcW w:w="19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0" w:type="dxa"/>
            <w:vAlign w:val="bottom"/>
          </w:tcPr>
          <w:p>
            <w:pPr>
              <w:spacing w:after="0"/>
              <w:rPr>
                <w:sz w:val="1"/>
                <w:szCs w:val="1"/>
                <w:color w:val="auto"/>
              </w:rPr>
            </w:pPr>
          </w:p>
        </w:tc>
      </w:tr>
      <w:tr>
        <w:trPr>
          <w:trHeight w:val="145"/>
        </w:trPr>
        <w:tc>
          <w:tcPr>
            <w:tcW w:w="5360" w:type="dxa"/>
            <w:vAlign w:val="bottom"/>
            <w:tcBorders>
              <w:top w:val="single" w:sz="8" w:color="CCEEFF"/>
            </w:tcBorders>
            <w:shd w:val="clear" w:color="auto" w:fill="CCEEFF"/>
          </w:tcPr>
          <w:p>
            <w:pPr>
              <w:ind w:left="220"/>
              <w:spacing w:after="0" w:line="145" w:lineRule="exact"/>
              <w:rPr>
                <w:sz w:val="20"/>
                <w:szCs w:val="20"/>
                <w:color w:val="auto"/>
              </w:rPr>
            </w:pPr>
            <w:r>
              <w:rPr>
                <w:rFonts w:ascii="Times New Roman" w:cs="Times New Roman" w:eastAsia="Times New Roman" w:hAnsi="Times New Roman"/>
                <w:sz w:val="16"/>
                <w:szCs w:val="16"/>
                <w:color w:val="auto"/>
              </w:rPr>
              <w:t xml:space="preserve">Short-term contract assets (included in </w:t>
            </w:r>
            <w:r>
              <w:rPr>
                <w:rFonts w:ascii="Times New Roman" w:cs="Times New Roman" w:eastAsia="Times New Roman" w:hAnsi="Times New Roman"/>
                <w:sz w:val="16"/>
                <w:szCs w:val="16"/>
                <w:i w:val="1"/>
                <w:iCs w:val="1"/>
                <w:color w:val="auto"/>
              </w:rPr>
              <w:t>Prepaid expenses and other current</w:t>
            </w:r>
          </w:p>
        </w:tc>
        <w:tc>
          <w:tcPr>
            <w:tcW w:w="720" w:type="dxa"/>
            <w:vAlign w:val="bottom"/>
            <w:tcBorders>
              <w:top w:val="single" w:sz="8" w:color="auto"/>
            </w:tcBorders>
            <w:vMerge w:val="restart"/>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20,006</w:t>
            </w: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vMerge w:val="restart"/>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vMerge w:val="restart"/>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15,554</w:t>
            </w: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vMerge w:val="restart"/>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vMerge w:val="restart"/>
            <w:shd w:val="clear" w:color="auto" w:fill="CCEEFF"/>
          </w:tcPr>
          <w:p>
            <w:pPr>
              <w:jc w:val="center"/>
              <w:ind w:left="559"/>
              <w:spacing w:after="0"/>
              <w:rPr>
                <w:sz w:val="20"/>
                <w:szCs w:val="20"/>
                <w:color w:val="auto"/>
              </w:rPr>
            </w:pPr>
            <w:r>
              <w:rPr>
                <w:rFonts w:ascii="Times New Roman" w:cs="Times New Roman" w:eastAsia="Times New Roman" w:hAnsi="Times New Roman"/>
                <w:sz w:val="16"/>
                <w:szCs w:val="16"/>
                <w:color w:val="auto"/>
              </w:rPr>
              <w:t>3,620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assets</w:t>
            </w:r>
            <w:r>
              <w:rPr>
                <w:rFonts w:ascii="Times New Roman" w:cs="Times New Roman" w:eastAsia="Times New Roman" w:hAnsi="Times New Roman"/>
                <w:sz w:val="16"/>
                <w:szCs w:val="16"/>
                <w:color w:val="auto"/>
              </w:rPr>
              <w:t>)</w:t>
            </w:r>
          </w:p>
        </w:tc>
        <w:tc>
          <w:tcPr>
            <w:tcW w:w="72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Short-term contract liabilities (included in </w:t>
            </w:r>
            <w:r>
              <w:rPr>
                <w:rFonts w:ascii="Times New Roman" w:cs="Times New Roman" w:eastAsia="Times New Roman" w:hAnsi="Times New Roman"/>
                <w:sz w:val="16"/>
                <w:szCs w:val="16"/>
                <w:i w:val="1"/>
                <w:iCs w:val="1"/>
                <w:color w:val="auto"/>
              </w:rPr>
              <w:t>Other accrued liabilities</w:t>
            </w: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(11,588)</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(2,741)</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ind w:left="539"/>
              <w:spacing w:after="0"/>
              <w:rPr>
                <w:sz w:val="20"/>
                <w:szCs w:val="20"/>
                <w:color w:val="auto"/>
              </w:rPr>
            </w:pPr>
            <w:r>
              <w:rPr>
                <w:rFonts w:ascii="Times New Roman" w:cs="Times New Roman" w:eastAsia="Times New Roman" w:hAnsi="Times New Roman"/>
                <w:sz w:val="16"/>
                <w:szCs w:val="16"/>
                <w:color w:val="auto"/>
              </w:rPr>
              <w:t>(2,256)</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xml:space="preserve">Long-term contract liabilities (included in </w:t>
            </w:r>
            <w:r>
              <w:rPr>
                <w:rFonts w:ascii="Times New Roman" w:cs="Times New Roman" w:eastAsia="Times New Roman" w:hAnsi="Times New Roman"/>
                <w:sz w:val="16"/>
                <w:szCs w:val="16"/>
                <w:i w:val="1"/>
                <w:iCs w:val="1"/>
                <w:color w:val="auto"/>
              </w:rPr>
              <w:t>Noncurrent contract liabilities</w:t>
            </w: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(2,401)</w:t>
            </w: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center"/>
              <w:ind w:left="539"/>
              <w:spacing w:after="0"/>
              <w:rPr>
                <w:sz w:val="20"/>
                <w:szCs w:val="20"/>
                <w:color w:val="auto"/>
              </w:rPr>
            </w:pPr>
            <w:r>
              <w:rPr>
                <w:rFonts w:ascii="Times New Roman" w:cs="Times New Roman" w:eastAsia="Times New Roman" w:hAnsi="Times New Roman"/>
                <w:sz w:val="16"/>
                <w:szCs w:val="16"/>
                <w:color w:val="auto"/>
              </w:rPr>
              <w:t>(3,199)</w:t>
            </w:r>
          </w:p>
        </w:tc>
        <w:tc>
          <w:tcPr>
            <w:tcW w:w="0" w:type="dxa"/>
            <w:vAlign w:val="bottom"/>
          </w:tcPr>
          <w:p>
            <w:pPr>
              <w:spacing w:after="0"/>
              <w:rPr>
                <w:sz w:val="1"/>
                <w:szCs w:val="1"/>
                <w:color w:val="auto"/>
              </w:rPr>
            </w:pPr>
          </w:p>
        </w:tc>
      </w:tr>
      <w:tr>
        <w:trPr>
          <w:trHeight w:val="211"/>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contract assets (liabilities)</w:t>
            </w:r>
          </w:p>
        </w:tc>
        <w:tc>
          <w:tcPr>
            <w:tcW w:w="7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6,469</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10,412</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center"/>
              <w:ind w:left="539"/>
              <w:spacing w:after="0"/>
              <w:rPr>
                <w:sz w:val="20"/>
                <w:szCs w:val="20"/>
                <w:color w:val="auto"/>
              </w:rPr>
            </w:pPr>
            <w:r>
              <w:rPr>
                <w:rFonts w:ascii="Times New Roman" w:cs="Times New Roman" w:eastAsia="Times New Roman" w:hAnsi="Times New Roman"/>
                <w:sz w:val="16"/>
                <w:szCs w:val="16"/>
                <w:color w:val="auto"/>
              </w:rPr>
              <w:t>(1,835)</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During the nine months ended September 30, 2024 and 2023, the Company recognized $1.4 million and $1.2 million, respectively, of revenue upon satisfaction of performance obligations related to amounts that were included in the net contract liabilities balance as of December 31, 2023 and 2022, respectively. During the three months ended September 30, 2024 and 2023, the Company recognized $0.7 million and $0.3 million, respectively, of revenue upon satisfaction of performance obligations related to amounts that were included in the net contract liabilities balance as of June 30, 2024 and 2023, respectively.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elected the practical expedient to not disclose remaining performance obligations that have expected original durations of one year or less. For performance obligations that extend beyond one year, the Company had $3.5 million of remaining performance obligations as of September 30, 2024, primarily related to extended warranties. The Company expects to recognize revenue related to these remaining performance obligations of approximately $0.8 million in the remainder of 2024, $0.8 million in 2025, $0.2 million in 2026, $1.5 million in 2027, and $0.2 million in 2028 and less than $0.1 million in 2029 and beyond.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3" w:name="page14"/>
    <w:bookmarkEnd w:id="1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Weichai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Weichai Shareholder’s Loan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is party to a $105.0 million shareholder’s loan agreement with Weichai. See additional discussion of this debt agreement in Note 6. </w:t>
      </w:r>
      <w:r>
        <w:rPr>
          <w:rFonts w:ascii="Times New Roman" w:cs="Times New Roman" w:eastAsia="Times New Roman" w:hAnsi="Times New Roman"/>
          <w:sz w:val="18"/>
          <w:szCs w:val="18"/>
          <w:i w:val="1"/>
          <w:iCs w:val="1"/>
          <w:color w:val="auto"/>
        </w:rPr>
        <w:t>Debt.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Weichai Collaboration Arrangement and Related Party Transactions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and Weichai executed a strategic collaboration agreement (the “Collaboration Agreement”) in March 2017 in order to achieve their respective strategic objectives and enhance the strategic cooperation alliance to share experiences, expertise and resources. Among other things, the Collaboration Agreement established a joint steering committee, permitted Weichai to select a limited number of certain technical, marketing, sales, procurement and finance personnel to work at the Company and established several collaborations related to stationary natural-gas applications and Weichai diesel engines. The Collaboration Agreement provided for the steering committee to create various sub-committees with operating roles and otherwise governs the treatment of intellectual property of parties prior to the collaboration and the intellectual property developed during the collaboration. On March 22, 2023, the Collaboration Agreement was extended for an additional term of three years.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evaluates whether an arrangement is a collaborative arrangement at its inception based on the facts and circumstances specific to the arrangement. The Company also reevaluates whether an arrangement qualifies or continues to qualify as a collaborative arrangement whenever there is a change in either the roles of the participants or the participants’ exposure to significant risks and rewards dependent on the ultimate commercial success of the endeavor. For those collaborative arrangements where it is determined that the Company is the principal participant, costs incurred and revenue generated from third parties are recorded on a gross basis in the financial statements. Purchases of inventory from Weichai were $13.2 million and $19.9 million for the three and nine months ended September 30, 2024, respectively. Purchases of inventory from Weichai were $0.5 million and $4.3 million for the three and nine months ended September 30, 2023, respectively.</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2022, PSI and Societe Internationale des Moteurs Baudouin (“Baudouin”), a subsidiary of Weichai, entered into an international distribution and sales agreement that enables Baudouin to bring PSI’s power systems line of products into the European, Middle Eastern, and African markets. In addition to sales, Baudouin will manage service, support, warranty claims, and technical requests. Refer to the Consolidated Balance Sheet and Statements of Income for detailed related party information.</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by type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0" w:type="dxa"/>
            <w:vAlign w:val="bottom"/>
          </w:tcPr>
          <w:p>
            <w:pPr>
              <w:spacing w:after="0"/>
              <w:rPr>
                <w:sz w:val="18"/>
                <w:szCs w:val="18"/>
                <w:color w:val="auto"/>
              </w:rPr>
            </w:pPr>
          </w:p>
        </w:tc>
        <w:tc>
          <w:tcPr>
            <w:tcW w:w="22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As of September 30, 2024</w:t>
            </w:r>
          </w:p>
        </w:tc>
        <w:tc>
          <w:tcPr>
            <w:tcW w:w="180" w:type="dxa"/>
            <w:vAlign w:val="bottom"/>
          </w:tcPr>
          <w:p>
            <w:pPr>
              <w:spacing w:after="0"/>
              <w:rPr>
                <w:sz w:val="18"/>
                <w:szCs w:val="18"/>
                <w:color w:val="auto"/>
              </w:rPr>
            </w:pPr>
          </w:p>
        </w:tc>
        <w:tc>
          <w:tcPr>
            <w:tcW w:w="20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r>
      <w:tr>
        <w:trPr>
          <w:trHeight w:val="199"/>
        </w:trPr>
        <w:tc>
          <w:tcPr>
            <w:tcW w:w="6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w:t>
            </w:r>
          </w:p>
        </w:tc>
        <w:tc>
          <w:tcPr>
            <w:tcW w:w="200" w:type="dxa"/>
            <w:vAlign w:val="bottom"/>
            <w:tcBorders>
              <w:top w:val="single" w:sz="8" w:color="auto"/>
            </w:tcBorders>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r>
      <w:tr>
        <w:trPr>
          <w:trHeight w:val="213"/>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Leasehold improvements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6,987</w:t>
            </w:r>
          </w:p>
        </w:tc>
      </w:tr>
      <w:tr>
        <w:trPr>
          <w:trHeight w:val="21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Machinery and equipment</w:t>
            </w:r>
          </w:p>
        </w:tc>
        <w:tc>
          <w:tcPr>
            <w:tcW w:w="2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46,964</w:t>
            </w:r>
          </w:p>
        </w:tc>
      </w:tr>
      <w:tr>
        <w:trPr>
          <w:trHeight w:val="213"/>
        </w:trPr>
        <w:tc>
          <w:tcPr>
            <w:tcW w:w="6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2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1,654</w:t>
            </w:r>
          </w:p>
        </w:tc>
      </w:tr>
      <w:tr>
        <w:trPr>
          <w:trHeight w:val="21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property, plant and equipment, at cost</w:t>
            </w:r>
          </w:p>
        </w:tc>
        <w:tc>
          <w:tcPr>
            <w:tcW w:w="20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55,605</w:t>
            </w:r>
          </w:p>
        </w:tc>
      </w:tr>
      <w:tr>
        <w:trPr>
          <w:trHeight w:val="213"/>
        </w:trPr>
        <w:tc>
          <w:tcPr>
            <w:tcW w:w="6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(43,235)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(40,677)</w:t>
            </w:r>
          </w:p>
        </w:tc>
      </w:tr>
      <w:tr>
        <w:trPr>
          <w:trHeight w:val="237"/>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14,928</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4" w:name="page15"/>
    <w:bookmarkEnd w:id="1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5.</w:t>
        <w:tab/>
        <w:t>Goodwill and Other Intangibles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amount of goodwill at both September 30, 2024 and December 31, 2023 was $29.8 million. Accumulated impairment losses at both September 30, 2024 and December 31, 2023 were $11.6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intangible assets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As of September 30, 2024</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Gross Carrying Value</w:t>
            </w:r>
          </w:p>
        </w:tc>
        <w:tc>
          <w:tcPr>
            <w:tcW w:w="280" w:type="dxa"/>
            <w:vAlign w:val="bottom"/>
          </w:tcPr>
          <w:p>
            <w:pPr>
              <w:spacing w:after="0"/>
              <w:rPr>
                <w:sz w:val="13"/>
                <w:szCs w:val="13"/>
                <w:color w:val="auto"/>
              </w:rPr>
            </w:pPr>
          </w:p>
        </w:tc>
        <w:tc>
          <w:tcPr>
            <w:tcW w:w="1720" w:type="dxa"/>
            <w:vAlign w:val="bottom"/>
            <w:gridSpan w:val="2"/>
          </w:tcPr>
          <w:p>
            <w:pPr>
              <w:jc w:val="center"/>
              <w:ind w:right="40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3"/>
                <w:szCs w:val="13"/>
                <w:color w:val="auto"/>
              </w:rPr>
            </w:pPr>
          </w:p>
        </w:tc>
        <w:tc>
          <w:tcPr>
            <w:tcW w:w="164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Net Book Value</w:t>
            </w:r>
          </w:p>
        </w:tc>
        <w:tc>
          <w:tcPr>
            <w:tcW w:w="0" w:type="dxa"/>
            <w:vAlign w:val="bottom"/>
          </w:tcPr>
          <w:p>
            <w:pPr>
              <w:spacing w:after="0"/>
              <w:rPr>
                <w:sz w:val="1"/>
                <w:szCs w:val="1"/>
                <w:color w:val="auto"/>
              </w:rPr>
            </w:pPr>
          </w:p>
        </w:tc>
      </w:tr>
      <w:tr>
        <w:trPr>
          <w:trHeight w:val="214"/>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Customer relationships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34,940</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(32,240)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0" w:type="dxa"/>
            <w:vAlign w:val="bottom"/>
          </w:tcPr>
          <w:p>
            <w:pPr>
              <w:spacing w:after="0"/>
              <w:rPr>
                <w:sz w:val="1"/>
                <w:szCs w:val="1"/>
                <w:color w:val="auto"/>
              </w:rPr>
            </w:pPr>
          </w:p>
        </w:tc>
      </w:tr>
      <w:tr>
        <w:trPr>
          <w:trHeight w:val="213"/>
        </w:trPr>
        <w:tc>
          <w:tcPr>
            <w:tcW w:w="5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Developed technology</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Trade names and trademarks</w:t>
            </w:r>
          </w:p>
        </w:tc>
        <w:tc>
          <w:tcPr>
            <w:tcW w:w="1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12"/>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37,340</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(34,521)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Gross Carrying Value</w:t>
            </w:r>
          </w:p>
        </w:tc>
        <w:tc>
          <w:tcPr>
            <w:tcW w:w="100" w:type="dxa"/>
            <w:vAlign w:val="bottom"/>
          </w:tcPr>
          <w:p>
            <w:pPr>
              <w:spacing w:after="0"/>
              <w:rPr>
                <w:sz w:val="13"/>
                <w:szCs w:val="13"/>
                <w:color w:val="auto"/>
              </w:rPr>
            </w:pPr>
          </w:p>
        </w:tc>
        <w:tc>
          <w:tcPr>
            <w:tcW w:w="19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3"/>
                <w:szCs w:val="13"/>
                <w:color w:val="auto"/>
              </w:rPr>
            </w:pPr>
          </w:p>
        </w:tc>
        <w:tc>
          <w:tcPr>
            <w:tcW w:w="164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Net Book Value</w:t>
            </w:r>
          </w:p>
        </w:tc>
        <w:tc>
          <w:tcPr>
            <w:tcW w:w="0" w:type="dxa"/>
            <w:vAlign w:val="bottom"/>
          </w:tcPr>
          <w:p>
            <w:pPr>
              <w:spacing w:after="0"/>
              <w:rPr>
                <w:sz w:val="1"/>
                <w:szCs w:val="1"/>
                <w:color w:val="auto"/>
              </w:rPr>
            </w:pPr>
          </w:p>
        </w:tc>
      </w:tr>
      <w:tr>
        <w:trPr>
          <w:trHeight w:val="214"/>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Customer relationships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0" w:type="dxa"/>
            <w:vAlign w:val="bottom"/>
          </w:tcPr>
          <w:p>
            <w:pPr>
              <w:spacing w:after="0"/>
              <w:rPr>
                <w:sz w:val="1"/>
                <w:szCs w:val="1"/>
                <w:color w:val="auto"/>
              </w:rPr>
            </w:pPr>
          </w:p>
        </w:tc>
      </w:tr>
      <w:tr>
        <w:trPr>
          <w:trHeight w:val="213"/>
        </w:trPr>
        <w:tc>
          <w:tcPr>
            <w:tcW w:w="5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Developed technology</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Trade names and trademarks</w:t>
            </w:r>
          </w:p>
        </w:tc>
        <w:tc>
          <w:tcPr>
            <w:tcW w:w="1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12"/>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37,340</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(33,426)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3,914</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5" w:name="page16"/>
    <w:bookmarkEnd w:id="1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6.</w:t>
        <w:tab/>
        <w:t>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outstanding debt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00" w:type="dxa"/>
            <w:vAlign w:val="bottom"/>
          </w:tcPr>
          <w:p>
            <w:pPr>
              <w:spacing w:after="0"/>
              <w:rPr>
                <w:sz w:val="18"/>
                <w:szCs w:val="18"/>
                <w:color w:val="auto"/>
              </w:rPr>
            </w:pPr>
          </w:p>
        </w:tc>
        <w:tc>
          <w:tcPr>
            <w:tcW w:w="264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As of September 30, 2024</w:t>
            </w:r>
          </w:p>
        </w:tc>
        <w:tc>
          <w:tcPr>
            <w:tcW w:w="280" w:type="dxa"/>
            <w:vAlign w:val="bottom"/>
          </w:tcPr>
          <w:p>
            <w:pPr>
              <w:spacing w:after="0"/>
              <w:rPr>
                <w:sz w:val="18"/>
                <w:szCs w:val="18"/>
                <w:color w:val="auto"/>
              </w:rPr>
            </w:pPr>
          </w:p>
        </w:tc>
        <w:tc>
          <w:tcPr>
            <w:tcW w:w="25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00" w:type="dxa"/>
            <w:vAlign w:val="bottom"/>
            <w:tcBorders>
              <w:top w:val="single" w:sz="8" w:color="auto"/>
              <w:bottom w:val="single" w:sz="8" w:color="auto"/>
            </w:tcBorders>
          </w:tcPr>
          <w:p>
            <w:pPr>
              <w:ind w:left="40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Rate </w:t>
            </w:r>
            <w:r>
              <w:rPr>
                <w:rFonts w:ascii="Times New Roman" w:cs="Times New Roman" w:eastAsia="Times New Roman" w:hAnsi="Times New Roman"/>
                <w:sz w:val="21"/>
                <w:szCs w:val="21"/>
                <w:b w:val="1"/>
                <w:bCs w:val="1"/>
                <w:color w:val="auto"/>
                <w:vertAlign w:val="superscript"/>
              </w:rPr>
              <w:t>(3)</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20" w:type="dxa"/>
            <w:vAlign w:val="bottom"/>
            <w:tcBorders>
              <w:top w:val="single" w:sz="8" w:color="auto"/>
              <w:bottom w:val="single" w:sz="8" w:color="auto"/>
            </w:tcBorders>
          </w:tcPr>
          <w:p>
            <w:pPr>
              <w:ind w:left="4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Rate </w:t>
            </w:r>
            <w:r>
              <w:rPr>
                <w:rFonts w:ascii="Times New Roman" w:cs="Times New Roman" w:eastAsia="Times New Roman" w:hAnsi="Times New Roman"/>
                <w:sz w:val="21"/>
                <w:szCs w:val="21"/>
                <w:b w:val="1"/>
                <w:bCs w:val="1"/>
                <w:color w:val="auto"/>
                <w:vertAlign w:val="superscript"/>
              </w:rPr>
              <w:t>(3)</w:t>
            </w:r>
          </w:p>
        </w:tc>
        <w:tc>
          <w:tcPr>
            <w:tcW w:w="18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0" w:type="dxa"/>
            <w:vAlign w:val="bottom"/>
          </w:tcPr>
          <w:p>
            <w:pPr>
              <w:spacing w:after="0"/>
              <w:rPr>
                <w:sz w:val="1"/>
                <w:szCs w:val="1"/>
                <w:color w:val="auto"/>
              </w:rPr>
            </w:pPr>
          </w:p>
        </w:tc>
      </w:tr>
      <w:tr>
        <w:trPr>
          <w:trHeight w:val="19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Short-term financing:</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Revolving Credit Agreement </w:t>
            </w:r>
            <w:r>
              <w:rPr>
                <w:rFonts w:ascii="Times New Roman" w:cs="Times New Roman" w:eastAsia="Times New Roman" w:hAnsi="Times New Roman"/>
                <w:sz w:val="21"/>
                <w:szCs w:val="21"/>
                <w:color w:val="auto"/>
                <w:vertAlign w:val="superscript"/>
              </w:rPr>
              <w:t>1</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7.20%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30, 2025</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Credit Agreement </w:t>
            </w:r>
            <w:r>
              <w:rPr>
                <w:rFonts w:ascii="Times New Roman" w:cs="Times New Roman" w:eastAsia="Times New Roman" w:hAnsi="Times New Roman"/>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8.71%</w:t>
            </w: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21, 2025</w:t>
            </w:r>
          </w:p>
        </w:tc>
        <w:tc>
          <w:tcPr>
            <w:tcW w:w="0" w:type="dxa"/>
            <w:vAlign w:val="bottom"/>
          </w:tcPr>
          <w:p>
            <w:pPr>
              <w:spacing w:after="0"/>
              <w:rPr>
                <w:sz w:val="1"/>
                <w:szCs w:val="1"/>
                <w:color w:val="auto"/>
              </w:rPr>
            </w:pPr>
          </w:p>
        </w:tc>
      </w:tr>
      <w:tr>
        <w:trPr>
          <w:trHeight w:val="226"/>
        </w:trPr>
        <w:tc>
          <w:tcPr>
            <w:tcW w:w="3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Shareholder’s Loan Agreement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31, 2025</w:t>
            </w:r>
          </w:p>
        </w:tc>
        <w:tc>
          <w:tcPr>
            <w:tcW w:w="0" w:type="dxa"/>
            <w:vAlign w:val="bottom"/>
          </w:tcPr>
          <w:p>
            <w:pPr>
              <w:spacing w:after="0"/>
              <w:rPr>
                <w:sz w:val="1"/>
                <w:szCs w:val="1"/>
                <w:color w:val="auto"/>
              </w:rPr>
            </w:pPr>
          </w:p>
        </w:tc>
      </w:tr>
      <w:tr>
        <w:trPr>
          <w:trHeight w:val="233"/>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$25 Million Loan Agreement</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9.44%</w:t>
            </w: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May 20, 2025</w:t>
            </w:r>
          </w:p>
        </w:tc>
        <w:tc>
          <w:tcPr>
            <w:tcW w:w="0" w:type="dxa"/>
            <w:vAlign w:val="bottom"/>
          </w:tcPr>
          <w:p>
            <w:pPr>
              <w:spacing w:after="0"/>
              <w:rPr>
                <w:sz w:val="1"/>
                <w:szCs w:val="1"/>
                <w:color w:val="auto"/>
              </w:rPr>
            </w:pPr>
          </w:p>
        </w:tc>
      </w:tr>
      <w:tr>
        <w:trPr>
          <w:trHeight w:val="227"/>
        </w:trPr>
        <w:tc>
          <w:tcPr>
            <w:tcW w:w="3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$50 Million Loan Agreement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9.44%</w:t>
            </w:r>
          </w:p>
        </w:tc>
        <w:tc>
          <w:tcPr>
            <w:tcW w:w="1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30, 2024</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$30 Million Loan Agreement</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9.41%</w:t>
            </w: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2025</w:t>
            </w:r>
          </w:p>
        </w:tc>
        <w:tc>
          <w:tcPr>
            <w:tcW w:w="0" w:type="dxa"/>
            <w:vAlign w:val="bottom"/>
          </w:tcPr>
          <w:p>
            <w:pPr>
              <w:spacing w:after="0"/>
              <w:rPr>
                <w:sz w:val="1"/>
                <w:szCs w:val="1"/>
                <w:color w:val="auto"/>
              </w:rPr>
            </w:pPr>
          </w:p>
        </w:tc>
      </w:tr>
      <w:tr>
        <w:trPr>
          <w:trHeight w:val="21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short-term debt</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135,000</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144,820</w:t>
            </w:r>
          </w:p>
        </w:tc>
        <w:tc>
          <w:tcPr>
            <w:tcW w:w="1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debt:</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Finance leases and other debt</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Various</w:t>
            </w:r>
          </w:p>
        </w:tc>
        <w:tc>
          <w:tcPr>
            <w:tcW w:w="0" w:type="dxa"/>
            <w:vAlign w:val="bottom"/>
          </w:tcPr>
          <w:p>
            <w:pPr>
              <w:spacing w:after="0"/>
              <w:rPr>
                <w:sz w:val="1"/>
                <w:szCs w:val="1"/>
                <w:color w:val="auto"/>
              </w:rPr>
            </w:pPr>
          </w:p>
        </w:tc>
      </w:tr>
      <w:tr>
        <w:trPr>
          <w:trHeight w:val="207"/>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long-term debt and finance leases</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660" w:type="dxa"/>
            <w:vAlign w:val="bottom"/>
            <w:shd w:val="clear" w:color="auto" w:fill="CCEEFF"/>
          </w:tcPr>
          <w:p>
            <w:pPr>
              <w:ind w:left="480"/>
              <w:spacing w:after="0" w:line="165" w:lineRule="exact"/>
              <w:rPr>
                <w:sz w:val="20"/>
                <w:szCs w:val="20"/>
                <w:color w:val="auto"/>
              </w:rPr>
            </w:pPr>
            <w:r>
              <w:rPr>
                <w:rFonts w:ascii="Times New Roman" w:cs="Times New Roman" w:eastAsia="Times New Roman" w:hAnsi="Times New Roman"/>
                <w:sz w:val="16"/>
                <w:szCs w:val="16"/>
                <w:color w:val="auto"/>
              </w:rPr>
              <w:t>Less: Current maturities of long-term debt and</w:t>
            </w:r>
          </w:p>
        </w:tc>
        <w:tc>
          <w:tcPr>
            <w:tcW w:w="3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3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finance leases</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debt</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500" w:right="620" w:hanging="441"/>
        <w:spacing w:after="0" w:line="205" w:lineRule="auto"/>
        <w:tabs>
          <w:tab w:leader="none" w:pos="50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Unamortized financing costs and deferred fees on the new Revolving Credit Agreement are not presented in the above table as they are classified in </w:t>
      </w:r>
      <w:r>
        <w:rPr>
          <w:rFonts w:ascii="Times New Roman" w:cs="Times New Roman" w:eastAsia="Times New Roman" w:hAnsi="Times New Roman"/>
          <w:sz w:val="14"/>
          <w:szCs w:val="14"/>
          <w:i w:val="1"/>
          <w:iCs w:val="1"/>
          <w:color w:val="auto"/>
        </w:rPr>
        <w:t>Prepaid expenses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other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current assets </w:t>
      </w:r>
      <w:r>
        <w:rPr>
          <w:rFonts w:ascii="Times New Roman" w:cs="Times New Roman" w:eastAsia="Times New Roman" w:hAnsi="Times New Roman"/>
          <w:sz w:val="14"/>
          <w:szCs w:val="14"/>
          <w:color w:val="auto"/>
        </w:rPr>
        <w:t>on the Consolidated Balance Sheet. Unamortized debt issuance costs, were $0.6 million as of September 30, 2024.</w:t>
      </w:r>
    </w:p>
    <w:p>
      <w:pPr>
        <w:spacing w:after="0" w:line="15" w:lineRule="exact"/>
        <w:rPr>
          <w:sz w:val="20"/>
          <w:szCs w:val="20"/>
          <w:color w:val="auto"/>
        </w:rPr>
      </w:pPr>
    </w:p>
    <w:p>
      <w:pPr>
        <w:ind w:left="500" w:right="500" w:hanging="441"/>
        <w:spacing w:after="0" w:line="204" w:lineRule="auto"/>
        <w:tabs>
          <w:tab w:leader="none" w:pos="50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of December 31, 2023, unamortized financing costs and deferred fees on the Credit Agreement were not presented in the above table as they are classified in Prepaid expenses and other current assets on the Consolidated Balance Sheet. Unamortized debt issuance costs were $0.2 million as of December 31, 2023.</w:t>
      </w:r>
    </w:p>
    <w:p>
      <w:pPr>
        <w:ind w:left="500" w:hanging="441"/>
        <w:spacing w:after="0" w:line="223" w:lineRule="auto"/>
        <w:tabs>
          <w:tab w:leader="none" w:pos="50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the weighted average interest rate.</w:t>
      </w:r>
    </w:p>
    <w:p>
      <w:pPr>
        <w:spacing w:after="0" w:line="30" w:lineRule="exact"/>
        <w:rPr>
          <w:sz w:val="20"/>
          <w:szCs w:val="20"/>
          <w:color w:val="auto"/>
        </w:rPr>
      </w:pPr>
    </w:p>
    <w:p>
      <w:pPr>
        <w:ind w:left="500" w:hanging="490"/>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Finance lease obligations are a non-cash financing activity. See Note 8. Leases.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and Shareholder’s Loan Agreement</w:t>
      </w:r>
    </w:p>
    <w:p>
      <w:pPr>
        <w:spacing w:after="0" w:line="1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August 30, 2024, the Company closed on its new Uncommitted Revolving Credit Agreement (the “Revolving Credit Agreement”), with Standard Chartered Bank (“Standard Chartered”) and two other lenders. The Revolving Credit Agreement allows the Company to borrow up to $120.0 million and has a maturity date of August 30, 2025. The Revolving Credit Agreement is subject to customary events of default and covenants, including minimum consolidated EBITDA and Consolidated Interest Coverage Ratio covenants for the third and fourth quarters of 2024 and the first and second quarters of 2025. Borrowings under the Revolving Credit Agreement will incur interest at the applicable Secured Overnight Financing Rate (“SOFR”) plus 2.00% per annum. The obligations under the Revolving Credit Agreement are unconditionally guaranteed, on a joint and several basis, by certain wholly-owned, existing and subsequently acquired or formed direct and indirect domestic subsidiaries of the Company, subject to customary exceptions. The obligations under the Revolving Credit Agreement are secured by substantially all assets of the Company and the Company’s wholly-owned subsidiaries. In addition, the Company paid fees of $0.6 million related to the Revolving Credit Agreement which are deferred and amortized over the term of the Revolving Credit Agreement.</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closing of the Revolving Credit Agreement, the Company made an initial draw in the amount of $100.0 million. The Company utilized the amount drawn under the Revolving Credit Agreement (i) to repay the outstanding balance of approximately $40 million under the Company’s Fourth Amended and Restated Uncommitted Revolving Credit Agreement, dated March 22, 2024, by and among the Company and Standard Chartered; and (ii) to prepay approximately $60.0 million under the following shareholder loan agreements between PSI and Weichai: the $30 Million Loan Agreement, dated as of March 22, 2024, the $25 Million Loan Agreement, dated as of May 20, 2024, and the $50 Million Loan Agreement, dated as of November 29, 2023. As of September 30, 2024, the Company had $100.0 million outstanding under the Revolving Credit Agreement. No gain or loss on extinguishment was recorded. See further discussion below.</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Revolving Credit Agreement, on August 30, 2024, the Company also entered into a new Shareholder’s Loan Agreement (the “Shareholder’s Loan Agreement”) with Weichai, which allows the Company to borrow up to $105.0 million and expires August 31, 2025. Borrowings under the Shareholder’s Loan Agreement will incur interest at the applicable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6" w:name="page17"/>
    <w:bookmarkEnd w:id="16"/>
    <w:p>
      <w:pPr>
        <w:jc w:val="both"/>
        <w:spacing w:after="0" w:line="255" w:lineRule="auto"/>
        <w:rPr>
          <w:sz w:val="20"/>
          <w:szCs w:val="20"/>
          <w:color w:val="auto"/>
        </w:rPr>
      </w:pPr>
      <w:r>
        <w:rPr>
          <w:rFonts w:ascii="Times New Roman" w:cs="Times New Roman" w:eastAsia="Times New Roman" w:hAnsi="Times New Roman"/>
          <w:sz w:val="18"/>
          <w:szCs w:val="18"/>
          <w:color w:val="auto"/>
        </w:rPr>
        <w:t>SOFR, plus 4.05% per annum. If the interest rate for any loan is lower than Weichai’s borrowing cost, the interest rate for such loan shall be equal to Weichai’s borrowing cost plus 1.0%. The borrowing requests made under the Shareholder’s Loan Agreement are subject to Weichai’s discretionary approval. The payment of the borrowings under the Shareholder’s Loan Agreement is subordinated in all respects to the Revolving Credit Agreement with the exception that the Company is allowed to make a single payment of $10.0 million to Weichai. The $60.0 million portion of the initial advance under the Revolving Credit Agreement was applied to pay all principal, interest, and other amounts outstanding under the $30 Million Loan Agreement, the $25 Million Loan Agreement, and the $50 Million Loan Agreement, except for $35.0 million which is the outstanding principal balance under the Shareholder’s Loan Agreement as of September 30, 2024.</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22, 2024, the Company amended and restated its $130.0 million Third Amended and Restated Uncommitted Revolving Credit Agreement with Standard Chartered. The Fourth Amended and Restated Uncommitted Revolving Credit Agreement (the “Credit Agreement”) reduced the borrowing capacity to $50.0 million and extended the maturity date of loans outstanding under its previous credit facility to the earlier of March 21, 2025 or the demand of Standard Chartered. The Credit Agreement was subject to customary events of default and covenants, including minimum consolidated EBITDA and Consolidated Interest Coverage Ratio covenants for the second and third quarters of 2024. Borrowings under the Credit Agreement incurred interest at either the alternate base rate or the SOFR plus applicable rate of 3.45% per annum. In addition, the Company paid fees of $0.1 million related to the Credit Agreement which were deferred and amortized over the term of the Credit Agreement. The Credit Agreement was secured by substantially all of the Company’s assets and provided Standard Chartered the right to demand payment of any and all of the outstanding borrowings and other amounts owed under the Credit Agreement at any point in time prior to the maturity date at Standard Chartered’s discretion. The Company repaid the outstanding balance of $40.0 million and extinguished the Fourth Amended and Restated Uncommitted Revolving Credit Agreement during the third quarter of 2024.</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22, 2024, the Company amended one of the four shareholder’s loan agreements with Weichai, to among other things, extend the maturities thereof. The $30 Million Loan Agreement provided the Company with a $30.0 million subordinated loan at the discretion of Weichai and was amended to extend the maturity date to March 31, 2025. Borrowings under the $30 Million Loan Agreement bear interest at an annual rate equal to SOFR plus 4.05% per annum. Further, if the applicable SOFR rate is negative, the interest rate per annum shall be deemed as 4.05% per annum. If the interest rate for any loan is lower than Weichai’s borrowing cost, the interest rate for such loan shall be equal to Weichai’s borrowing cost plus 1.0%. All the amended shareholder loan agreements with Weichai were subject to customary events of default and covenants. The Company and Weichai also agreed not to renew the first Amended Shareholder’s Loan Agreement, which expired on April 24, 2024 and provided the Company with a $130.0 million subordinated loan under which Weichai was obligated to advance funds solely for purposes of repaying outstanding borrowings under the $130.0 million Fourth Amended and Restated Uncommitted Revolving Credit Agreement if the Company was unable to pay such borrowings. This shareholder loan agreement was replaced by the new Shareholder’s Loan Agreement.</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was also party to a $50 Million Loan Agreement with Weichai, which was entered into on December 10, 2021. The $50 Million Loan Agreement provided the Company with a $50.0 million uncommitted facility that was subordinated to the Third Amended and Restated Uncommitted Revolving Credit Agreement and any borrowing requests made under the $50 Million Loan Agreement were subject to Weichai’s discretionary approval. Borrowings under the $50 Million Loan Agreement incurred interest at the applicable SOFR, plus 4.65% per annum and could have been used for general corporate purposes, except for certain legal expenditures which required additional approval from Weichai. Further, if the applicable term SOFR was negative, the interest rate per annum should have been deemed as 4.65% per annum. If the interest rate for any loan was lower than Weichai’s borrowing cost, the interest rate for such loan would have been equal to Weichai’s borrowing cost plus 1.0%. This shareholder loan agreement was replaced by the new Shareholder’s Loan Agreement.</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was also party to a $25 Million Loan Agreement with Weichai, which was amended and restated in May 2024. The $25 Million Loan Agreement provided the Company with a $25.0 million subordinated loan. Borrowings under the $25 Million Loan Agreement incurred interest at the applicable SOFR rate, plus 4.05% per annum. Further, if the applicable term SOFR is negative, the interest rate per annum shall be deemed as 4.05% per annum. If the interest rate for any loan under the $25 Million Loan Agreement is lower than Weichai’s borrowing cost, the interest rate for such loan shall be equal to Weichai’s borrowing cost plus 1.0%. This shareholder loan agreement was replaced by the new Shareholder’s Loan Agreement.</w:t>
      </w:r>
    </w:p>
    <w:p>
      <w:pPr>
        <w:spacing w:after="0" w:line="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September 30, 2024, the Company’s total outstanding debt obligations under the Revolving Credit Agreement, the Shareholder’s Loan Agreement, and for finance leases and other debt were $135.2 million in the aggregate and its cash and cash equivalents were $40.5 million. The Company's total accrued interest for the Revolving Credit Agreement and Shareholder’s Loan Agreement was $2.4 million as of September 30, 2024. The Company’s total accrued interest for its Fourth Amended and Restated Uncommitted Revolving Credit Agreement and all shareholder loans was $1.9 million as December 31, 2023. Accrued interest is included within Other Accrued Liabilities on the Consolidated Balance Sheet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color w:val="auto"/>
        </w:rPr>
        <w:t xml:space="preserve">See Note 1. </w:t>
      </w:r>
      <w:r>
        <w:rPr>
          <w:rFonts w:ascii="Times New Roman" w:cs="Times New Roman" w:eastAsia="Times New Roman" w:hAnsi="Times New Roman"/>
          <w:sz w:val="17"/>
          <w:szCs w:val="17"/>
          <w:i w:val="1"/>
          <w:iCs w:val="1"/>
          <w:color w:val="auto"/>
        </w:rPr>
        <w:t>Summary of Significant Accounting Policies and Other Information</w:t>
      </w:r>
      <w:r>
        <w:rPr>
          <w:rFonts w:ascii="Times New Roman" w:cs="Times New Roman" w:eastAsia="Times New Roman" w:hAnsi="Times New Roman"/>
          <w:sz w:val="17"/>
          <w:szCs w:val="17"/>
          <w:color w:val="auto"/>
        </w:rPr>
        <w:t xml:space="preserve"> for further discussion of the Company’s going concern considerations.</w:t>
      </w:r>
    </w:p>
    <w:p>
      <w:pPr>
        <w:sectPr>
          <w:pgSz w:w="11900" w:h="16838" w:orient="portrait"/>
          <w:cols w:equalWidth="0" w:num="1">
            <w:col w:w="10860"/>
          </w:cols>
          <w:pgMar w:left="320" w:top="1105" w:right="71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105" w:right="71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7. Other Non-current Liabilities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14, 2024, the Company executed a non-interest bearing note payable of $4.5 million upon settlement of a legal matter. The note payable is due May 2028 and is discounted based on an imputed interest rate of 6.66%. The note payable includes an option for the Company to extend maturity of the note to September 2029 upon written notice before the thirty-seventh payment and the maximum payment amount of the note increases to $4.8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portion of the note of $0.7 million is included in other accrued liabilities in the Company’s Consolidated Balance Sheets.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w w:val="99"/>
              </w:rPr>
              <w:t>As of September 30, 2024</w:t>
            </w:r>
          </w:p>
        </w:tc>
        <w:tc>
          <w:tcPr>
            <w:tcW w:w="0" w:type="dxa"/>
            <w:vAlign w:val="bottom"/>
          </w:tcPr>
          <w:p>
            <w:pPr>
              <w:spacing w:after="0"/>
              <w:rPr>
                <w:sz w:val="1"/>
                <w:szCs w:val="1"/>
                <w:color w:val="auto"/>
              </w:rPr>
            </w:pPr>
          </w:p>
        </w:tc>
      </w:tr>
      <w:tr>
        <w:trPr>
          <w:trHeight w:val="20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w:t>
            </w:r>
          </w:p>
        </w:tc>
        <w:tc>
          <w:tcPr>
            <w:tcW w:w="0" w:type="dxa"/>
            <w:vAlign w:val="bottom"/>
          </w:tcPr>
          <w:p>
            <w:pPr>
              <w:spacing w:after="0"/>
              <w:rPr>
                <w:sz w:val="1"/>
                <w:szCs w:val="1"/>
                <w:color w:val="auto"/>
              </w:rPr>
            </w:pPr>
          </w:p>
        </w:tc>
      </w:tr>
      <w:tr>
        <w:trPr>
          <w:trHeight w:val="229"/>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discount</w:t>
            </w: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0" w:type="dxa"/>
            <w:vAlign w:val="bottom"/>
          </w:tcPr>
          <w:p>
            <w:pPr>
              <w:spacing w:after="0"/>
              <w:rPr>
                <w:sz w:val="1"/>
                <w:szCs w:val="1"/>
                <w:color w:val="auto"/>
              </w:rPr>
            </w:pPr>
          </w:p>
        </w:tc>
      </w:tr>
      <w:tr>
        <w:trPr>
          <w:trHeight w:val="235"/>
        </w:trPr>
        <w:tc>
          <w:tcPr>
            <w:tcW w:w="8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3,136</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remaining maturities for the note payable as of September 30, 2024:</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Maturities</w:t>
            </w:r>
          </w:p>
        </w:tc>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Discount Amortization</w:t>
            </w:r>
          </w:p>
        </w:tc>
      </w:tr>
      <w:tr>
        <w:trPr>
          <w:trHeight w:val="210"/>
        </w:trPr>
        <w:tc>
          <w:tcPr>
            <w:tcW w:w="6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Three months ending December 31, 2024</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3"/>
        </w:trPr>
        <w:tc>
          <w:tcPr>
            <w:tcW w:w="66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Year ending December 31, 2025</w:t>
            </w:r>
          </w:p>
        </w:tc>
        <w:tc>
          <w:tcPr>
            <w:tcW w:w="4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19"/>
        </w:trPr>
        <w:tc>
          <w:tcPr>
            <w:tcW w:w="6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Year ending December 31, 2026</w:t>
            </w:r>
          </w:p>
        </w:tc>
        <w:tc>
          <w:tcPr>
            <w:tcW w:w="4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3"/>
        </w:trPr>
        <w:tc>
          <w:tcPr>
            <w:tcW w:w="66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Year ending December 31, 2027</w:t>
            </w:r>
          </w:p>
        </w:tc>
        <w:tc>
          <w:tcPr>
            <w:tcW w:w="4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6"/>
        </w:trPr>
        <w:tc>
          <w:tcPr>
            <w:tcW w:w="6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Year ending December 31, 2028</w:t>
            </w:r>
          </w:p>
        </w:tc>
        <w:tc>
          <w:tcPr>
            <w:tcW w:w="40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2"/>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note payable</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w:t>
            </w:r>
          </w:p>
        </w:tc>
      </w:tr>
      <w:tr>
        <w:trPr>
          <w:trHeight w:val="20"/>
        </w:trPr>
        <w:tc>
          <w:tcPr>
            <w:tcW w:w="6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less than $0.1 million discount amortization as interest expense as of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9" w:name="page20"/>
    <w:bookmarkEnd w:id="19"/>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8.</w:t>
        <w:tab/>
        <w:t>Leases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obligations under lease arrangements primarily for facilities, equipment and vehicles. These leases have original lease periods expiring between September 2025 and July 2034. The following table summarizes the lease expense by category in the Consolidated Statement of Income: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tcPr>
          <w:p>
            <w:pPr>
              <w:spacing w:after="0"/>
              <w:rPr>
                <w:sz w:val="18"/>
                <w:szCs w:val="18"/>
                <w:color w:val="auto"/>
              </w:rPr>
            </w:pPr>
          </w:p>
        </w:tc>
        <w:tc>
          <w:tcPr>
            <w:tcW w:w="370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260" w:type="dxa"/>
            <w:vAlign w:val="bottom"/>
          </w:tcPr>
          <w:p>
            <w:pPr>
              <w:spacing w:after="0"/>
              <w:rPr>
                <w:sz w:val="18"/>
                <w:szCs w:val="18"/>
                <w:color w:val="auto"/>
              </w:rPr>
            </w:pPr>
          </w:p>
        </w:tc>
        <w:tc>
          <w:tcPr>
            <w:tcW w:w="358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1"/>
        </w:trPr>
        <w:tc>
          <w:tcPr>
            <w:tcW w:w="34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6,214</w:t>
            </w:r>
          </w:p>
        </w:tc>
      </w:tr>
      <w:tr>
        <w:trPr>
          <w:trHeight w:val="21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1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3"/>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37"/>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6,540</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lease expense: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tcPr>
          <w:p>
            <w:pPr>
              <w:spacing w:after="0"/>
              <w:rPr>
                <w:sz w:val="18"/>
                <w:szCs w:val="18"/>
                <w:color w:val="auto"/>
              </w:rPr>
            </w:pPr>
          </w:p>
        </w:tc>
        <w:tc>
          <w:tcPr>
            <w:tcW w:w="374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280" w:type="dxa"/>
            <w:vAlign w:val="bottom"/>
          </w:tcPr>
          <w:p>
            <w:pPr>
              <w:spacing w:after="0"/>
              <w:rPr>
                <w:sz w:val="18"/>
                <w:szCs w:val="18"/>
                <w:color w:val="auto"/>
              </w:rPr>
            </w:pPr>
          </w:p>
        </w:tc>
        <w:tc>
          <w:tcPr>
            <w:tcW w:w="360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0" w:type="dxa"/>
            <w:vAlign w:val="bottom"/>
          </w:tcPr>
          <w:p>
            <w:pPr>
              <w:spacing w:after="0"/>
              <w:rPr>
                <w:sz w:val="1"/>
                <w:szCs w:val="1"/>
                <w:color w:val="auto"/>
              </w:rPr>
            </w:pPr>
          </w:p>
        </w:tc>
      </w:tr>
      <w:tr>
        <w:trPr>
          <w:trHeight w:val="211"/>
        </w:trPr>
        <w:tc>
          <w:tcPr>
            <w:tcW w:w="33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 cost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4,353</w:t>
            </w:r>
          </w:p>
        </w:tc>
        <w:tc>
          <w:tcPr>
            <w:tcW w:w="0" w:type="dxa"/>
            <w:vAlign w:val="bottom"/>
          </w:tcPr>
          <w:p>
            <w:pPr>
              <w:spacing w:after="0"/>
              <w:rPr>
                <w:sz w:val="1"/>
                <w:szCs w:val="1"/>
                <w:color w:val="auto"/>
              </w:rPr>
            </w:pPr>
          </w:p>
        </w:tc>
      </w:tr>
      <w:tr>
        <w:trPr>
          <w:trHeight w:val="213"/>
        </w:trPr>
        <w:tc>
          <w:tcPr>
            <w:tcW w:w="3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Finance lease cost</w:t>
            </w: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360" w:type="dxa"/>
            <w:vAlign w:val="bottom"/>
            <w:shd w:val="clear" w:color="auto" w:fill="CCEEFF"/>
          </w:tcPr>
          <w:p>
            <w:pPr>
              <w:ind w:left="480"/>
              <w:spacing w:after="0" w:line="165" w:lineRule="exact"/>
              <w:rPr>
                <w:sz w:val="20"/>
                <w:szCs w:val="20"/>
                <w:color w:val="auto"/>
              </w:rPr>
            </w:pPr>
            <w:r>
              <w:rPr>
                <w:rFonts w:ascii="Times New Roman" w:cs="Times New Roman" w:eastAsia="Times New Roman" w:hAnsi="Times New Roman"/>
                <w:sz w:val="16"/>
                <w:szCs w:val="16"/>
                <w:color w:val="auto"/>
              </w:rPr>
              <w:t>Amortization of right-of-use (“ROU”)</w:t>
            </w:r>
          </w:p>
        </w:tc>
        <w:tc>
          <w:tcPr>
            <w:tcW w:w="26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asset</w:t>
            </w:r>
          </w:p>
        </w:tc>
        <w:tc>
          <w:tcPr>
            <w:tcW w:w="26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Short-term lease cost</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0" w:type="dxa"/>
            <w:vAlign w:val="bottom"/>
          </w:tcPr>
          <w:p>
            <w:pPr>
              <w:spacing w:after="0"/>
              <w:rPr>
                <w:sz w:val="1"/>
                <w:szCs w:val="1"/>
                <w:color w:val="auto"/>
              </w:rPr>
            </w:pPr>
          </w:p>
        </w:tc>
      </w:tr>
      <w:tr>
        <w:trPr>
          <w:trHeight w:val="213"/>
        </w:trPr>
        <w:tc>
          <w:tcPr>
            <w:tcW w:w="3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Variable lease cost</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Sublease income</w:t>
            </w:r>
          </w:p>
        </w:tc>
        <w:tc>
          <w:tcPr>
            <w:tcW w:w="2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0" w:type="dxa"/>
            <w:vAlign w:val="bottom"/>
          </w:tcPr>
          <w:p>
            <w:pPr>
              <w:spacing w:after="0"/>
              <w:rPr>
                <w:sz w:val="1"/>
                <w:szCs w:val="1"/>
                <w:color w:val="auto"/>
              </w:rPr>
            </w:pPr>
          </w:p>
        </w:tc>
      </w:tr>
      <w:tr>
        <w:trPr>
          <w:trHeight w:val="207"/>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lease cost, net</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12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6,160</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5,920</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related to leases: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8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1"/>
        </w:trPr>
        <w:tc>
          <w:tcPr>
            <w:tcW w:w="74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7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cash flows paid for operating leases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4,525</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3,315</w:t>
            </w:r>
          </w:p>
        </w:tc>
      </w:tr>
      <w:tr>
        <w:trPr>
          <w:trHeight w:val="219"/>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cash flows paid for interest portion of finance leases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7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Financing cash flows paid for principal portion of finance leases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9"/>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ROU assets obtained in exchange for lease obligations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0"/>
        </w:trPr>
        <w:tc>
          <w:tcPr>
            <w:tcW w:w="7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17,838</w:t>
            </w:r>
          </w:p>
        </w:tc>
      </w:tr>
    </w:tbl>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the weighted-average remaining lease term was 5.5 years and 6.2 years for operating leases, respectively, and 1.5 years and 2.2 years for finance leases, respectively. As of September 30, 2024 and December 31, 2023, the weighted-average discount rate was 7.5% and 7.6% for operating leases, respectively, and for both periods 6.5% for finance leases.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following table presents supplemental balance sheet information related to leases: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8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74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Operating lease ROU assets,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27,145</w:t>
            </w:r>
          </w:p>
        </w:tc>
      </w:tr>
      <w:tr>
        <w:trPr>
          <w:trHeight w:val="257"/>
        </w:trPr>
        <w:tc>
          <w:tcPr>
            <w:tcW w:w="7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3,912</w:t>
            </w:r>
          </w:p>
        </w:tc>
      </w:tr>
      <w:tr>
        <w:trPr>
          <w:trHeight w:val="213"/>
        </w:trPr>
        <w:tc>
          <w:tcPr>
            <w:tcW w:w="7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21,845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25,070</w:t>
            </w:r>
          </w:p>
        </w:tc>
      </w:tr>
      <w:tr>
        <w:trPr>
          <w:trHeight w:val="234"/>
        </w:trPr>
        <w:tc>
          <w:tcPr>
            <w:tcW w:w="7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operating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28,982</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7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7400" w:type="dxa"/>
            <w:vAlign w:val="bottom"/>
            <w:shd w:val="clear" w:color="auto" w:fill="CCEEFF"/>
          </w:tcPr>
          <w:p>
            <w:pPr>
              <w:ind w:left="6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Finance lease ROU assets, net </w:t>
            </w:r>
            <w:r>
              <w:rPr>
                <w:rFonts w:ascii="Times New Roman" w:cs="Times New Roman" w:eastAsia="Times New Roman" w:hAnsi="Times New Roman"/>
                <w:sz w:val="21"/>
                <w:szCs w:val="21"/>
                <w:b w:val="1"/>
                <w:bCs w:val="1"/>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57"/>
        </w:trPr>
        <w:tc>
          <w:tcPr>
            <w:tcW w:w="7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Finance lease liabilities, current</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3"/>
        </w:trPr>
        <w:tc>
          <w:tcPr>
            <w:tcW w:w="7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Finance lease liabilities, non-current</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34"/>
        </w:trPr>
        <w:tc>
          <w:tcPr>
            <w:tcW w:w="7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finance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Included in </w:t>
      </w:r>
      <w:r>
        <w:rPr>
          <w:rFonts w:ascii="Times New Roman" w:cs="Times New Roman" w:eastAsia="Times New Roman" w:hAnsi="Times New Roman"/>
          <w:sz w:val="14"/>
          <w:szCs w:val="14"/>
          <w:i w:val="1"/>
          <w:iCs w:val="1"/>
          <w:color w:val="auto"/>
        </w:rPr>
        <w:t>Property, plant and equipment, net</w:t>
      </w:r>
      <w:r>
        <w:rPr>
          <w:rFonts w:ascii="Times New Roman" w:cs="Times New Roman" w:eastAsia="Times New Roman" w:hAnsi="Times New Roman"/>
          <w:sz w:val="14"/>
          <w:szCs w:val="14"/>
          <w:color w:val="auto"/>
        </w:rPr>
        <w:t xml:space="preserve"> for finance leases on the Consolidated Balance Sheets.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maturity analysis of lease liabilities as of September 30,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20" w:type="dxa"/>
            <w:vAlign w:val="bottom"/>
          </w:tcPr>
          <w:p>
            <w:pPr>
              <w:spacing w:after="0"/>
              <w:rPr>
                <w:sz w:val="18"/>
                <w:szCs w:val="18"/>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80" w:type="dxa"/>
            <w:vAlign w:val="bottom"/>
          </w:tcPr>
          <w:p>
            <w:pPr>
              <w:spacing w:after="0"/>
              <w:rPr>
                <w:sz w:val="18"/>
                <w:szCs w:val="18"/>
                <w:color w:val="auto"/>
              </w:rPr>
            </w:pPr>
          </w:p>
        </w:tc>
        <w:tc>
          <w:tcPr>
            <w:tcW w:w="16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213"/>
        </w:trPr>
        <w:tc>
          <w:tcPr>
            <w:tcW w:w="730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Three months ending December 31, 2024</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3"/>
        </w:trPr>
        <w:tc>
          <w:tcPr>
            <w:tcW w:w="73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Year ending December 31, 2025</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9"/>
        </w:trPr>
        <w:tc>
          <w:tcPr>
            <w:tcW w:w="7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Year ending December 31, 2026</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3"/>
        </w:trPr>
        <w:tc>
          <w:tcPr>
            <w:tcW w:w="73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Year ending December 31, 2027</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Year ending December 31, 2028</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Year ending December 31, 2029</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Thereafter</w:t>
            </w: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3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Total undiscounted lease payments</w:t>
            </w: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32,190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19"/>
        </w:trPr>
        <w:tc>
          <w:tcPr>
            <w:tcW w:w="7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Less: imputed interest</w:t>
            </w: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7"/>
        </w:trPr>
        <w:tc>
          <w:tcPr>
            <w:tcW w:w="73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Total lease liabilities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26,218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3"/>
        </w:trPr>
        <w:tc>
          <w:tcPr>
            <w:tcW w:w="7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assets and liabilities measured at fair value on a recurring and nonrecurring basis, a three-level hierarchy of measurements based upon observable and unobservable inputs is used to arrive at fair value. Observable inputs are developed based on market data obtained from independent sources, while unobservable inputs reflect the Company’s assumptions about valuation based on the best information available in the circumstances. Depending on the inputs, the Company classifies each fair-value measurement as follows:</w:t>
      </w:r>
    </w:p>
    <w:p>
      <w:pPr>
        <w:spacing w:after="0" w:line="7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based on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based on other significant observable inputs for the assets or liabilities through corroborations with market data at the measurement date; and</w:t>
      </w:r>
    </w:p>
    <w:p>
      <w:pPr>
        <w:ind w:left="66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based on significant unobservable inputs that reflect management’s best estimate of what market participants would use to price the assets or liabilities at the measurement date.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Measured at Carrying Value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Assets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and cash equivalents (Level 1) are measured at carrying value, which approximates fair value because of the short-term maturities of these instruments.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measured its material debt obligations and note payable at original carrying value. The fair value of the Revolving Credit Agreement and other short-term financing approximated carrying value, as it consisted primarily of short-term variable rate loans. The Company measured its non-interest bearing note payable using a rate which the Company could obtain financing of similar nature from other sources at the date of the transaction. The unamortized discount is reported in the Consolidated Balance Sheet as a deduction from the face amount of the note payable. The Company measured its material debt obligations and note payable using Level 2 inputs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As of September 30, 2024</w:t>
            </w: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33"/>
        </w:trPr>
        <w:tc>
          <w:tcPr>
            <w:tcW w:w="3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214"/>
        </w:trPr>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400" w:type="dxa"/>
            <w:vAlign w:val="bottom"/>
          </w:tcPr>
          <w:p>
            <w:pPr>
              <w:spacing w:after="0"/>
              <w:rPr>
                <w:sz w:val="18"/>
                <w:szCs w:val="18"/>
                <w:color w:val="auto"/>
              </w:rPr>
            </w:pPr>
          </w:p>
        </w:tc>
        <w:tc>
          <w:tcPr>
            <w:tcW w:w="194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00" w:type="dxa"/>
            <w:vAlign w:val="bottom"/>
          </w:tcPr>
          <w:p>
            <w:pPr>
              <w:spacing w:after="0"/>
              <w:rPr>
                <w:sz w:val="18"/>
                <w:szCs w:val="18"/>
                <w:color w:val="auto"/>
              </w:rPr>
            </w:pPr>
          </w:p>
        </w:tc>
        <w:tc>
          <w:tcPr>
            <w:tcW w:w="14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1"/>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Agreement</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 payable</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gridSpan w:val="3"/>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financing</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940" w:type="dxa"/>
            <w:vAlign w:val="bottom"/>
            <w:gridSpan w:val="3"/>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w:t>
            </w:r>
          </w:p>
        </w:tc>
      </w:tr>
    </w:tbl>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34"/>
        </w:trPr>
        <w:tc>
          <w:tcPr>
            <w:tcW w:w="3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214"/>
        </w:trPr>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400" w:type="dxa"/>
            <w:vAlign w:val="bottom"/>
          </w:tcPr>
          <w:p>
            <w:pPr>
              <w:spacing w:after="0"/>
              <w:rPr>
                <w:sz w:val="18"/>
                <w:szCs w:val="18"/>
                <w:color w:val="auto"/>
              </w:rPr>
            </w:pPr>
          </w:p>
        </w:tc>
        <w:tc>
          <w:tcPr>
            <w:tcW w:w="194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00" w:type="dxa"/>
            <w:vAlign w:val="bottom"/>
          </w:tcPr>
          <w:p>
            <w:pPr>
              <w:spacing w:after="0"/>
              <w:rPr>
                <w:sz w:val="18"/>
                <w:szCs w:val="18"/>
                <w:color w:val="auto"/>
              </w:rPr>
            </w:pPr>
          </w:p>
        </w:tc>
        <w:tc>
          <w:tcPr>
            <w:tcW w:w="14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1"/>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Agreement</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financing</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gridSpan w:val="3"/>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94,820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w:t>
            </w: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Assets and Liabilities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methods and assumptions used for the financial instruments discussed above, accounts receivable, net income tax receivable, accounts payable, and certain accrued expenses are measured at carrying value, which approximates fair value (Level 1) because of the short-term maturities of these instruments.</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Contingencies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legal matters discussed below and others could result in losses, including damages, fines, civil penalties and criminal charges, which could be substantial. The Company records accruals for these contingencies to the extent the Company concludes that a loss is both probable and reasonably estimable. Regarding the matters disclosed below, unless otherwise disclosed, the Company has determined that liabilities associated with these legal matters are reasonably possible; however, unless otherwise stated, the possible loss or range of possible loss cannot be reasonably estimated. Given the nature of the litigation and investigations and the complexities involved, the Company is unable to reasonably estimate a possible loss for all such matters until the Company knows, among other factors, the following:</w:t>
      </w:r>
    </w:p>
    <w:p>
      <w:pPr>
        <w:spacing w:after="0" w:line="7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claims, if any, will survive dispositive motion practice;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 claims, particularly when damages are not specified or are indeterminate;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the discovery process will affect the litigation;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posture of the other parties to the litigation;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factors that may have a material effect on the litigation or investigation.</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However, the Company could incur judgments, enter into settlements or revise its expectations regarding the outcome of certain matters, and such developments could have a material adverse effect on the Company’s results of operations in the period in which the amounts are accrued and/or liquidity in the period in which the amounts are paid.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and Exchange Commission and United States Attorney’s Office (“USAO”) for the Northern District of Illinois Investigations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2020, the Company entered into agreements with the SEC and the USAO to resolve the investigations into the Company’s past revenue recognition practices. Under the settled administrative order with the SEC, the Company committed to remediate the deficiencies in its internal control over financial reporting that constituted material weaknesses identified in its 2017 Form 10-K filed in May 2019 by April 30, 2021 unless an extension was provided by the SEC. On April 12, 2021, the SEC granted the Company’s request for an extension of time until March 31, 2022 in which to comply with the requirements of the administrative order to remediate the remaining outstanding material weaknesses. In April 2022, the SEC granted a further extension of time until March 31, 2023 to fully comply with the administrative order. In May 2023, the Company submitted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2" w:name="page23"/>
    <w:bookmarkEnd w:id="2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documentation to the SEC for its review to assess the Company’s compliance with the administrative order. In July 2023, the Company was notified by the SEC that no additional information was required with respect to the administrative order.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Jerome Treadwell v. the Company</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October 2018, a punitive class-action complaint was filed against the Company and NOVAtime Technology, Inc. (“NOVAtime” or “Plaintiff”) in the Circuit Court of Cook County, Illinois. In December 2018, NOVAtime removed the case to the U.S. District Court for the Northern District of Illinois, Eastern Division (the “Court”) under the Class Action Fairness Act. Plaintiff has since voluntarily dismissed NOVAtime from the lawsuit without prejudice and filed an amended complaint in April 2019. The operative, amended complaint asserts violations of the Illinois Biometric Information Privacy Act (“BIPA”) in connection with employees’ use of the time clock to clock in and clock out using a finger scan and seeks statutory damages, attorneys’ fees, and injunctive and equitable relief. An aggrieved party under BIPA may recover (i) $1,000 per violation if the Company is found to have negligently violated BIPA or (ii) $5,000 per violation if the Company is found to have intentionally or recklessly violated BIPA plus reasonable attorneys’ fees. In May 2019, the Company filed its motion to dismiss the Plaintiff’s amended complaint. In December 2019, the court denied the Company’s motion to dismiss. In January 2020, the Company moved for reconsideration of the Court’s order denying the motion to dismiss, or in the alternative, to stay the case pending the Illinois Appellate Court’s ruling in </w:t>
      </w:r>
      <w:r>
        <w:rPr>
          <w:rFonts w:ascii="Times New Roman" w:cs="Times New Roman" w:eastAsia="Times New Roman" w:hAnsi="Times New Roman"/>
          <w:sz w:val="18"/>
          <w:szCs w:val="18"/>
          <w:i w:val="1"/>
          <w:iCs w:val="1"/>
          <w:color w:val="auto"/>
        </w:rPr>
        <w:t>McDonald v. Symphony Healthcare</w:t>
      </w:r>
      <w:r>
        <w:rPr>
          <w:rFonts w:ascii="Times New Roman" w:cs="Times New Roman" w:eastAsia="Times New Roman" w:hAnsi="Times New Roman"/>
          <w:sz w:val="18"/>
          <w:szCs w:val="18"/>
          <w:color w:val="auto"/>
        </w:rPr>
        <w:t xml:space="preserve"> on a legal question that would be potentially dispositive in this matter. In February 2020, the Court denied the Company’s motion for reconsideration, but required the parties to submit additional briefing on the Company’s motion to stay. In April 2020, the Court granted the Company’s motion to stay and stayed the case pending the Illinois Appellate Court’s ruling in </w:t>
      </w:r>
      <w:r>
        <w:rPr>
          <w:rFonts w:ascii="Times New Roman" w:cs="Times New Roman" w:eastAsia="Times New Roman" w:hAnsi="Times New Roman"/>
          <w:sz w:val="18"/>
          <w:szCs w:val="18"/>
          <w:i w:val="1"/>
          <w:iCs w:val="1"/>
          <w:color w:val="auto"/>
        </w:rPr>
        <w:t>McDonald v. Symphony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Healthcare</w:t>
      </w:r>
      <w:r>
        <w:rPr>
          <w:rFonts w:ascii="Times New Roman" w:cs="Times New Roman" w:eastAsia="Times New Roman" w:hAnsi="Times New Roman"/>
          <w:sz w:val="18"/>
          <w:szCs w:val="18"/>
          <w:color w:val="auto"/>
        </w:rPr>
        <w:t>. In October 2020, after the</w:t>
      </w:r>
      <w:r>
        <w:rPr>
          <w:rFonts w:ascii="Times New Roman" w:cs="Times New Roman" w:eastAsia="Times New Roman" w:hAnsi="Times New Roman"/>
          <w:sz w:val="18"/>
          <w:szCs w:val="18"/>
          <w:i w:val="1"/>
          <w:iCs w:val="1"/>
          <w:color w:val="auto"/>
        </w:rPr>
        <w:t xml:space="preserve"> McDonald </w:t>
      </w:r>
      <w:r>
        <w:rPr>
          <w:rFonts w:ascii="Times New Roman" w:cs="Times New Roman" w:eastAsia="Times New Roman" w:hAnsi="Times New Roman"/>
          <w:sz w:val="18"/>
          <w:szCs w:val="18"/>
          <w:color w:val="auto"/>
        </w:rPr>
        <w:t>ruling, the Court granted the parties’ joint request to continue the stay of the case for 60 days. The Court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also ordered the parties to schedule a settlement conference with the Magistrate Judge in May 2021 which went forward without a settlement being reached. On May 22, 2023, the Company filed the answer to the amended complaint. Plaintiff and PSI have since reached a preliminary settlement of the case, and Plaintiff filed an Unopposed Motion for Preliminary Approval of Class Action Settlement on February 23, 2024, which is currently pending with the Court. As of both September 30, 2024 and December 31, 2023, the Company had recorded an estimated liability of $2.4 million, recorded within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accrued liabilities </w:t>
      </w:r>
      <w:r>
        <w:rPr>
          <w:rFonts w:ascii="Times New Roman" w:cs="Times New Roman" w:eastAsia="Times New Roman" w:hAnsi="Times New Roman"/>
          <w:sz w:val="18"/>
          <w:szCs w:val="18"/>
          <w:color w:val="auto"/>
        </w:rPr>
        <w:t>on the Consolidated Balance Sheet related to the potential settlement of this matter.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 Powertrain v. the Company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February 2020, the Company received a demand for arbitration from Mast Powertrain, LLC (“Mast”) pursuant to a development agreement entered into in November 2011 (the “Development Agreement”). Mast claimed that it was owed more than $9.0 million in past royalties and other damages for products sold by the Company pursuant to the Development Agreement. The Company disputed Mast’s damages, denied that any royalties are owed to Mast, denied any liability, and counterclaimed for overpayment on invoices paid to Mast. Mast subsequently clarified its claim for past royalties owed to be approximately $4.5 million. In July 2021, the Company reached a settlement with Mast to resolve past claims for royalties owed for $1.5 million which the Company had previously recorded within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xml:space="preserve"> in the Consolidated Statement of Income for the year-ended December 31, 2020. The Company fully paid the settlement and had no recognized liability as of both September 30, 2024 and 2023. In September 2023, Mast filed a lawsuit against the Company in the Eastern District of Texas Federal Court (“Court”), alleging, among other things, damages of approximately $6.0 million for fraudulent inducement leading to the 2021 arbitration settlement agreement and breach of said settlement agreement. Upon court order, the Company participated in mediation in May 2024, and no settlement was reached. The Company has filed a motion to stay the lawsuit and compel it to arbitration, and that motion is currently pending. In the interim, the court ordered the parties to participate in a second mediation by the end of November 2024. As of both September 30, 2024 and December 31, 2023, the Company had recorded an estimated liability of $0.9 million, recorded within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accrued liabilities </w:t>
      </w:r>
      <w:r>
        <w:rPr>
          <w:rFonts w:ascii="Times New Roman" w:cs="Times New Roman" w:eastAsia="Times New Roman" w:hAnsi="Times New Roman"/>
          <w:sz w:val="18"/>
          <w:szCs w:val="18"/>
          <w:color w:val="auto"/>
        </w:rPr>
        <w:t>on the Consolidated Balance Sheet related to the potential settlement of this matter.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Gary Winemaster v. The Company</w:t>
      </w:r>
    </w:p>
    <w:p>
      <w:pPr>
        <w:spacing w:after="0" w:line="1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In August 2021, the Company’s former Chairman of the Board and former Chief Executive Officer and President, Gary Winemaster (“Winemaster”) filed suit in the Court of Chancery of the State of Delaware against the Company and Travelers Casualty and Surety Company of America (“Travelers”) alleging the Company’s breach of its advancement obligations under Winemaster’s indemnification agreement and Travelers’ breach of the side A policy between Traveler’s and the Company of which Winemaster is a beneficiary. In his complaint, Winemaster was seeking reimbursement under his indemnification agreement in excess of $7.2 million of attorney’s fees plus interest incurred by Winemaster in his defense of the Department of Justice (“DOJ”) case, </w:t>
      </w:r>
      <w:r>
        <w:rPr>
          <w:rFonts w:ascii="Times New Roman" w:cs="Times New Roman" w:eastAsia="Times New Roman" w:hAnsi="Times New Roman"/>
          <w:sz w:val="18"/>
          <w:szCs w:val="18"/>
          <w:i w:val="1"/>
          <w:iCs w:val="1"/>
          <w:color w:val="auto"/>
        </w:rPr>
        <w:t>U.S.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Winemaster et al. </w:t>
      </w:r>
      <w:r>
        <w:rPr>
          <w:rFonts w:ascii="Times New Roman" w:cs="Times New Roman" w:eastAsia="Times New Roman" w:hAnsi="Times New Roman"/>
          <w:sz w:val="18"/>
          <w:szCs w:val="18"/>
          <w:color w:val="auto"/>
        </w:rPr>
        <w:t>Since the filing of the complaint, the Company estimates that Travelers has paid approximately $8.8 million to Winemaster’s attorneys,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Latham and Watkins, under the Company’s side A policy to settle existing outstanding attorney’s fees. Travelers is seeking reimbursement from the Company for those advances pursuant to the terms of the side A policy. In October 2021, the Company and Winemaster entered into a Stipulation and Advancement Order to handle all future attorney’s fees relating to his DOJ and SEC cases, to the extent not reimbursed by Travelers under the side A policy. As of December 31, 2023, the Company had approximately $8.8 million accrued for the reimbursement to Travelers recorded within </w:t>
      </w:r>
      <w:r>
        <w:rPr>
          <w:rFonts w:ascii="Times New Roman" w:cs="Times New Roman" w:eastAsia="Times New Roman" w:hAnsi="Times New Roman"/>
          <w:sz w:val="18"/>
          <w:szCs w:val="18"/>
          <w:i w:val="1"/>
          <w:iCs w:val="1"/>
          <w:color w:val="auto"/>
        </w:rPr>
        <w:t>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payable </w:t>
      </w:r>
      <w:r>
        <w:rPr>
          <w:rFonts w:ascii="Times New Roman" w:cs="Times New Roman" w:eastAsia="Times New Roman" w:hAnsi="Times New Roman"/>
          <w:sz w:val="18"/>
          <w:szCs w:val="18"/>
          <w:color w:val="auto"/>
        </w:rPr>
        <w:t>on the Consolidated Balance Sheet. In June 2024, the Company reached a settlement with</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3" w:name="page24"/>
    <w:bookmarkEnd w:id="23"/>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Travelers for $4.5 million, resulting in a $4.3 million gain that was recorded within Selling, General and Administrative expenses on the Consolidated Statements of Income. As of September 30, 2024, the Company recorded the aforementioned settlement liability within </w:t>
      </w:r>
      <w:r>
        <w:rPr>
          <w:rFonts w:ascii="Times New Roman" w:cs="Times New Roman" w:eastAsia="Times New Roman" w:hAnsi="Times New Roman"/>
          <w:sz w:val="18"/>
          <w:szCs w:val="18"/>
          <w:i w:val="1"/>
          <w:iCs w:val="1"/>
          <w:color w:val="auto"/>
        </w:rPr>
        <w:t>Other noncurrent liabilities</w:t>
      </w:r>
      <w:r>
        <w:rPr>
          <w:rFonts w:ascii="Times New Roman" w:cs="Times New Roman" w:eastAsia="Times New Roman" w:hAnsi="Times New Roman"/>
          <w:sz w:val="18"/>
          <w:szCs w:val="18"/>
          <w:color w:val="auto"/>
        </w:rPr>
        <w:t xml:space="preserve"> with the current portion within </w:t>
      </w:r>
      <w:r>
        <w:rPr>
          <w:rFonts w:ascii="Times New Roman" w:cs="Times New Roman" w:eastAsia="Times New Roman" w:hAnsi="Times New Roman"/>
          <w:sz w:val="18"/>
          <w:szCs w:val="18"/>
          <w:i w:val="1"/>
          <w:iCs w:val="1"/>
          <w:color w:val="auto"/>
        </w:rPr>
        <w:t>Other accrued liabilities</w:t>
      </w:r>
      <w:r>
        <w:rPr>
          <w:rFonts w:ascii="Times New Roman" w:cs="Times New Roman" w:eastAsia="Times New Roman" w:hAnsi="Times New Roman"/>
          <w:sz w:val="18"/>
          <w:szCs w:val="18"/>
          <w:color w:val="auto"/>
        </w:rPr>
        <w:t xml:space="preserve"> on the Consolidated Balance Sheet. Refer to Note 7. </w:t>
      </w:r>
      <w:r>
        <w:rPr>
          <w:rFonts w:ascii="Times New Roman" w:cs="Times New Roman" w:eastAsia="Times New Roman" w:hAnsi="Times New Roman"/>
          <w:sz w:val="18"/>
          <w:szCs w:val="18"/>
          <w:i w:val="1"/>
          <w:iCs w:val="1"/>
          <w:color w:val="auto"/>
        </w:rPr>
        <w:t>Other Non-current Liabilities</w:t>
      </w:r>
      <w:r>
        <w:rPr>
          <w:rFonts w:ascii="Times New Roman" w:cs="Times New Roman" w:eastAsia="Times New Roman" w:hAnsi="Times New Roman"/>
          <w:sz w:val="18"/>
          <w:szCs w:val="18"/>
          <w:color w:val="auto"/>
        </w:rPr>
        <w:t xml:space="preserve"> for additional information related to this settlement.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Jeffrey Ehlers and Rick Lulloff Litigation</w:t>
      </w:r>
    </w:p>
    <w:p>
      <w:pPr>
        <w:spacing w:after="0" w:line="1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September 2021, Jeffrey Ehlers (“Ehlers”) and Rick Lulloff (“Lulloff”), former employees of the Company, made demand against the Company for approximately $2.4 million and $1.2 million, respectively, for alleged wages due and owing under each employee’s employment contract related to “Incentive Bonuses” for revenues generated in the Company’s transportation end market. In November 2021, Ehlers and Lulloff separately filed complaints against the Company in the Circuit Court of Cook County, Illinois, alleging breach of contract and violations of the Illinois Wage and Payment Collection Act incorporating their claims in the above referenced demand letter. The Company filed a notice of removal from the Circuit Court of Cook County, Illinois and has also moved to consolidate the cases, which has been granted by the Court. In December 2022, the Company reached a settlement with both Ehlers and Lulloff, for $0.8 million and $0.5 million, respectively. As of December 31, 2023, the Company paid the settlement in full to both Ehlers and Lulloff.</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holds a directors’ and officers’ liability insurance policy, which is renewed annually and expires in July 2025. The insurance policy includes standard exclusions including for any ongoing or pending litigation such as the previously disclosed investigations by the SEC and USAO.</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Commitments and Contingencies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At September 30, 2024, the Company had four outstanding letters of credit totaling $1.4 million. The letters of credit primarily serve as collateral for the Company for certain facility leases and insurance policies. As discussed in Note 1. </w:t>
      </w:r>
      <w:r>
        <w:rPr>
          <w:rFonts w:ascii="Times New Roman" w:cs="Times New Roman" w:eastAsia="Times New Roman" w:hAnsi="Times New Roman"/>
          <w:sz w:val="18"/>
          <w:szCs w:val="18"/>
          <w:i w:val="1"/>
          <w:iCs w:val="1"/>
          <w:color w:val="auto"/>
        </w:rPr>
        <w:t>Summary of Significant Accounting Policies and Other Information</w:t>
      </w:r>
      <w:r>
        <w:rPr>
          <w:rFonts w:ascii="Times New Roman" w:cs="Times New Roman" w:eastAsia="Times New Roman" w:hAnsi="Times New Roman"/>
          <w:sz w:val="18"/>
          <w:szCs w:val="18"/>
          <w:color w:val="auto"/>
        </w:rPr>
        <w:t>, the Company had restricted cash of $3.2 million as of September 30, 2024, related to these letters of credit and cash held in escrow due to a customer agreement.</w:t>
      </w:r>
    </w:p>
    <w:p>
      <w:pPr>
        <w:spacing w:after="0" w:line="17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 quarterly basis, the Company computes an estimated annual effective tax rate considering ordinary income and related income tax expense. Ordinary income refers to income before income tax expense excluding significant, unusual or infrequently occurring items. The tax effect of an unusual or infrequently occurring item is recorded in the interim period in which it occurs.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assessed the need to maintain a valuation allowance for deferred tax assets based on an assessment of whether it is more likely than not that deferred tax benefits will be realized through the generation of future taxable income. Appropriate consideration is given to all available evidence, both positive and negative, in assessing the need for a valuation allowance. In assessing the realizability of the Company’s deferred tax assets, the Company considered whether it is more likely than not that some or all of the deferred tax assets will be realized through the generation of future taxable income. In making this determination, the Company assessed all of the evidence available at the time, including recent earnings, forecasted income projections, historical performance, and that substantial doubt exists about the Company’s ability to continue as a going concern. The Company determined that the negative evidence outweighed the objectively verifiable positive evidence and continues to maintain a valuation allowance against deferred tax assets. The Company’s valuation allowance is $46.3 million and $54.3 million as of September 30, 2024 and December 31, 2023, respectively.</w:t>
      </w:r>
    </w:p>
    <w:p>
      <w:pPr>
        <w:spacing w:after="0" w:line="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effective tax rate for the three and nine months ended September 30, 2024 was 1.6% and 2.9%, respectively, compared to an effective tax rate for the three and nine months ended September 30, 2023 of 1.9% and 2.9%. The effective tax rates for all periods were significantly different than the applicable U.S. statutory tax rate. For both the three and nine months ended September 30, 2024, the difference between the effective and statutory tax rates was</w:t>
      </w:r>
    </w:p>
    <w:p>
      <w:pPr>
        <w:sectPr>
          <w:pgSz w:w="11900" w:h="16838" w:orient="portrait"/>
          <w:cols w:equalWidth="0" w:num="1">
            <w:col w:w="11240"/>
          </w:cols>
          <w:pgMar w:left="320" w:top="1093" w:right="339" w:bottom="1440" w:gutter="0" w:footer="0" w:header="0"/>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due to the Company’s full valuation allowance.</w:t>
      </w:r>
    </w:p>
    <w:p>
      <w:pPr>
        <w:spacing w:after="0" w:line="2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and Treasury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shares of Common and Treasury Stock are as follows: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 thousands)</w:t>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p>
      <w:pPr>
        <w:spacing w:after="0" w:line="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Net shares issued for Stock awards</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Common Shares Issued</w:t>
            </w:r>
          </w:p>
        </w:tc>
        <w:tc>
          <w:tcPr>
            <w:tcW w:w="2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Treasury Stock Shares</w:t>
            </w:r>
          </w:p>
        </w:tc>
        <w:tc>
          <w:tcPr>
            <w:tcW w:w="19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0" w:type="dxa"/>
            <w:vAlign w:val="bottom"/>
          </w:tcPr>
          <w:p>
            <w:pPr>
              <w:spacing w:after="0"/>
              <w:rPr>
                <w:sz w:val="1"/>
                <w:szCs w:val="1"/>
                <w:color w:val="auto"/>
              </w:rPr>
            </w:pPr>
          </w:p>
        </w:tc>
      </w:tr>
      <w:tr>
        <w:trPr>
          <w:trHeight w:val="214"/>
        </w:trPr>
        <w:tc>
          <w:tcPr>
            <w:tcW w:w="2000" w:type="dxa"/>
            <w:vAlign w:val="bottom"/>
            <w:gridSpan w:val="2"/>
            <w:vMerge w:val="continue"/>
          </w:tcPr>
          <w:p>
            <w:pPr>
              <w:spacing w:after="0"/>
              <w:rPr>
                <w:sz w:val="18"/>
                <w:szCs w:val="18"/>
                <w:color w:val="auto"/>
              </w:rPr>
            </w:pPr>
          </w:p>
        </w:tc>
        <w:tc>
          <w:tcPr>
            <w:tcW w:w="2000" w:type="dxa"/>
            <w:vAlign w:val="bottom"/>
            <w:gridSpan w:val="2"/>
            <w:vMerge w:val="continue"/>
          </w:tcPr>
          <w:p>
            <w:pPr>
              <w:spacing w:after="0"/>
              <w:rPr>
                <w:sz w:val="18"/>
                <w:szCs w:val="18"/>
                <w:color w:val="auto"/>
              </w:rPr>
            </w:pPr>
          </w:p>
        </w:tc>
        <w:tc>
          <w:tcPr>
            <w:tcW w:w="19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0" w:type="dxa"/>
            <w:vAlign w:val="bottom"/>
          </w:tcPr>
          <w:p>
            <w:pPr>
              <w:spacing w:after="0"/>
              <w:rPr>
                <w:sz w:val="1"/>
                <w:szCs w:val="1"/>
                <w:color w:val="auto"/>
              </w:rPr>
            </w:pPr>
          </w:p>
        </w:tc>
      </w:tr>
      <w:tr>
        <w:trPr>
          <w:trHeight w:val="206"/>
        </w:trPr>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23,117</w:t>
            </w:r>
          </w:p>
        </w:tc>
        <w:tc>
          <w:tcPr>
            <w:tcW w:w="120" w:type="dxa"/>
            <w:vAlign w:val="bottom"/>
          </w:tcPr>
          <w:p>
            <w:pPr>
              <w:spacing w:after="0"/>
              <w:rPr>
                <w:sz w:val="17"/>
                <w:szCs w:val="17"/>
                <w:color w:val="auto"/>
              </w:rPr>
            </w:pPr>
          </w:p>
        </w:tc>
        <w:tc>
          <w:tcPr>
            <w:tcW w:w="1880" w:type="dxa"/>
            <w:vAlign w:val="bottom"/>
            <w:tcBorders>
              <w:top w:val="single" w:sz="8" w:color="auto"/>
            </w:tcBorders>
          </w:tcPr>
          <w:p>
            <w:pPr>
              <w:ind w:left="1580"/>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Pr>
          <w:p>
            <w:pPr>
              <w:spacing w:after="0"/>
              <w:rPr>
                <w:sz w:val="17"/>
                <w:szCs w:val="17"/>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22,968</w:t>
            </w:r>
          </w:p>
        </w:tc>
        <w:tc>
          <w:tcPr>
            <w:tcW w:w="0" w:type="dxa"/>
            <w:vAlign w:val="bottom"/>
          </w:tcPr>
          <w:p>
            <w:pPr>
              <w:spacing w:after="0"/>
              <w:rPr>
                <w:sz w:val="1"/>
                <w:szCs w:val="1"/>
                <w:color w:val="auto"/>
              </w:rPr>
            </w:pPr>
          </w:p>
        </w:tc>
      </w:tr>
      <w:tr>
        <w:trPr>
          <w:trHeight w:val="219"/>
        </w:trPr>
        <w:tc>
          <w:tcPr>
            <w:tcW w:w="20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6"/>
                <w:szCs w:val="16"/>
                <w:color w:val="auto"/>
                <w:w w:val="97"/>
              </w:rPr>
              <w:t>(22)</w:t>
            </w:r>
          </w:p>
        </w:tc>
        <w:tc>
          <w:tcPr>
            <w:tcW w:w="1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0"/>
        </w:trPr>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23,117</w:t>
            </w:r>
          </w:p>
        </w:tc>
        <w:tc>
          <w:tcPr>
            <w:tcW w:w="120" w:type="dxa"/>
            <w:vAlign w:val="bottom"/>
          </w:tcPr>
          <w:p>
            <w:pPr>
              <w:spacing w:after="0"/>
              <w:rPr>
                <w:sz w:val="18"/>
                <w:szCs w:val="18"/>
                <w:color w:val="auto"/>
              </w:rPr>
            </w:pPr>
          </w:p>
        </w:tc>
        <w:tc>
          <w:tcPr>
            <w:tcW w:w="188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22,990</w:t>
            </w:r>
          </w:p>
        </w:tc>
        <w:tc>
          <w:tcPr>
            <w:tcW w:w="0" w:type="dxa"/>
            <w:vAlign w:val="bottom"/>
          </w:tcPr>
          <w:p>
            <w:pPr>
              <w:spacing w:after="0"/>
              <w:rPr>
                <w:sz w:val="1"/>
                <w:szCs w:val="1"/>
                <w:color w:val="auto"/>
              </w:rPr>
            </w:pPr>
          </w:p>
        </w:tc>
      </w:tr>
      <w:tr>
        <w:trPr>
          <w:trHeight w:val="23"/>
        </w:trPr>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-462280</wp:posOffset>
            </wp:positionV>
            <wp:extent cx="710628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-179705</wp:posOffset>
            </wp:positionV>
            <wp:extent cx="7106285"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40" w:space="260"/>
            <w:col w:w="5940"/>
          </w:cols>
          <w:pgMar w:left="320" w:top="1093" w:right="33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13. Earnings Per Share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computes basic earnings per share by dividing net income by the weighted-average common shares outstanding during the year. Diluted earnings per share is calculated to give effect to all potentially dilutive common shares that were outstanding during the year. Weighted-average diluted common shares outstanding primarily reflect the additional shares that would be issued upon the assumed exercise of stock options and the assumed vesting of unvested share awards. The treasury stock method has been used to compute diluted earnings per share for the three and nine months ended September 30, 2024 and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SARs and RSAs, all of which have been evaluated for their potentially dilutive effect under the treasury stock method. See Note 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in the Company’s 2023 Annual Report for additional information on the SARs and the RSAs.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computations of basic and diluted earnings per share are as follows:</w:t>
      </w:r>
    </w:p>
    <w:p>
      <w:pPr>
        <w:spacing w:after="0" w:line="140"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 except per share basis)</w:t>
            </w:r>
          </w:p>
        </w:tc>
        <w:tc>
          <w:tcPr>
            <w:tcW w:w="220" w:type="dxa"/>
            <w:vAlign w:val="bottom"/>
          </w:tcPr>
          <w:p>
            <w:pPr>
              <w:spacing w:after="0"/>
              <w:rPr>
                <w:sz w:val="16"/>
                <w:szCs w:val="16"/>
                <w:color w:val="auto"/>
              </w:rPr>
            </w:pPr>
          </w:p>
        </w:tc>
        <w:tc>
          <w:tcPr>
            <w:tcW w:w="26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40" w:type="dxa"/>
            <w:vAlign w:val="bottom"/>
          </w:tcPr>
          <w:p>
            <w:pPr>
              <w:spacing w:after="0"/>
              <w:rPr>
                <w:sz w:val="16"/>
                <w:szCs w:val="16"/>
                <w:color w:val="auto"/>
              </w:rPr>
            </w:pPr>
          </w:p>
        </w:tc>
        <w:tc>
          <w:tcPr>
            <w:tcW w:w="252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4"/>
        </w:trPr>
        <w:tc>
          <w:tcPr>
            <w:tcW w:w="5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09"/>
        </w:trPr>
        <w:tc>
          <w:tcPr>
            <w:tcW w:w="55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198"/>
        </w:trPr>
        <w:tc>
          <w:tcPr>
            <w:tcW w:w="5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5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Net income – basic and diluted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17,337</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45,992</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17,936</w:t>
            </w:r>
          </w:p>
        </w:tc>
      </w:tr>
      <w:tr>
        <w:trPr>
          <w:trHeight w:val="259"/>
        </w:trPr>
        <w:tc>
          <w:tcPr>
            <w:tcW w:w="5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14"/>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8"/>
        </w:trPr>
        <w:tc>
          <w:tcPr>
            <w:tcW w:w="5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Shares used in computing net income per share: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3"/>
        </w:trPr>
        <w:tc>
          <w:tcPr>
            <w:tcW w:w="55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22,957</w:t>
            </w:r>
          </w:p>
        </w:tc>
      </w:tr>
      <w:tr>
        <w:trPr>
          <w:trHeight w:val="216"/>
        </w:trPr>
        <w:tc>
          <w:tcPr>
            <w:tcW w:w="5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2"/>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Weighted-average common shares outstanding – diluted</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23,044</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22,974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23,003</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22,969</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4"/>
        </w:trPr>
        <w:tc>
          <w:tcPr>
            <w:tcW w:w="5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3"/>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26"/>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Earnings per share of common stock – basic</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r>
      <w:tr>
        <w:trPr>
          <w:trHeight w:val="210"/>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Earnings per share of common stock – diluted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0.78</w:t>
            </w:r>
          </w:p>
        </w:tc>
      </w:tr>
    </w:tbl>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number of shares excluded from the diluted earnings per share calculations, because they would have been anti-dilutive, were 105 for the three months ended September 30, 2023, and 59 and 107 for the nine months ended September 30, 2024 and 2023, respectively. For the three and nine months ended September 30, 2024 and 2023, SARs and RSAs were not included in the diluted earnings per share calculations as they would have been anti-dilutive because the Company’s average stock price was less than or equal to the exercise price of the SARs or the grant price of the RSAs.</w:t>
      </w:r>
    </w:p>
    <w:p>
      <w:pPr>
        <w:spacing w:after="0" w:line="200" w:lineRule="exact"/>
        <w:rPr>
          <w:sz w:val="20"/>
          <w:szCs w:val="20"/>
          <w:color w:val="auto"/>
        </w:rPr>
      </w:pPr>
    </w:p>
    <w:p>
      <w:pPr>
        <w:spacing w:after="0" w:line="32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Weichai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3. </w:t>
      </w:r>
      <w:r>
        <w:rPr>
          <w:rFonts w:ascii="Times New Roman" w:cs="Times New Roman" w:eastAsia="Times New Roman" w:hAnsi="Times New Roman"/>
          <w:sz w:val="18"/>
          <w:szCs w:val="18"/>
          <w:i w:val="1"/>
          <w:iCs w:val="1"/>
          <w:color w:val="auto"/>
        </w:rPr>
        <w:t>Weichai Transactions</w:t>
      </w:r>
      <w:r>
        <w:rPr>
          <w:rFonts w:ascii="Times New Roman" w:cs="Times New Roman" w:eastAsia="Times New Roman" w:hAnsi="Times New Roman"/>
          <w:sz w:val="18"/>
          <w:szCs w:val="18"/>
          <w:color w:val="auto"/>
        </w:rPr>
        <w:t xml:space="preserve"> for information regarding the Weichai Shareholder’s Loan Agreement and Collaboration Agreement</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information regarding the Company’s indemnification obligations related to certain former directors and officers of the Company.</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2024, the Company reached a settlement with a customer in the amount of $5.8 million for the collection of past due accounts receivable and various pricing adjustments. As a result of the settlement, the Company reversed $1.6 million of credit losses in its Consolidated Statements of Income as of September 30, 2024. As part of the settlement agreement, the Company agreed to pay $7.7 million for its accepted warranty obligations to the customer. These obligations were previously recorded as outstanding credit memos and have been reclassified to Accounts Payable within its Consolidated Balance Sheet as of September 30, 2024 due to the settlement agreement requirement to settle these obligations in cash. Both parties agreed to continue normal and customary relationships under existing supply agreements and amended pricing and payment terms and conditions.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6" w:name="page27"/>
    <w:bookmarkEnd w:id="26"/>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includes forward-looking statements about the Company’s business and consolidated results of operations for the three and nine months ended September 30, 2024 and 2023, including discussions about management’s expectations for the Company’s business. These statements represent projections, beliefs and expectations based on current circumstances and conditions and are made in light of recent events and trends. These statements should not be construed either as assurances of performance or as promises of a given course of action. Instead, various known and unknown factors are likely to cause the Company’s actual performance and management’s actions to vary, and the results of these variances may be both material and adverse. See “Forward-Looking Statements” in this Quarterly Report. The following discussion should also be read in conjunction with the Company’s unaudited consolidated financial statements and the related Notes included in this Quarterly Report.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designs, engineers, manufactures, markets and sells a broad range of advanced, emission-certified engines and power systems that run on a wide variety of clean, alternative fuels, including natural gas, propane, and biofuels, as well as gasoline and diesel options, within the power systems, industrial and transportation end markets with primary manufacturing, assembly, engineering, research and development (“R&amp;D”), sales and distribution facilities located in suburban Chicago, Illinois and Darien and Beloit, Wisconsin. The Company provides highly engineered, comprehensive solutions designed to meet specific customer application requirements and technical specifications, including those imposed by environmental regulatory bodies, such as the U.S. Environment Protection Agency (“EPA”), the California Air Resource Board (“CARB”) and the People’s Republic of China’s Ministry of Ecology and Environment (“MEE”).</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products are primarily used by global original equipment manufacturers (“OEM”) and end-user customers across a wide range of applications and equipment that includes standby and prime power generation, demand response, microgrid, combined heat and power, arbor care, material handling (including forklifts), agricultural and turf, construction, pumps and irrigation, compressors, utility vehicles, light- and medium-duty vocational trucks, school and transit buses, and utility power. The Company manages the business as a single reporting segment.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area and by end market for the three and nine months ended September 30, 2024 and 2023 are presented below:</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8"/>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7"/>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Geographic Area</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of Total</w:t>
            </w: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 of Total</w:t>
            </w: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of Total</w:t>
            </w: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of Total</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United States</w:t>
            </w:r>
          </w:p>
        </w:tc>
        <w:tc>
          <w:tcPr>
            <w:tcW w:w="3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113,533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96,899</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294,295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285,761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186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North America</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(outside of United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5,824</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vMerge w:val="restart"/>
          </w:tcPr>
          <w:p>
            <w:pPr>
              <w:jc w:val="right"/>
              <w:ind w:right="559"/>
              <w:spacing w:after="0"/>
              <w:rPr>
                <w:sz w:val="20"/>
                <w:szCs w:val="20"/>
                <w:color w:val="auto"/>
              </w:rPr>
            </w:pPr>
            <w:r>
              <w:rPr>
                <w:rFonts w:ascii="Times New Roman" w:cs="Times New Roman" w:eastAsia="Times New Roman" w:hAnsi="Times New Roman"/>
                <w:sz w:val="16"/>
                <w:szCs w:val="16"/>
                <w:color w:val="auto"/>
              </w:rPr>
              <w:t>4,484</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16,127</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16,605</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States)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Pacific Rim</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5,595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9,485</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17,416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36,036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Europe</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890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4,273</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3,781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11,238</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743</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49</w:t>
            </w:r>
          </w:p>
        </w:tc>
        <w:tc>
          <w:tcPr>
            <w:tcW w:w="11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4,578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86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Borders>
              <w:top w:val="single" w:sz="8" w:color="auto"/>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125,842</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100 %</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115,884</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100 %</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331,668</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100 %</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354,218</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100 %</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8"/>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8"/>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7"/>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End Market</w:t>
            </w: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of Total</w:t>
            </w: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 of Total</w:t>
            </w: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of Total</w:t>
            </w: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of Total</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Power Systems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84,111</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67 %</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60,405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219,160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159,491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Industrial</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32,774</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26 %</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40,354</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93,031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128,819</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1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Transportation</w:t>
            </w: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8,957</w:t>
            </w:r>
          </w:p>
        </w:tc>
        <w:tc>
          <w:tcPr>
            <w:tcW w:w="9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7 %</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15,125</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19,477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65,908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86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125,842</w:t>
            </w:r>
          </w:p>
        </w:tc>
        <w:tc>
          <w:tcPr>
            <w:tcW w:w="9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100 %</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115,884</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100 %</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331,668</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100 %</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354,218</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100 %</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Trends and Business Outlook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PSI’s growth in net revenue for the nine months of 2024 was driven by power systems markets, including data center and oil and gas products, partially offset by lower sales from more mature, lower-margin markets such as transportation. This shift in markets reflects the Company’s conscious strategic prioritization towards higher growth, higher-margin markets with less emphasis on more mature markets.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7" w:name="page28"/>
    <w:bookmarkEnd w:id="27"/>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focused on leading the business through a growth phase with a stronger balance sheet while strategically prioritizing products that demonstrate strong demand and higher gross margins. Consistent with those goals, the Company is actively pursuing several initiatives to enhance and expand manufacturing capacity to meet the increasing demand from data center markets. Pivoting the focus to these markets is driving current net sales growth and profitability. Through expanded capacity and strategic partnerships, management expects this positive trend to continue.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PSI’s business is impacted by the current macroeconomic and geopolitical environment, which has contributed to differing levels of recovery in the global</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economy. For example, although the oil and gas market, in which the Company has historically operated, has experienced year over year growth from its historic lows, sales levels may not reach their previous higher levels because of rising crude oil prices and lower rig counts. The Company has been actively navigating these challenges by balancing its investments, expenses, pricing and sales efforts in this market as well as others.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prioritizing gross profit, the Company is committed to efficiently managing expenses, including streamlining operating expenses and prioritizing certain R&amp;D investments in support of long-term growth objectives. The Company is committed to focusing on growth opportunities and investment while also optimizing its cost structure to enhance growth and profitability, ultimately delivering sustained value to our shareholders.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continues to experience inflationary cost pressures for certain raw materials and other goods which the Company continues to try to mitigate through price increases and other cost reduction measures. Additionally, the Company continues to experience ongoing tariff costs for its supply chain products and is trying to mitigate these impacts through price increases and other measures, such as seeking certain tariff exclusions, where possible. The potential for continued economic uncertainty and unfavorable oil and gas market dynamics may have a material adverse impact on the levels of future customer orders and the Company’s future business operations, financial condition and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Condensed consolidated results of operations for the three and nine months ended September 30, 2024, compared with the three and nine months ended September 30, 2023 </w:t>
      </w: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(in thousands, except per share amounts)</w:t>
            </w:r>
          </w:p>
        </w:tc>
        <w:tc>
          <w:tcPr>
            <w:tcW w:w="140" w:type="dxa"/>
            <w:vAlign w:val="bottom"/>
          </w:tcPr>
          <w:p>
            <w:pPr>
              <w:spacing w:after="0"/>
              <w:rPr>
                <w:sz w:val="16"/>
                <w:szCs w:val="16"/>
                <w:color w:val="auto"/>
              </w:rPr>
            </w:pPr>
          </w:p>
        </w:tc>
        <w:tc>
          <w:tcPr>
            <w:tcW w:w="18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For the Nine Months</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Ended September 30,</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Ended September 30,</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Change</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 Change</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Change</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 Change</w:t>
            </w:r>
          </w:p>
        </w:tc>
        <w:tc>
          <w:tcPr>
            <w:tcW w:w="0" w:type="dxa"/>
            <w:vAlign w:val="bottom"/>
          </w:tcPr>
          <w:p>
            <w:pPr>
              <w:spacing w:after="0"/>
              <w:rPr>
                <w:sz w:val="1"/>
                <w:szCs w:val="1"/>
                <w:color w:val="auto"/>
              </w:rPr>
            </w:pPr>
          </w:p>
        </w:tc>
      </w:tr>
      <w:tr>
        <w:trPr>
          <w:trHeight w:val="157"/>
        </w:trPr>
        <w:tc>
          <w:tcPr>
            <w:tcW w:w="3560" w:type="dxa"/>
            <w:vAlign w:val="bottom"/>
            <w:tcBorders>
              <w:top w:val="single" w:sz="8" w:color="CCEEFF"/>
            </w:tcBorders>
            <w:gridSpan w:val="9"/>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(from related parties</w:t>
            </w:r>
          </w:p>
        </w:tc>
        <w:tc>
          <w:tcPr>
            <w:tcW w:w="280" w:type="dxa"/>
            <w:vAlign w:val="bottom"/>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w w:val="99"/>
                <w:shd w:val="clear" w:color="auto" w:fill="CCEEFF"/>
              </w:rPr>
              <w:t>$50</w:t>
            </w:r>
          </w:p>
        </w:tc>
        <w:tc>
          <w:tcPr>
            <w:tcW w:w="300" w:type="dxa"/>
            <w:vAlign w:val="bottom"/>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w w:val="95"/>
              </w:rPr>
              <w:t>and</w:t>
            </w:r>
          </w:p>
        </w:tc>
        <w:tc>
          <w:tcPr>
            <w:tcW w:w="32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auto"/>
                <w:w w:val="93"/>
                <w:shd w:val="clear" w:color="auto" w:fill="CCEEFF"/>
              </w:rPr>
              <w:t>$340</w:t>
            </w:r>
          </w:p>
        </w:tc>
        <w:tc>
          <w:tcPr>
            <w:tcW w:w="1280" w:type="dxa"/>
            <w:vAlign w:val="bottom"/>
            <w:gridSpan w:val="2"/>
            <w:shd w:val="clear" w:color="auto" w:fill="CCEEFF"/>
          </w:tcPr>
          <w:p>
            <w:pPr>
              <w:jc w:val="right"/>
              <w:ind w:right="379"/>
              <w:spacing w:after="0" w:line="148" w:lineRule="exact"/>
              <w:rPr>
                <w:sz w:val="20"/>
                <w:szCs w:val="20"/>
                <w:color w:val="auto"/>
              </w:rPr>
            </w:pPr>
            <w:r>
              <w:rPr>
                <w:rFonts w:ascii="Times New Roman" w:cs="Times New Roman" w:eastAsia="Times New Roman" w:hAnsi="Times New Roman"/>
                <w:sz w:val="16"/>
                <w:szCs w:val="16"/>
                <w:color w:val="auto"/>
              </w:rPr>
              <w:t>for the three</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660" w:type="dxa"/>
            <w:vAlign w:val="bottom"/>
            <w:gridSpan w:val="3"/>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months ended September</w:t>
            </w:r>
          </w:p>
        </w:tc>
        <w:tc>
          <w:tcPr>
            <w:tcW w:w="1900" w:type="dxa"/>
            <w:vAlign w:val="bottom"/>
            <w:gridSpan w:val="6"/>
            <w:shd w:val="clear" w:color="auto" w:fill="CCEEFF"/>
          </w:tcPr>
          <w:p>
            <w:pPr>
              <w:jc w:val="right"/>
              <w:ind w:right="199"/>
              <w:spacing w:after="0" w:line="175" w:lineRule="exact"/>
              <w:rPr>
                <w:sz w:val="20"/>
                <w:szCs w:val="20"/>
                <w:color w:val="auto"/>
              </w:rPr>
            </w:pPr>
            <w:r>
              <w:rPr>
                <w:rFonts w:ascii="Times New Roman" w:cs="Times New Roman" w:eastAsia="Times New Roman" w:hAnsi="Times New Roman"/>
                <w:sz w:val="16"/>
                <w:szCs w:val="16"/>
                <w:color w:val="auto"/>
              </w:rPr>
              <w:t>30, 2024 and September</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540" w:type="dxa"/>
            <w:vAlign w:val="bottom"/>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30, 2023, respectively,</w:t>
            </w:r>
          </w:p>
        </w:tc>
        <w:tc>
          <w:tcPr>
            <w:tcW w:w="360" w:type="dxa"/>
            <w:vAlign w:val="bottom"/>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w w:val="93"/>
                <w:shd w:val="clear" w:color="auto" w:fill="CCEEFF"/>
              </w:rPr>
              <w:t>$500</w:t>
            </w:r>
          </w:p>
        </w:tc>
        <w:tc>
          <w:tcPr>
            <w:tcW w:w="26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auto"/>
              </w:rPr>
              <w:t>and</w:t>
            </w:r>
          </w:p>
        </w:tc>
        <w:tc>
          <w:tcPr>
            <w:tcW w:w="460" w:type="dxa"/>
            <w:vAlign w:val="bottom"/>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w w:val="99"/>
                <w:shd w:val="clear" w:color="auto" w:fill="CCEEFF"/>
              </w:rPr>
              <w:t>$2,400</w:t>
            </w:r>
          </w:p>
        </w:tc>
        <w:tc>
          <w:tcPr>
            <w:tcW w:w="940" w:type="dxa"/>
            <w:vAlign w:val="bottom"/>
            <w:shd w:val="clear" w:color="auto" w:fill="CCEEFF"/>
          </w:tcPr>
          <w:p>
            <w:pPr>
              <w:jc w:val="right"/>
              <w:ind w:right="79"/>
              <w:spacing w:after="0" w:line="148" w:lineRule="exact"/>
              <w:rPr>
                <w:sz w:val="20"/>
                <w:szCs w:val="20"/>
                <w:color w:val="auto"/>
              </w:rPr>
            </w:pPr>
            <w:r>
              <w:rPr>
                <w:rFonts w:ascii="Times New Roman" w:cs="Times New Roman" w:eastAsia="Times New Roman" w:hAnsi="Times New Roman"/>
                <w:sz w:val="16"/>
                <w:szCs w:val="16"/>
                <w:color w:val="auto"/>
              </w:rPr>
              <w:t>for the nine</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4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w w:val="92"/>
              </w:rPr>
              <w:t>months ended September</w:t>
            </w:r>
          </w:p>
        </w:tc>
        <w:tc>
          <w:tcPr>
            <w:tcW w:w="3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30,</w:t>
            </w:r>
          </w:p>
        </w:tc>
        <w:tc>
          <w:tcPr>
            <w:tcW w:w="720" w:type="dxa"/>
            <w:vAlign w:val="bottom"/>
            <w:gridSpan w:val="4"/>
            <w:shd w:val="clear" w:color="auto" w:fill="CCEEFF"/>
          </w:tcPr>
          <w:p>
            <w:pPr>
              <w:ind w:left="40"/>
              <w:spacing w:after="0" w:line="162" w:lineRule="exact"/>
              <w:rPr>
                <w:sz w:val="20"/>
                <w:szCs w:val="20"/>
                <w:color w:val="auto"/>
              </w:rPr>
            </w:pPr>
            <w:r>
              <w:rPr>
                <w:rFonts w:ascii="Times New Roman" w:cs="Times New Roman" w:eastAsia="Times New Roman" w:hAnsi="Times New Roman"/>
                <w:sz w:val="16"/>
                <w:szCs w:val="16"/>
                <w:color w:val="auto"/>
              </w:rPr>
              <w:t>2024 and</w:t>
            </w:r>
          </w:p>
        </w:tc>
        <w:tc>
          <w:tcPr>
            <w:tcW w:w="940" w:type="dxa"/>
            <w:vAlign w:val="bottom"/>
            <w:shd w:val="clear" w:color="auto" w:fill="CCEEFF"/>
          </w:tcPr>
          <w:p>
            <w:pPr>
              <w:jc w:val="right"/>
              <w:ind w:right="199"/>
              <w:spacing w:after="0" w:line="162" w:lineRule="exact"/>
              <w:rPr>
                <w:sz w:val="20"/>
                <w:szCs w:val="20"/>
                <w:color w:val="auto"/>
              </w:rPr>
            </w:pPr>
            <w:r>
              <w:rPr>
                <w:rFonts w:ascii="Times New Roman" w:cs="Times New Roman" w:eastAsia="Times New Roman" w:hAnsi="Times New Roman"/>
                <w:sz w:val="16"/>
                <w:szCs w:val="16"/>
                <w:color w:val="auto"/>
                <w:w w:val="93"/>
              </w:rPr>
              <w:t>September</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125,842</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115,884</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9,958</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331,668</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354,218</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(22,550)</w:t>
            </w:r>
          </w:p>
        </w:tc>
        <w:tc>
          <w:tcPr>
            <w:tcW w:w="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6"/>
        </w:trPr>
        <w:tc>
          <w:tcPr>
            <w:tcW w:w="356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 2023, respectively)</w:t>
            </w:r>
          </w:p>
        </w:tc>
        <w:tc>
          <w:tcPr>
            <w:tcW w:w="14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60" w:type="dxa"/>
            <w:vAlign w:val="bottom"/>
            <w:gridSpan w:val="9"/>
          </w:tcPr>
          <w:p>
            <w:pPr>
              <w:ind w:left="220"/>
              <w:spacing w:after="0" w:line="162" w:lineRule="exact"/>
              <w:rPr>
                <w:sz w:val="20"/>
                <w:szCs w:val="20"/>
                <w:color w:val="auto"/>
              </w:rPr>
            </w:pPr>
            <w:r>
              <w:rPr>
                <w:rFonts w:ascii="Times New Roman" w:cs="Times New Roman" w:eastAsia="Times New Roman" w:hAnsi="Times New Roman"/>
                <w:sz w:val="16"/>
                <w:szCs w:val="16"/>
                <w:color w:val="auto"/>
              </w:rPr>
              <w:t>Cost of sales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gridSpan w:val="9"/>
          </w:tcPr>
          <w:p>
            <w:pPr>
              <w:ind w:left="220"/>
              <w:spacing w:after="0" w:line="162" w:lineRule="exact"/>
              <w:rPr>
                <w:sz w:val="20"/>
                <w:szCs w:val="20"/>
                <w:color w:val="auto"/>
              </w:rPr>
            </w:pPr>
            <w:r>
              <w:rPr>
                <w:rFonts w:ascii="Times New Roman" w:cs="Times New Roman" w:eastAsia="Times New Roman" w:hAnsi="Times New Roman"/>
                <w:sz w:val="16"/>
                <w:szCs w:val="16"/>
                <w:color w:val="auto"/>
              </w:rPr>
              <w:t>(from related parties $40 and $245 for the three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gridSpan w:val="9"/>
          </w:tcPr>
          <w:p>
            <w:pPr>
              <w:ind w:left="220"/>
              <w:spacing w:after="0" w:line="162" w:lineRule="exact"/>
              <w:rPr>
                <w:sz w:val="20"/>
                <w:szCs w:val="20"/>
                <w:color w:val="auto"/>
              </w:rPr>
            </w:pPr>
            <w:r>
              <w:rPr>
                <w:rFonts w:ascii="Times New Roman" w:cs="Times New Roman" w:eastAsia="Times New Roman" w:hAnsi="Times New Roman"/>
                <w:sz w:val="16"/>
                <w:szCs w:val="16"/>
                <w:color w:val="auto"/>
              </w:rPr>
              <w:t>months ended September 30, 2024 and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gridSpan w:val="9"/>
          </w:tcPr>
          <w:p>
            <w:pPr>
              <w:ind w:left="220"/>
              <w:spacing w:after="0" w:line="162" w:lineRule="exact"/>
              <w:rPr>
                <w:sz w:val="20"/>
                <w:szCs w:val="20"/>
                <w:color w:val="auto"/>
              </w:rPr>
            </w:pPr>
            <w:r>
              <w:rPr>
                <w:rFonts w:ascii="Times New Roman" w:cs="Times New Roman" w:eastAsia="Times New Roman" w:hAnsi="Times New Roman"/>
                <w:sz w:val="16"/>
                <w:szCs w:val="16"/>
                <w:color w:val="auto"/>
              </w:rPr>
              <w:t>September 30, 2023, respectively, and $370 and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gridSpan w:val="9"/>
          </w:tcPr>
          <w:p>
            <w:pPr>
              <w:ind w:left="220"/>
              <w:spacing w:after="0" w:line="162" w:lineRule="exact"/>
              <w:rPr>
                <w:sz w:val="20"/>
                <w:szCs w:val="20"/>
                <w:color w:val="auto"/>
              </w:rPr>
            </w:pPr>
            <w:r>
              <w:rPr>
                <w:rFonts w:ascii="Times New Roman" w:cs="Times New Roman" w:eastAsia="Times New Roman" w:hAnsi="Times New Roman"/>
                <w:sz w:val="16"/>
                <w:szCs w:val="16"/>
                <w:color w:val="auto"/>
              </w:rPr>
              <w:t>$1,755 for the nine months ended September 30,</w:t>
            </w:r>
          </w:p>
        </w:tc>
        <w:tc>
          <w:tcPr>
            <w:tcW w:w="140" w:type="dxa"/>
            <w:vAlign w:val="bottom"/>
          </w:tcPr>
          <w:p>
            <w:pPr>
              <w:spacing w:after="0"/>
              <w:rPr>
                <w:sz w:val="14"/>
                <w:szCs w:val="14"/>
                <w:color w:val="auto"/>
              </w:rPr>
            </w:pP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89,418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87,979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1,439</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234,300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275,890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(41,590)</w:t>
            </w:r>
          </w:p>
        </w:tc>
        <w:tc>
          <w:tcPr>
            <w:tcW w:w="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3560" w:type="dxa"/>
            <w:vAlign w:val="bottom"/>
            <w:tcBorders>
              <w:bottom w:val="single" w:sz="8" w:color="CCEEFF"/>
            </w:tcBorders>
            <w:gridSpan w:val="9"/>
          </w:tcPr>
          <w:p>
            <w:pPr>
              <w:ind w:left="220"/>
              <w:spacing w:after="0"/>
              <w:rPr>
                <w:sz w:val="20"/>
                <w:szCs w:val="20"/>
                <w:color w:val="auto"/>
              </w:rPr>
            </w:pPr>
            <w:r>
              <w:rPr>
                <w:rFonts w:ascii="Times New Roman" w:cs="Times New Roman" w:eastAsia="Times New Roman" w:hAnsi="Times New Roman"/>
                <w:sz w:val="16"/>
                <w:szCs w:val="16"/>
                <w:color w:val="auto"/>
              </w:rPr>
              <w:t>2024 and September 30, 2023, respectively)</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6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36,424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27,905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8,519</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97,368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78,328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19,040</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214"/>
        </w:trPr>
        <w:tc>
          <w:tcPr>
            <w:tcW w:w="3560" w:type="dxa"/>
            <w:vAlign w:val="bottom"/>
            <w:gridSpan w:val="9"/>
          </w:tcPr>
          <w:p>
            <w:pPr>
              <w:ind w:left="20"/>
              <w:spacing w:after="0"/>
              <w:rPr>
                <w:sz w:val="20"/>
                <w:szCs w:val="20"/>
                <w:color w:val="auto"/>
              </w:rPr>
            </w:pPr>
            <w:r>
              <w:rPr>
                <w:rFonts w:ascii="Times New Roman" w:cs="Times New Roman" w:eastAsia="Times New Roman" w:hAnsi="Times New Roman"/>
                <w:sz w:val="16"/>
                <w:szCs w:val="16"/>
                <w:i w:val="1"/>
                <w:iCs w:val="1"/>
                <w:color w:val="auto"/>
              </w:rPr>
              <w:t>Gross margin %</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28.9 %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24.1 %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4.8 %</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29.4 %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22.1 %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7.4 %</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560" w:type="dxa"/>
            <w:vAlign w:val="bottom"/>
            <w:gridSpan w:val="9"/>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60" w:type="dxa"/>
            <w:vAlign w:val="bottom"/>
            <w:gridSpan w:val="9"/>
          </w:tcPr>
          <w:p>
            <w:pPr>
              <w:ind w:left="48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4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14,807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14,028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779</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165"/>
        </w:trPr>
        <w:tc>
          <w:tcPr>
            <w:tcW w:w="3560" w:type="dxa"/>
            <w:vAlign w:val="bottom"/>
            <w:gridSpan w:val="9"/>
            <w:shd w:val="clear" w:color="auto" w:fill="CCEEFF"/>
          </w:tcPr>
          <w:p>
            <w:pPr>
              <w:ind w:left="480"/>
              <w:spacing w:after="0" w:line="165" w:lineRule="exact"/>
              <w:rPr>
                <w:sz w:val="20"/>
                <w:szCs w:val="20"/>
                <w:color w:val="auto"/>
              </w:rPr>
            </w:pPr>
            <w:r>
              <w:rPr>
                <w:rFonts w:ascii="Times New Roman" w:cs="Times New Roman" w:eastAsia="Times New Roman" w:hAnsi="Times New Roman"/>
                <w:sz w:val="16"/>
                <w:szCs w:val="16"/>
                <w:i w:val="1"/>
                <w:iCs w:val="1"/>
                <w:color w:val="auto"/>
              </w:rPr>
              <w:t>Research and development expenses as a %</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3.7 %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4.1 %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(0.4)%</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4.5 %</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4.0 %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0.5 %</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60" w:type="dxa"/>
            <w:vAlign w:val="bottom"/>
            <w:gridSpan w:val="9"/>
            <w:shd w:val="clear" w:color="auto" w:fill="CCEEFF"/>
          </w:tcPr>
          <w:p>
            <w:pPr>
              <w:ind w:left="480"/>
              <w:spacing w:after="0"/>
              <w:rPr>
                <w:sz w:val="20"/>
                <w:szCs w:val="20"/>
                <w:color w:val="auto"/>
              </w:rPr>
            </w:pPr>
            <w:r>
              <w:rPr>
                <w:rFonts w:ascii="Times New Roman" w:cs="Times New Roman" w:eastAsia="Times New Roman" w:hAnsi="Times New Roman"/>
                <w:sz w:val="16"/>
                <w:szCs w:val="16"/>
                <w:i w:val="1"/>
                <w:iCs w:val="1"/>
                <w:color w:val="auto"/>
              </w:rPr>
              <w:t>of sales</w:t>
            </w: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60" w:type="dxa"/>
            <w:vAlign w:val="bottom"/>
            <w:gridSpan w:val="9"/>
          </w:tcPr>
          <w:p>
            <w:pPr>
              <w:ind w:left="48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10,957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362</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25,009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31,050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(6,041)</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65"/>
        </w:trPr>
        <w:tc>
          <w:tcPr>
            <w:tcW w:w="3560" w:type="dxa"/>
            <w:vAlign w:val="bottom"/>
            <w:gridSpan w:val="9"/>
            <w:shd w:val="clear" w:color="auto" w:fill="CCEEFF"/>
          </w:tcPr>
          <w:p>
            <w:pPr>
              <w:ind w:left="480"/>
              <w:spacing w:after="0" w:line="165" w:lineRule="exact"/>
              <w:rPr>
                <w:sz w:val="20"/>
                <w:szCs w:val="20"/>
                <w:color w:val="auto"/>
              </w:rPr>
            </w:pPr>
            <w:r>
              <w:rPr>
                <w:rFonts w:ascii="Times New Roman" w:cs="Times New Roman" w:eastAsia="Times New Roman" w:hAnsi="Times New Roman"/>
                <w:sz w:val="16"/>
                <w:szCs w:val="16"/>
                <w:i w:val="1"/>
                <w:iCs w:val="1"/>
                <w:color w:val="auto"/>
              </w:rPr>
              <w:t>Selling, general and administrative expenses</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8.7 %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9.1 %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(0.4)%</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7.5 %</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8.8 %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(1.3)%</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60" w:type="dxa"/>
            <w:vAlign w:val="bottom"/>
            <w:gridSpan w:val="9"/>
            <w:shd w:val="clear" w:color="auto" w:fill="CCEEFF"/>
          </w:tcPr>
          <w:p>
            <w:pPr>
              <w:ind w:left="480"/>
              <w:spacing w:after="0"/>
              <w:rPr>
                <w:sz w:val="20"/>
                <w:szCs w:val="20"/>
                <w:color w:val="auto"/>
              </w:rPr>
            </w:pPr>
            <w:r>
              <w:rPr>
                <w:rFonts w:ascii="Times New Roman" w:cs="Times New Roman" w:eastAsia="Times New Roman" w:hAnsi="Times New Roman"/>
                <w:sz w:val="16"/>
                <w:szCs w:val="16"/>
                <w:i w:val="1"/>
                <w:iCs w:val="1"/>
                <w:color w:val="auto"/>
              </w:rPr>
              <w:t>as a % of sales</w:t>
            </w: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60" w:type="dxa"/>
            <w:vAlign w:val="bottom"/>
            <w:tcBorders>
              <w:bottom w:val="single" w:sz="8" w:color="CCEEFF"/>
            </w:tcBorders>
            <w:gridSpan w:val="9"/>
          </w:tcPr>
          <w:p>
            <w:pPr>
              <w:ind w:left="4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365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436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1,095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1,309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(214)</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2"/>
        </w:trPr>
        <w:tc>
          <w:tcPr>
            <w:tcW w:w="3560" w:type="dxa"/>
            <w:vAlign w:val="bottom"/>
            <w:gridSpan w:val="9"/>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15,973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15,793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40,911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46,387</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(5,476)</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7"/>
        </w:trPr>
        <w:tc>
          <w:tcPr>
            <w:tcW w:w="3560" w:type="dxa"/>
            <w:vAlign w:val="bottom"/>
            <w:gridSpan w:val="9"/>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40" w:type="dxa"/>
            <w:vAlign w:val="bottom"/>
          </w:tcPr>
          <w:p>
            <w:pPr>
              <w:spacing w:after="0"/>
              <w:rPr>
                <w:sz w:val="17"/>
                <w:szCs w:val="17"/>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20,451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12,112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8,339</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56,457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31,941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24,516</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0" w:type="dxa"/>
            <w:vAlign w:val="bottom"/>
          </w:tcPr>
          <w:p>
            <w:pPr>
              <w:spacing w:after="0"/>
              <w:rPr>
                <w:sz w:val="1"/>
                <w:szCs w:val="1"/>
                <w:color w:val="auto"/>
              </w:rPr>
            </w:pPr>
          </w:p>
        </w:tc>
      </w:tr>
      <w:tr>
        <w:trPr>
          <w:trHeight w:val="165"/>
        </w:trPr>
        <w:tc>
          <w:tcPr>
            <w:tcW w:w="3560" w:type="dxa"/>
            <w:vAlign w:val="bottom"/>
            <w:gridSpan w:val="9"/>
            <w:shd w:val="clear" w:color="auto" w:fill="CCEEFF"/>
          </w:tcPr>
          <w:p>
            <w:pPr>
              <w:ind w:left="480"/>
              <w:spacing w:after="0" w:line="165" w:lineRule="exact"/>
              <w:rPr>
                <w:sz w:val="20"/>
                <w:szCs w:val="20"/>
                <w:color w:val="auto"/>
              </w:rPr>
            </w:pPr>
            <w:r>
              <w:rPr>
                <w:rFonts w:ascii="Times New Roman" w:cs="Times New Roman" w:eastAsia="Times New Roman" w:hAnsi="Times New Roman"/>
                <w:sz w:val="16"/>
                <w:szCs w:val="16"/>
                <w:color w:val="auto"/>
              </w:rPr>
              <w:t>Interest expense (from related parties $1,800</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gridSpan w:val="9"/>
            <w:shd w:val="clear" w:color="auto" w:fill="CCEEFF"/>
          </w:tcPr>
          <w:p>
            <w:pPr>
              <w:ind w:left="480"/>
              <w:spacing w:after="0" w:line="162" w:lineRule="exact"/>
              <w:rPr>
                <w:sz w:val="20"/>
                <w:szCs w:val="20"/>
                <w:color w:val="auto"/>
              </w:rPr>
            </w:pPr>
            <w:r>
              <w:rPr>
                <w:rFonts w:ascii="Times New Roman" w:cs="Times New Roman" w:eastAsia="Times New Roman" w:hAnsi="Times New Roman"/>
                <w:sz w:val="16"/>
                <w:szCs w:val="16"/>
                <w:color w:val="auto"/>
              </w:rPr>
              <w:t>and $2,000 for the three months ended June</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gridSpan w:val="9"/>
            <w:shd w:val="clear" w:color="auto" w:fill="CCEEFF"/>
          </w:tcPr>
          <w:p>
            <w:pPr>
              <w:ind w:left="480"/>
              <w:spacing w:after="0" w:line="162" w:lineRule="exact"/>
              <w:rPr>
                <w:sz w:val="20"/>
                <w:szCs w:val="20"/>
                <w:color w:val="auto"/>
              </w:rPr>
            </w:pPr>
            <w:r>
              <w:rPr>
                <w:rFonts w:ascii="Times New Roman" w:cs="Times New Roman" w:eastAsia="Times New Roman" w:hAnsi="Times New Roman"/>
                <w:sz w:val="16"/>
                <w:szCs w:val="16"/>
                <w:color w:val="auto"/>
              </w:rPr>
              <w:t>30, 2024 and 2023, respectively, and 6,300</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gridSpan w:val="9"/>
            <w:shd w:val="clear" w:color="auto" w:fill="CCEEFF"/>
          </w:tcPr>
          <w:p>
            <w:pPr>
              <w:ind w:left="480"/>
              <w:spacing w:after="0" w:line="162" w:lineRule="exact"/>
              <w:rPr>
                <w:sz w:val="20"/>
                <w:szCs w:val="20"/>
                <w:color w:val="auto"/>
              </w:rPr>
            </w:pPr>
            <w:r>
              <w:rPr>
                <w:rFonts w:ascii="Times New Roman" w:cs="Times New Roman" w:eastAsia="Times New Roman" w:hAnsi="Times New Roman"/>
                <w:sz w:val="16"/>
                <w:szCs w:val="16"/>
                <w:color w:val="auto"/>
              </w:rPr>
              <w:t>and 5,800 for the nine months ended</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gridSpan w:val="9"/>
            <w:shd w:val="clear" w:color="auto" w:fill="CCEEFF"/>
          </w:tcPr>
          <w:p>
            <w:pPr>
              <w:ind w:left="480"/>
              <w:spacing w:after="0" w:line="162" w:lineRule="exact"/>
              <w:rPr>
                <w:sz w:val="20"/>
                <w:szCs w:val="20"/>
                <w:color w:val="auto"/>
              </w:rPr>
            </w:pPr>
            <w:r>
              <w:rPr>
                <w:rFonts w:ascii="Times New Roman" w:cs="Times New Roman" w:eastAsia="Times New Roman" w:hAnsi="Times New Roman"/>
                <w:sz w:val="16"/>
                <w:szCs w:val="16"/>
                <w:color w:val="auto"/>
              </w:rPr>
              <w:t>September 30, 2024 and September 30, 2023,</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2,837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4,164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(1,327)</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9,092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13,474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(4,382)</w:t>
            </w:r>
          </w:p>
        </w:tc>
        <w:tc>
          <w:tcPr>
            <w:tcW w:w="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6"/>
        </w:trPr>
        <w:tc>
          <w:tcPr>
            <w:tcW w:w="3560" w:type="dxa"/>
            <w:vAlign w:val="bottom"/>
            <w:gridSpan w:val="9"/>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respectively)</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60" w:type="dxa"/>
            <w:vAlign w:val="bottom"/>
            <w:tcBorders>
              <w:bottom w:val="single" w:sz="8" w:color="CCEEFF"/>
            </w:tcBorders>
            <w:gridSpan w:val="9"/>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17,614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7,948</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9,666</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47,365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18,467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28,898</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0" w:type="dxa"/>
            <w:vAlign w:val="bottom"/>
          </w:tcPr>
          <w:p>
            <w:pPr>
              <w:spacing w:after="0"/>
              <w:rPr>
                <w:sz w:val="1"/>
                <w:szCs w:val="1"/>
                <w:color w:val="auto"/>
              </w:rPr>
            </w:pPr>
          </w:p>
        </w:tc>
      </w:tr>
      <w:tr>
        <w:trPr>
          <w:trHeight w:val="209"/>
        </w:trPr>
        <w:tc>
          <w:tcPr>
            <w:tcW w:w="3560" w:type="dxa"/>
            <w:vAlign w:val="bottom"/>
            <w:gridSpan w:val="9"/>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277</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1,373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842</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0" w:type="dxa"/>
            <w:vAlign w:val="bottom"/>
          </w:tcPr>
          <w:p>
            <w:pPr>
              <w:spacing w:after="0"/>
              <w:rPr>
                <w:sz w:val="1"/>
                <w:szCs w:val="1"/>
                <w:color w:val="auto"/>
              </w:rPr>
            </w:pPr>
          </w:p>
        </w:tc>
      </w:tr>
      <w:tr>
        <w:trPr>
          <w:trHeight w:val="212"/>
        </w:trPr>
        <w:tc>
          <w:tcPr>
            <w:tcW w:w="3560" w:type="dxa"/>
            <w:vAlign w:val="bottom"/>
            <w:gridSpan w:val="9"/>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17,337</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7,795</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9,542</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45,992</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17,936</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28,056</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0" w:type="dxa"/>
            <w:vAlign w:val="bottom"/>
          </w:tcPr>
          <w:p>
            <w:pPr>
              <w:spacing w:after="0"/>
              <w:rPr>
                <w:sz w:val="1"/>
                <w:szCs w:val="1"/>
                <w:color w:val="auto"/>
              </w:rPr>
            </w:pPr>
          </w:p>
        </w:tc>
      </w:tr>
      <w:tr>
        <w:trPr>
          <w:trHeight w:val="20"/>
        </w:trPr>
        <w:tc>
          <w:tcPr>
            <w:tcW w:w="1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3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3560" w:type="dxa"/>
            <w:vAlign w:val="bottom"/>
            <w:gridSpan w:val="9"/>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560" w:type="dxa"/>
            <w:vAlign w:val="bottom"/>
            <w:gridSpan w:val="9"/>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0.41</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0.78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0" w:type="dxa"/>
            <w:vAlign w:val="bottom"/>
          </w:tcPr>
          <w:p>
            <w:pPr>
              <w:spacing w:after="0"/>
              <w:rPr>
                <w:sz w:val="1"/>
                <w:szCs w:val="1"/>
                <w:color w:val="auto"/>
              </w:rPr>
            </w:pPr>
          </w:p>
        </w:tc>
      </w:tr>
      <w:tr>
        <w:trPr>
          <w:trHeight w:val="210"/>
        </w:trPr>
        <w:tc>
          <w:tcPr>
            <w:tcW w:w="3560" w:type="dxa"/>
            <w:vAlign w:val="bottom"/>
            <w:gridSpan w:val="9"/>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0.34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0.41</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0" w:type="dxa"/>
            <w:vAlign w:val="bottom"/>
          </w:tcPr>
          <w:p>
            <w:pPr>
              <w:spacing w:after="0"/>
              <w:rPr>
                <w:sz w:val="1"/>
                <w:szCs w:val="1"/>
                <w:color w:val="auto"/>
              </w:rPr>
            </w:pPr>
          </w:p>
        </w:tc>
      </w:tr>
      <w:tr>
        <w:trPr>
          <w:trHeight w:val="60"/>
        </w:trPr>
        <w:tc>
          <w:tcPr>
            <w:tcW w:w="1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56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60" w:type="dxa"/>
            <w:vAlign w:val="bottom"/>
            <w:gridSpan w:val="9"/>
          </w:tcPr>
          <w:p>
            <w:pPr>
              <w:ind w:left="220"/>
              <w:spacing w:after="0"/>
              <w:rPr>
                <w:sz w:val="20"/>
                <w:szCs w:val="20"/>
                <w:color w:val="auto"/>
              </w:rPr>
            </w:pPr>
            <w:r>
              <w:rPr>
                <w:rFonts w:ascii="Times New Roman" w:cs="Times New Roman" w:eastAsia="Times New Roman" w:hAnsi="Times New Roman"/>
                <w:sz w:val="16"/>
                <w:szCs w:val="16"/>
                <w:color w:val="auto"/>
              </w:rPr>
              <w:t>Adjusted net income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17,341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8,861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8,480</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40,941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19,029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21,912</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0" w:type="dxa"/>
            <w:vAlign w:val="bottom"/>
          </w:tcPr>
          <w:p>
            <w:pPr>
              <w:spacing w:after="0"/>
              <w:rPr>
                <w:sz w:val="1"/>
                <w:szCs w:val="1"/>
                <w:color w:val="auto"/>
              </w:rPr>
            </w:pPr>
          </w:p>
        </w:tc>
      </w:tr>
      <w:tr>
        <w:trPr>
          <w:trHeight w:val="219"/>
        </w:trPr>
        <w:tc>
          <w:tcPr>
            <w:tcW w:w="3560" w:type="dxa"/>
            <w:vAlign w:val="bottom"/>
            <w:gridSpan w:val="9"/>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Adjusted net income per share – 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0.36</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0.84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0.95</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0" w:type="dxa"/>
            <w:vAlign w:val="bottom"/>
          </w:tcPr>
          <w:p>
            <w:pPr>
              <w:spacing w:after="0"/>
              <w:rPr>
                <w:sz w:val="1"/>
                <w:szCs w:val="1"/>
                <w:color w:val="auto"/>
              </w:rPr>
            </w:pPr>
          </w:p>
        </w:tc>
      </w:tr>
      <w:tr>
        <w:trPr>
          <w:trHeight w:val="213"/>
        </w:trPr>
        <w:tc>
          <w:tcPr>
            <w:tcW w:w="3560" w:type="dxa"/>
            <w:vAlign w:val="bottom"/>
            <w:gridSpan w:val="9"/>
          </w:tcPr>
          <w:p>
            <w:pPr>
              <w:ind w:left="220"/>
              <w:spacing w:after="0"/>
              <w:rPr>
                <w:sz w:val="20"/>
                <w:szCs w:val="20"/>
                <w:color w:val="auto"/>
              </w:rPr>
            </w:pPr>
            <w:r>
              <w:rPr>
                <w:rFonts w:ascii="Times New Roman" w:cs="Times New Roman" w:eastAsia="Times New Roman" w:hAnsi="Times New Roman"/>
                <w:sz w:val="16"/>
                <w:szCs w:val="16"/>
                <w:color w:val="auto"/>
              </w:rPr>
              <w:t>EBITDA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21,747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13,498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8,249</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60,388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36,175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24,213</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0" w:type="dxa"/>
            <w:vAlign w:val="bottom"/>
          </w:tcPr>
          <w:p>
            <w:pPr>
              <w:spacing w:after="0"/>
              <w:rPr>
                <w:sz w:val="1"/>
                <w:szCs w:val="1"/>
                <w:color w:val="auto"/>
              </w:rPr>
            </w:pPr>
          </w:p>
        </w:tc>
      </w:tr>
      <w:tr>
        <w:trPr>
          <w:trHeight w:val="219"/>
        </w:trPr>
        <w:tc>
          <w:tcPr>
            <w:tcW w:w="3560" w:type="dxa"/>
            <w:vAlign w:val="bottom"/>
            <w:gridSpan w:val="9"/>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Adjusted EBITDA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21,751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14,564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7,187</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55,337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37,268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18,069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color w:val="auto"/>
        </w:rPr>
        <w:t>NM</w:t>
        <w:tab/>
        <w:t>Not meaningful</w:t>
      </w:r>
    </w:p>
    <w:p>
      <w:pPr>
        <w:spacing w:after="0" w:line="17" w:lineRule="exact"/>
        <w:rPr>
          <w:sz w:val="20"/>
          <w:szCs w:val="20"/>
          <w:color w:val="auto"/>
        </w:rPr>
      </w:pPr>
    </w:p>
    <w:p>
      <w:pPr>
        <w:ind w:left="640" w:hanging="632"/>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measurement, see reconciliation below</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sales increased $10.0 million, or 9%, during the three months ended September 30, 2024, compared to the three months ended September 30, 2023, as a result of higher sales of $23.7 million in the power systems end market, partially offset by a decrease of $7.6 million and $6.2 million within the industrial and transportation end markets, respectively. Higher power systems end market sales were primarily due to increased demand for products across various applications, with the largest increases attributable to products used within the packaging market such as enclosures serving the fast-growing Data Center market, as well as oil and gas products. The Company is strategically prioritizing the rapidly expanding Data Center sector, improving and increasing our manufacturing capacity and capabilities to meet and exceed our customers’ evolving demands for our products. Decreased industrial end market sales are primarily due to decreases in demand for products used within the material handling and arbor care markets, as well as the direct effects of enforcement of the UFLPA, which limited the Company’s ability to import certain raw materials continuing through the third quarter of 2024. The decreased sales within the transportation end market were primarily attributable to lower sales in the truck and school bus market as customer products have evolved, decrease in sales from shifting away from some of our transportation customers, and new compliance and regulatory requirements that have changed engine product offerings.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sales decreased $22.6 million, or 6%, during the nine months ended September 30, 2024, compared to the nine months ended September 30, 2023, as a result of lower sales of $35.8 million and $46.4 million within the industrial and transportation end markets, respectively, partly offset by an increase of $59.7 million in the power systems end market. Higher power systems end market sales were primarily due to increased demand for products across various applications, with the largest increases attributable to products used within the packaging market such as enclosures serving the fast-growing Data Center market, as well as oil and gas products and demand response products. The Company is strategically prioritizing the rapidly expanding Data Center sector, improving and increasing our manufacturing capacity and capabilities to meet and exceed our customers’ evolving demands for our products. Decreased industrial end market sales are primarily due to decreases in demand for products used within the material handling and arbor care markets, as well as the direct effects of enforcement of the UFLPA, which limited the Company’s ability to import certain raw materials continuing through the third quarter of 2024. The decreased sales within the transportation end market were primarily attributable to lower sales in the truck and school bus market as customer products have evolved, decrease in sales from shifting away from some of our transportation customers, and new compliance and regulatory requirements that have changed engine product offerings.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during the three months ended September 30, 2024 by $8.5 million, or 31%, compared to the three months ended September 30, 2023. Gross margin was 28.9% and 24.1% during the three months ended September 30, 2024 and 2023, respectively. The increase in gross margin is primarily due to improved mix, pricing actions, higher operating efficiencies, and lower warranty costs primarily attributable to the Company’s sales shift away from certain transportation customers.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during the nine months ended September 30, 2024 by $19.0 million, or 24%, compared to the nine months ended September 30, 2023. Gross margin was 29.4% and 22.1% during the nine months ended September 30, 2024 and 2023, respectively. The increase in gross margin is primarily due to improved mix, pricing actions, higher operating efficiencies, and lower warranty costs primarily attributable to the Company’s sales shift away from certain transportation customers.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during the three months ended September 30, 2024 and 2023 were $4.7 million and $4.8 million, respectively.</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during the nine months ended September 30, 2024 and 2023 were $14.8 million and $14.0 million, respectively. The increase of $0.8 million or 6% was primarily related to the testing of new products.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(“SG&amp;A”) expenses were $11.0 million during the three months ended September 30, 2024 an increase of $0.4 million, or 3%, compared to the three months ended September 30, 2023, primarily due to higher executive compensation, offset by lower legal expenses.</w:t>
      </w:r>
    </w:p>
    <w:p>
      <w:pPr>
        <w:spacing w:after="0" w:line="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SG&amp;A expenses were $25.0 million during the nine months ended September 30, 2024, a decrease of $6.0 million, or 19%, compared to the nine months ended September 30, 2023, primarily due to the decrease in the legal reserve, lower professional fees and the decrease selling expenses associated with decreased sales in the transportation market.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Interest expense was $2.8 million for the three months ended September 30, 2024, as compared to $4.2 million for the three months ended September 30, 2023, largely due to lower average outstanding debt, partially offset by higher overall effective interest rates on the Company’s debt. See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included in Part 1,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for additional information.</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Interest expense was $9.1 million for the nine months ended September 30, 2024, as compared to $13.5 million for the nine months ended September 30, 2023, largely due to lower average outstanding debt, partially offset by higher overall effective interest rates on the Company’s debt. See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included in Part 1,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for additional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recorded income tax expense of $0.3 million for the three months ended September 30, 2024, as compared to income tax expense of $0.2 million for the three months ended September 30, 2023. The Company’s pretax income was $17.6 million for the three months ended September 30, 2024, compared to a pretax income of $7.9 million for the three months ended September 30, 2023. The Company continues to utilize Net Operating Losses (“NOLs”) along with other tax credits to lower its effective tax rate. The Company continues to record a full valuation allowance against deferred tax assets.</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recorded income tax expense of $1.4 million for the nine months ended September 30, 2024, as compared to income tax expense of $0.5 million for the nine months ended September 30, 2023. The Company’s pretax income was $47.4 million for the nine months ended September 30, 2024, compared to pretax income of $18.5 million for the nine months ended September 30, 2023. The Company continues to utilize NOLs along with other tax credits to lower its effective tax rate. The Company continues to record a full valuation allowance against deferred tax assets.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included in Part I,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for additional information related to the Company’s income tax provision.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addition to the results provided in accordance with U.S. GAAP above, this report also includes non-GAAP (adjusted) financial measures. Non-GAAP financial measures provide insight into selected financial information and should be evaluated in the context in which they are presented. These non-GAAP financial measures have limitations as analytical tools and should not be considered in isolation from, or as a substitute for, financial information presented in compliance with U.S. GAAP, and non-GAAP financial measures as reported by the Company may not be comparable to similarly titled amounts reported by other companies. The non-GAAP financial measures should be considered in conjunction with the consolidated financial statements, including the related notes, and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included in this report. Management does not use these non-GAAP financial measures for any purpose other than the reasons stated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Financial Measure</w:t>
            </w:r>
          </w:p>
        </w:tc>
        <w:tc>
          <w:tcPr>
            <w:tcW w:w="708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6"/>
                <w:szCs w:val="16"/>
                <w:b w:val="1"/>
                <w:bCs w:val="1"/>
                <w:color w:val="auto"/>
              </w:rPr>
              <w:t>Comparable GAAP Financial Measure</w:t>
            </w:r>
          </w:p>
        </w:tc>
      </w:tr>
      <w:tr>
        <w:trPr>
          <w:trHeight w:val="21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708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Net income</w:t>
            </w: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 per share – diluted</w:t>
            </w:r>
          </w:p>
        </w:tc>
        <w:tc>
          <w:tcPr>
            <w:tcW w:w="708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Net income per share – diluted</w:t>
            </w:r>
          </w:p>
        </w:tc>
      </w:tr>
      <w:tr>
        <w:trPr>
          <w:trHeight w:val="21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708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Net income</w:t>
            </w:r>
          </w:p>
        </w:tc>
      </w:tr>
      <w:tr>
        <w:trPr>
          <w:trHeight w:val="210"/>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708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Net income</w:t>
            </w:r>
          </w:p>
        </w:tc>
      </w:tr>
    </w:tbl>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believes that Adjusted net income, Adjusted net income per share – diluted, EBITDA, and Adjusted EBITDA provide relevant and useful information, which is widely used by analysts, investors and competitors in its industry as well as by the Company’s management in assessing the performance of the Company. Adjusted net income is defined as net income as adjusted for certain items that the Company believes are not indicative of its ongoing operating performance. Adjusted net income per share – diluted is a measure of the Company’s diluted earnings per common share adjusted for the impact of special items. EBITDA provides the Company with an understanding of earnings before the impact of investing and financing charges and income taxes. Adjusted EBITDA further excludes the effects of other non-cash charges and certain other items that do not reflect the ordinary earnings of the Company’s operations.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net income, Adjusted net income per share – diluted, EBITDA, and Adjusted EBITDA are used by management for various purposes, including as a measure of performance of the Company’s operations and as a basis for strategic planning and forecasting. Adjusted net income, Adjusted net income per share – diluted, and Adjusted EBITDA may be useful to an investor because these measures are widely used to evaluate companies’ operating performance without regard to items excluded from the calculation of such measures, which can vary substantially from company to company depending on the accounting methods, the book value of assets, the capital structure and the method by which the assets were acquired, among other factors. They are not, however, intended as alternative measures of operating results or cash flow from operations as determined in accordance with U.S. GAAP.</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from Net income to Adjusted net income for the three and nine months ended September 30, 2024 and 2023: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20" w:type="dxa"/>
            <w:vAlign w:val="bottom"/>
          </w:tcPr>
          <w:p>
            <w:pPr>
              <w:spacing w:after="0"/>
              <w:rPr>
                <w:sz w:val="16"/>
                <w:szCs w:val="16"/>
                <w:color w:val="auto"/>
              </w:rPr>
            </w:pPr>
          </w:p>
        </w:tc>
        <w:tc>
          <w:tcPr>
            <w:tcW w:w="260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40" w:type="dxa"/>
            <w:vAlign w:val="bottom"/>
          </w:tcPr>
          <w:p>
            <w:pPr>
              <w:spacing w:after="0"/>
              <w:rPr>
                <w:sz w:val="16"/>
                <w:szCs w:val="16"/>
                <w:color w:val="auto"/>
              </w:rPr>
            </w:pPr>
          </w:p>
        </w:tc>
        <w:tc>
          <w:tcPr>
            <w:tcW w:w="248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4"/>
        </w:trPr>
        <w:tc>
          <w:tcPr>
            <w:tcW w:w="5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r>
      <w:tr>
        <w:trPr>
          <w:trHeight w:val="209"/>
        </w:trPr>
        <w:tc>
          <w:tcPr>
            <w:tcW w:w="57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1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45,992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17,936</w:t>
            </w:r>
          </w:p>
        </w:tc>
      </w:tr>
      <w:tr>
        <w:trPr>
          <w:trHeight w:val="216"/>
        </w:trPr>
        <w:tc>
          <w:tcPr>
            <w:tcW w:w="57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16"/>
        </w:trPr>
        <w:tc>
          <w:tcPr>
            <w:tcW w:w="57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Other legal matters </w:t>
            </w:r>
            <w:r>
              <w:rPr>
                <w:rFonts w:ascii="Times New Roman" w:cs="Times New Roman" w:eastAsia="Times New Roman" w:hAnsi="Times New Roman"/>
                <w:sz w:val="21"/>
                <w:szCs w:val="21"/>
                <w:color w:val="auto"/>
                <w:vertAlign w:val="superscript"/>
              </w:rPr>
              <w:t>2</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w:t>
            </w:r>
          </w:p>
        </w:tc>
      </w:tr>
      <w:tr>
        <w:trPr>
          <w:trHeight w:val="216"/>
        </w:trPr>
        <w:tc>
          <w:tcPr>
            <w:tcW w:w="57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Insurance proceeds </w:t>
            </w:r>
            <w:r>
              <w:rPr>
                <w:rFonts w:ascii="Times New Roman" w:cs="Times New Roman" w:eastAsia="Times New Roman" w:hAnsi="Times New Roman"/>
                <w:sz w:val="21"/>
                <w:szCs w:val="21"/>
                <w:color w:val="auto"/>
                <w:vertAlign w:val="superscript"/>
              </w:rPr>
              <w:t>3</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35"/>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40,941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19,029</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2" w:name="page33"/>
    <w:bookmarkEnd w:id="32"/>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from Net income per share – diluted to Adjusted net income per share – diluted for the three and nine months ended September 30, 2024 and 2023:</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280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60" w:type="dxa"/>
            <w:vAlign w:val="bottom"/>
          </w:tcPr>
          <w:p>
            <w:pPr>
              <w:spacing w:after="0"/>
              <w:rPr>
                <w:sz w:val="16"/>
                <w:szCs w:val="16"/>
                <w:color w:val="auto"/>
              </w:rPr>
            </w:pPr>
          </w:p>
        </w:tc>
        <w:tc>
          <w:tcPr>
            <w:tcW w:w="246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4"/>
        </w:trPr>
        <w:tc>
          <w:tcPr>
            <w:tcW w:w="57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r>
      <w:tr>
        <w:trPr>
          <w:trHeight w:val="210"/>
        </w:trPr>
        <w:tc>
          <w:tcPr>
            <w:tcW w:w="57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1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share – diluted</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r>
      <w:tr>
        <w:trPr>
          <w:trHeight w:val="216"/>
        </w:trPr>
        <w:tc>
          <w:tcPr>
            <w:tcW w:w="572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1"/>
                <w:szCs w:val="21"/>
                <w:color w:val="auto"/>
                <w:vertAlign w:val="superscript"/>
              </w:rPr>
              <w:t>1</w:t>
            </w:r>
          </w:p>
        </w:tc>
        <w:tc>
          <w:tcPr>
            <w:tcW w:w="8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16"/>
        </w:trPr>
        <w:tc>
          <w:tcPr>
            <w:tcW w:w="572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Other legal matters </w:t>
            </w:r>
            <w:r>
              <w:rPr>
                <w:rFonts w:ascii="Times New Roman" w:cs="Times New Roman" w:eastAsia="Times New Roman" w:hAnsi="Times New Roman"/>
                <w:sz w:val="21"/>
                <w:szCs w:val="21"/>
                <w:color w:val="auto"/>
                <w:vertAlign w:val="superscript"/>
              </w:rPr>
              <w:t>2</w:t>
            </w: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210"/>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 per share – diluted</w:t>
            </w: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0.84</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15"/>
        </w:trPr>
        <w:tc>
          <w:tcPr>
            <w:tcW w:w="57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212"/>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Diluted shares (in thousands)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22,969</w:t>
            </w:r>
          </w:p>
        </w:tc>
      </w:tr>
    </w:tbl>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from Net income to EBITDA and Adjusted EBITDA for the three and nine months ended September 30, 2024 and 2023:</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20" w:type="dxa"/>
            <w:vAlign w:val="bottom"/>
          </w:tcPr>
          <w:p>
            <w:pPr>
              <w:spacing w:after="0"/>
              <w:rPr>
                <w:sz w:val="16"/>
                <w:szCs w:val="16"/>
                <w:color w:val="auto"/>
              </w:rPr>
            </w:pPr>
          </w:p>
        </w:tc>
        <w:tc>
          <w:tcPr>
            <w:tcW w:w="258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60" w:type="dxa"/>
            <w:vAlign w:val="bottom"/>
          </w:tcPr>
          <w:p>
            <w:pPr>
              <w:spacing w:after="0"/>
              <w:rPr>
                <w:sz w:val="16"/>
                <w:szCs w:val="16"/>
                <w:color w:val="auto"/>
              </w:rPr>
            </w:pPr>
          </w:p>
        </w:tc>
        <w:tc>
          <w:tcPr>
            <w:tcW w:w="246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4"/>
        </w:trPr>
        <w:tc>
          <w:tcPr>
            <w:tcW w:w="5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r>
      <w:tr>
        <w:trPr>
          <w:trHeight w:val="209"/>
        </w:trPr>
        <w:tc>
          <w:tcPr>
            <w:tcW w:w="57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1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45,992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17,936</w:t>
            </w:r>
          </w:p>
        </w:tc>
      </w:tr>
      <w:tr>
        <w:trPr>
          <w:trHeight w:val="213"/>
        </w:trPr>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13,474</w:t>
            </w:r>
          </w:p>
        </w:tc>
      </w:tr>
      <w:tr>
        <w:trPr>
          <w:trHeight w:val="219"/>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r>
      <w:tr>
        <w:trPr>
          <w:trHeight w:val="213"/>
        </w:trPr>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2,925</w:t>
            </w:r>
          </w:p>
        </w:tc>
      </w:tr>
      <w:tr>
        <w:trPr>
          <w:trHeight w:val="219"/>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w:t>
            </w:r>
          </w:p>
        </w:tc>
      </w:tr>
      <w:tr>
        <w:trPr>
          <w:trHeight w:val="207"/>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60,388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36,175</w:t>
            </w:r>
          </w:p>
        </w:tc>
      </w:tr>
      <w:tr>
        <w:trPr>
          <w:trHeight w:val="219"/>
        </w:trPr>
        <w:tc>
          <w:tcPr>
            <w:tcW w:w="572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16"/>
        </w:trPr>
        <w:tc>
          <w:tcPr>
            <w:tcW w:w="572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Other legal matters </w:t>
            </w:r>
            <w:r>
              <w:rPr>
                <w:rFonts w:ascii="Times New Roman" w:cs="Times New Roman" w:eastAsia="Times New Roman" w:hAnsi="Times New Roman"/>
                <w:sz w:val="21"/>
                <w:szCs w:val="21"/>
                <w:color w:val="auto"/>
                <w:vertAlign w:val="superscript"/>
              </w:rPr>
              <w:t>2</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w:t>
            </w:r>
          </w:p>
        </w:tc>
      </w:tr>
      <w:tr>
        <w:trPr>
          <w:trHeight w:val="216"/>
        </w:trPr>
        <w:tc>
          <w:tcPr>
            <w:tcW w:w="572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Insurance proceeds </w:t>
            </w:r>
            <w:r>
              <w:rPr>
                <w:rFonts w:ascii="Times New Roman" w:cs="Times New Roman" w:eastAsia="Times New Roman" w:hAnsi="Times New Roman"/>
                <w:sz w:val="21"/>
                <w:szCs w:val="21"/>
                <w:color w:val="auto"/>
                <w:vertAlign w:val="superscript"/>
              </w:rPr>
              <w:t>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0"/>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21,751</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14,564</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55,337</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37,268</w:t>
            </w:r>
          </w:p>
        </w:tc>
      </w:tr>
      <w:tr>
        <w:trPr>
          <w:trHeight w:val="20"/>
        </w:trPr>
        <w:tc>
          <w:tcPr>
            <w:tcW w:w="5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660" w:hanging="652"/>
        <w:spacing w:after="0" w:line="291" w:lineRule="auto"/>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non-cash stock-based compensation expense and have no material impact on the Adjusted net income per share – diluted for the three and nine months ended September 30, 2024 and 2023.</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legal settlements for the three and nine months ended September 30, 2024 and 2023.</w:t>
      </w:r>
    </w:p>
    <w:p>
      <w:pPr>
        <w:spacing w:after="0" w:line="55" w:lineRule="exact"/>
        <w:rPr>
          <w:rFonts w:ascii="Times New Roman" w:cs="Times New Roman" w:eastAsia="Times New Roman" w:hAnsi="Times New Roman"/>
          <w:sz w:val="14"/>
          <w:szCs w:val="14"/>
          <w:color w:val="auto"/>
        </w:rPr>
      </w:pPr>
    </w:p>
    <w:p>
      <w:pPr>
        <w:ind w:left="660" w:hanging="652"/>
        <w:spacing w:after="0" w:line="302" w:lineRule="auto"/>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insurance recoveries related to a prior year incident and have no material impact on the Adjusted net income per share – diluted for the three and nine months ended September 30, 2024 and 2023.</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was impacted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tcPr>
          <w:p>
            <w:pPr>
              <w:spacing w:after="0"/>
              <w:rPr>
                <w:sz w:val="16"/>
                <w:szCs w:val="16"/>
                <w:color w:val="auto"/>
              </w:rPr>
            </w:pPr>
          </w:p>
        </w:tc>
        <w:tc>
          <w:tcPr>
            <w:tcW w:w="25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2"/>
        </w:trPr>
        <w:tc>
          <w:tcPr>
            <w:tcW w:w="5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1"/>
        </w:trPr>
        <w:tc>
          <w:tcPr>
            <w:tcW w:w="5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55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29,739</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62,117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(32,378)</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3"/>
        </w:trPr>
        <w:tc>
          <w:tcPr>
            <w:tcW w:w="5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16"/>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(51,739)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41,036</w:t>
            </w: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79 %</w:t>
            </w:r>
          </w:p>
        </w:tc>
      </w:tr>
      <w:tr>
        <w:trPr>
          <w:trHeight w:val="212"/>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in cash, cash equivalents, and restricted cash</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17,079</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9,379</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122 %</w:t>
            </w: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5"/>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Capital expenditures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Nine Months Ended September 30,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from Operating Activities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$29.7 million for the nine months ended September 30, 2024, compared to net cash provided by operating activities of $62.1 million for the nine months ended September 30, 2023, resulting in a decrease of $32.4 million in cash provided by operating activities year-over-year. The decrease in cash provided by operating activities primarily resulted from a $54.4 million decrease of cash provided by working capital accounts, partially offset by an increase in earnings of $28.1 million. The decrease in cash generated from working capital was primarily related to the increase of prepaid</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33" w:name="page34"/>
    <w:bookmarkEnd w:id="33"/>
    <w:p>
      <w:pPr>
        <w:jc w:val="both"/>
        <w:spacing w:after="0" w:line="282" w:lineRule="auto"/>
        <w:rPr>
          <w:sz w:val="20"/>
          <w:szCs w:val="20"/>
          <w:color w:val="auto"/>
        </w:rPr>
      </w:pPr>
      <w:r>
        <w:rPr>
          <w:rFonts w:ascii="Times New Roman" w:cs="Times New Roman" w:eastAsia="Times New Roman" w:hAnsi="Times New Roman"/>
          <w:sz w:val="18"/>
          <w:szCs w:val="18"/>
          <w:color w:val="auto"/>
        </w:rPr>
        <w:t>expenses, purchases of inventory, and fewer collections on accounts receivables, offset by decreased payments on accounts payable for the nine months ended September 30, 2024 compared to September 30,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from Investing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$2.0 million for the nine months ended September 30, 2024, compared to cash used in investing activities of $2.7 million for the nine months ended September 30, 2023. For the nine months ended September 30, 2024 and 2023, cash used in investing activities primarily related to capital expenditures associated with normal maintenance of the Company’s facilities.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from Financing Activities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used $10.7 million in cash from financing activities for the nine months ended September 30, 2024, compared to $51.7 million cash used by financing activities for the nine months ended September 30, 2023. The cash used by financing activities for the nine months ended September 30, 2024, was the net impact from the initial draw on the new Revolving Credit Agreement and payments toward the Shareholder’s Loan Agreement and other existing debt year to date. See additional discussion below and in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included in Part I, Item 1. Financial Statements, which further describe the Company’s debt arrangements.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sources of funds are cash flows from operations, borrowings made pursuant to its credit facilities and shareholder’s loan agreements, and cash and cash equivalents on hand. Principal uses of funds consist of payments of principal interest on our debt facilities and shareholder’s loan agreements, capital expenditures, and working capital needs.</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While the Company has achieved profitability and generated positive cash flows from operating activities in 2024, uncertainties exist about the Company’s ability to refinance, extend, or repay its outstanding indebtedness. As September 30, 2024, the Company’s total outstanding debt obligations under the Credit Agreement, the Shareholder’s Loan Agreement, and for finance leases and other debt were $135.2 million in the aggregate, and its cash and cash equivalents were $40.5 million. See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xml:space="preserve">,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additional information.</w:t>
      </w:r>
    </w:p>
    <w:p>
      <w:pPr>
        <w:spacing w:after="0" w:line="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ability to continue as a going concern is dependent on extending and amending, refinancing or repaying the indebtedness outstanding under the Company’s existing debt arrangements. Without additional financing, the Company anticipates that it will not have sufficient cash and cash equivalents to repay amounts owed under its existing debt arrangements as they become due. In order to provide the Company with a more permanent source of liquidity, management plans to seek an extension and amendment and/or replacement of its existing debt agreements or seek additional liquidity from its current or other lenders before the maturity dates in 2025. There can be no assurance that the Company’s management will be able to successfully complete an extension and amendment of its existing debt agreements or obtain new financing on acceptable terms, when required or if at all.</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Despite the recent recovery of the global economy, there continue to be challenges based on the current macroeconomic and geopolitical environment. Average crude oil prices reached the highest average price in five years in 2022 but have steadily declined while remaining near historically high 5-year averages at the end of the third quarter 2024. Rig counts in the U.S. oil markets remain below historical levels as of the third quarter of 2024. Despite increasing rig counts and historically high crude oil prices, the Company believes that capital spending within the areas of the oil and gas market that it participates in remains below historical levels. While the Company saw an increase of sales to customers with traditional exposure to the oil and gas markets during 2023, as compared to the prior year, sales remain below historic levels. A significant portion of the Company’s sales and profitability has historically been derived from the sale of products that are used within the oil and gas industry. The Company continues to experience inflationary cost pressures for certain raw materials and other goods which the Company continues to try to mitigate through price increases and other cost reduction measures. Additionally, the Company continues to experience ongoing tariff costs for products and is trying to mitigate these impacts through price increases and other measures, such as seeking certain tariff exclusions, where possible. The potential for continued economic uncertainty and unfavorable oil and gas market dynamics may have a material adverse impact on the levels of future customer orders and the Company’s future business operations, financial condition and liquidity.</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Lastly, national inflationary pressures have continued to cause interest rates to remain elevated. Although the Company’s interest expense has decreased because of reduced debt balances, it may be subject to future increases from these inflationary pressures. Accordingly, the above challenges may continue to have a material adverse impact on the Company’s future results of operations, financial position, and liquidity.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these uncertainties, the Company’s management has concluded that, substantial doubt exists as to its ability to continue as a going concern within one year after the date that these financial statements are issued. The Company’s plans to alleviate the substantial doubt about its ability to continue as a going concern may not be successful, and it may be forced to limit its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4" w:name="page35"/>
    <w:bookmarkEnd w:id="3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business activities or be unable to continue as a going concern, which would have a material adverse effect on its results of operations and financial condition.</w:t>
      </w:r>
    </w:p>
    <w:p>
      <w:pPr>
        <w:spacing w:after="0" w:line="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At September 30, 2024, the Company had four outstanding letters of credit totaling $1.4 million. See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xml:space="preserve"> Note 10. </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Contingencies </w:t>
      </w:r>
      <w:r>
        <w:rPr>
          <w:rFonts w:ascii="Times New Roman" w:cs="Times New Roman" w:eastAsia="Times New Roman" w:hAnsi="Times New Roman"/>
          <w:sz w:val="18"/>
          <w:szCs w:val="18"/>
          <w:color w:val="auto"/>
        </w:rPr>
        <w:t>for additional information related to the Company’s off-balance sheet arrangements and the outstanding letters of credit.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U.S GAAP. Preparation of these financial statements requires the Company to make estimates, assumptions and judgments that affect the reported amounts of assets, liabilities, revenue and expenses, and related disclosure of contingent assets and liabilities. The Company’s most critical accounting policies and estimates are those most important to the portrayal of its financial condition and results of operations and which require the Company to make its most difficult and subjective judgments, often as a result of the need to make estimates regarding matters that are inherently uncertain. Although management believes that its estimates and assumptions are reasonable, they are based on information available when they are made and, therefore, may differ from estimates made under different assumptions or conditions.</w:t>
      </w:r>
    </w:p>
    <w:p>
      <w:pPr>
        <w:spacing w:after="0" w:line="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consistent with those discussed in Note 1. </w:t>
      </w:r>
      <w:r>
        <w:rPr>
          <w:rFonts w:ascii="Times New Roman" w:cs="Times New Roman" w:eastAsia="Times New Roman" w:hAnsi="Times New Roman"/>
          <w:sz w:val="18"/>
          <w:szCs w:val="18"/>
          <w:i w:val="1"/>
          <w:iCs w:val="1"/>
          <w:color w:val="auto"/>
        </w:rPr>
        <w:t>Summary of Significant Accounting Policies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to the consolidated financial statements and the MD&amp;A section of the Company’s 2023 Annual Report. 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there were no significant changes in the application of critical accounting policies.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identified the following accounting policies as its most critical because they require the Company to make difficult, subjective, and complex judgments and estimates:</w:t>
      </w:r>
    </w:p>
    <w:p>
      <w:pPr>
        <w:spacing w:after="0" w:line="5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Accounting Standards</w:t>
      </w:r>
    </w:p>
    <w:p>
      <w:pPr>
        <w:spacing w:after="0" w:line="1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about recently issued accounting pronouncements, see Note 1. </w:t>
      </w:r>
      <w:r>
        <w:rPr>
          <w:rFonts w:ascii="Times New Roman" w:cs="Times New Roman" w:eastAsia="Times New Roman" w:hAnsi="Times New Roman"/>
          <w:sz w:val="18"/>
          <w:szCs w:val="18"/>
          <w:i w:val="1"/>
          <w:iCs w:val="1"/>
          <w:color w:val="auto"/>
        </w:rPr>
        <w:t>Summary of Significant Accounting Policies and Other Information</w:t>
      </w:r>
      <w:r>
        <w:rPr>
          <w:rFonts w:ascii="Times New Roman" w:cs="Times New Roman" w:eastAsia="Times New Roman" w:hAnsi="Times New Roman"/>
          <w:sz w:val="18"/>
          <w:szCs w:val="18"/>
          <w:color w:val="auto"/>
        </w:rPr>
        <w:t>, included in Part 1, Item 1.</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5" w:name="page36"/>
    <w:bookmarkEnd w:id="3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 smaller reporting company as defined by Rule 12b-2 of the Exchange Act and is not required to provide the information under this item.</w:t>
      </w: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1" w:right="399" w:bottom="1440" w:gutter="0" w:footer="0" w:header="0"/>
        </w:sectPr>
      </w:pPr>
    </w:p>
    <w:bookmarkStart w:id="36" w:name="page37"/>
    <w:bookmarkEnd w:id="36"/>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“disclosure controls and procedures” is defined in Rule 13a-15(e) of the Exchange Act as “controls and other procedures of an issuer that are designed to ensure that information required to be disclosed by the issuer in the reports that it files or submits under the Exchange Act are recorded, processed, summarized and reported, within the time periods specified in the SEC rules and forms.” The Company’s disclosure controls and procedures are designed to ensure that material information relating to the Company and its consolidated subsidiaries is accumulated and communicated to its management, including its Chief Executive Officer and its Chief Financial Officer, as appropriate to allow timely decisions regarding required disclosures.</w:t>
      </w:r>
    </w:p>
    <w:p>
      <w:pPr>
        <w:spacing w:after="0" w:line="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Company’s management, with the participation of its Chief Executive Officer and Chief Financial Officer, conducted an evaluation of the effectiveness of its disclosure controls and procedures as of September 30, 2024. Based upon that evaluation, the Company’s Chief Executive Officer and Chief Financial Officer have concluded that the Company’s disclosure controls and procedures were effective as of September 30, 2024, to provide reasonable assurance that information required to be disclosed in the reports that it files or submits under the Exchange Act is recorded, processed, summarized and reported within the time periods specified by the rules and forms of the Exchange Act, and that such information is accumulated and communicated to management, including our Chief Executive Officer and Chief Financial Officer, as appropriate, to allow timely decisions regarding required disclosure.</w:t>
      </w:r>
    </w:p>
    <w:p>
      <w:pPr>
        <w:spacing w:after="0" w:line="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assurance of achieving their objectives, and management necessarily applies its judgment in evaluating the benefits of possible controls and procedures relative to their costs.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during the third quarter of 2024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See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included in Part I,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for a discussion of legal proceedings, which are incorporated herein by reference.</w:t>
      </w:r>
    </w:p>
    <w:p>
      <w:pPr>
        <w:spacing w:after="0" w:line="15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 smaller reporting company as defined by Rule 12b-2 of the Exchange Act and is not required to provide the information under this item.</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8" w:name="page39"/>
    <w:bookmarkEnd w:id="38"/>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2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The following documents listed below that have been previously filed with the SEC (1934 Act File No. 001-35944) are incorporated herein by reference:</w:t>
      </w:r>
    </w:p>
    <w:p>
      <w:pPr>
        <w:spacing w:after="0" w:line="268"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6"/>
          <w:szCs w:val="16"/>
          <w:b w:val="1"/>
          <w:bCs w:val="1"/>
          <w:color w:val="auto"/>
        </w:rPr>
        <w:t>Incorporated by Reference Herein</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Exhibit No.</w:t>
            </w:r>
          </w:p>
        </w:tc>
        <w:tc>
          <w:tcPr>
            <w:tcW w:w="480" w:type="dxa"/>
            <w:vAlign w:val="bottom"/>
            <w:tcBorders>
              <w:top w:val="single" w:sz="8" w:color="auto"/>
            </w:tcBorders>
          </w:tcPr>
          <w:p>
            <w:pPr>
              <w:spacing w:after="0"/>
              <w:rPr>
                <w:sz w:val="18"/>
                <w:szCs w:val="18"/>
                <w:color w:val="auto"/>
              </w:rPr>
            </w:pPr>
          </w:p>
        </w:tc>
        <w:tc>
          <w:tcPr>
            <w:tcW w:w="616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Form</w:t>
            </w: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File No.</w:t>
            </w:r>
          </w:p>
        </w:tc>
      </w:tr>
      <w:tr>
        <w:trPr>
          <w:trHeight w:val="179"/>
        </w:trPr>
        <w:tc>
          <w:tcPr>
            <w:tcW w:w="94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w w:val="99"/>
              </w:rPr>
              <w:t>10.1</w:t>
            </w:r>
          </w:p>
        </w:tc>
        <w:tc>
          <w:tcPr>
            <w:tcW w:w="480" w:type="dxa"/>
            <w:vAlign w:val="bottom"/>
          </w:tcPr>
          <w:p>
            <w:pPr>
              <w:spacing w:after="0"/>
              <w:rPr>
                <w:sz w:val="15"/>
                <w:szCs w:val="15"/>
                <w:color w:val="auto"/>
              </w:rPr>
            </w:pPr>
          </w:p>
        </w:tc>
        <w:tc>
          <w:tcPr>
            <w:tcW w:w="6160" w:type="dxa"/>
            <w:vAlign w:val="bottom"/>
            <w:gridSpan w:val="12"/>
          </w:tcPr>
          <w:p>
            <w:pPr>
              <w:spacing w:after="0" w:line="179" w:lineRule="exact"/>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Uncommitted Revolving Credit Agreement, dated as of August 30, 2024, among the</w:t>
              </w:r>
            </w:hyperlink>
          </w:p>
        </w:tc>
        <w:tc>
          <w:tcPr>
            <w:tcW w:w="62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w w:val="96"/>
              </w:rPr>
              <w:t>8-K</w:t>
            </w:r>
          </w:p>
        </w:tc>
        <w:tc>
          <w:tcPr>
            <w:tcW w:w="82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w w:val="99"/>
              </w:rPr>
              <w:t>10.1</w:t>
            </w:r>
          </w:p>
        </w:tc>
        <w:tc>
          <w:tcPr>
            <w:tcW w:w="1080" w:type="dxa"/>
            <w:vAlign w:val="bottom"/>
          </w:tcPr>
          <w:p>
            <w:pPr>
              <w:ind w:left="160"/>
              <w:spacing w:after="0" w:line="179" w:lineRule="exact"/>
              <w:rPr>
                <w:sz w:val="20"/>
                <w:szCs w:val="20"/>
                <w:color w:val="auto"/>
              </w:rPr>
            </w:pPr>
            <w:r>
              <w:rPr>
                <w:rFonts w:ascii="Times New Roman" w:cs="Times New Roman" w:eastAsia="Times New Roman" w:hAnsi="Times New Roman"/>
                <w:sz w:val="16"/>
                <w:szCs w:val="16"/>
                <w:color w:val="auto"/>
              </w:rPr>
              <w:t>09/06/2024</w:t>
            </w:r>
          </w:p>
        </w:tc>
        <w:tc>
          <w:tcPr>
            <w:tcW w:w="108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140" w:type="dxa"/>
            <w:vAlign w:val="bottom"/>
            <w:tcBorders>
              <w:top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Company, the lenders party thereto and Standard Chartered Bank, as administrative agent.</w:t>
              </w:r>
            </w:hyperlink>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480" w:type="dxa"/>
            <w:vAlign w:val="bottom"/>
          </w:tcPr>
          <w:p>
            <w:pPr>
              <w:spacing w:after="0"/>
              <w:rPr>
                <w:sz w:val="17"/>
                <w:szCs w:val="17"/>
                <w:color w:val="auto"/>
              </w:rPr>
            </w:pPr>
          </w:p>
        </w:tc>
        <w:tc>
          <w:tcPr>
            <w:tcW w:w="6160" w:type="dxa"/>
            <w:vAlign w:val="bottom"/>
            <w:gridSpan w:val="12"/>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Shareholder’s Loan Agreement, dated as of August 30, 2024, between the Company and</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09/06/2024</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60" w:type="dxa"/>
            <w:vAlign w:val="bottom"/>
            <w:tcBorders>
              <w:top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Weichai America Corp.</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31.1</w:t>
            </w:r>
          </w:p>
        </w:tc>
        <w:tc>
          <w:tcPr>
            <w:tcW w:w="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16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as adopted pursuant to Section 302 of the Sarbanes-</w:t>
            </w: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80" w:type="dxa"/>
            <w:vAlign w:val="bottom"/>
            <w:tcBorders>
              <w:top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Oxley Act of 2002.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31.2</w:t>
            </w:r>
          </w:p>
        </w:tc>
        <w:tc>
          <w:tcPr>
            <w:tcW w:w="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16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as adopted pursuant to Section 302 of the Sarbanes-</w:t>
            </w: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40" w:type="dxa"/>
            <w:vAlign w:val="bottom"/>
            <w:tcBorders>
              <w:top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color w:val="0000FF"/>
              </w:rPr>
              <w:t>Oxley Act of 2002.</w:t>
            </w: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32.1</w:t>
            </w:r>
          </w:p>
        </w:tc>
        <w:tc>
          <w:tcPr>
            <w:tcW w:w="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16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 adopted</w:t>
            </w: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80" w:type="dxa"/>
            <w:vAlign w:val="bottom"/>
            <w:tcBorders>
              <w:top w:val="single" w:sz="8" w:color="0000FF"/>
              <w:bottom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pursuant to Section 906 of the Sarbanes Oxley Act of 2002.</w:t>
            </w:r>
          </w:p>
        </w:tc>
        <w:tc>
          <w:tcPr>
            <w:tcW w:w="2240" w:type="dxa"/>
            <w:vAlign w:val="bottom"/>
            <w:tcBorders>
              <w:top w:val="single" w:sz="8" w:color="0000FF"/>
            </w:tcBorders>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32.2</w:t>
            </w:r>
          </w:p>
        </w:tc>
        <w:tc>
          <w:tcPr>
            <w:tcW w:w="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16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w:t>
            </w: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6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pursuant to Section 906 of the Sarbanes Oxley Act of 2002.</w:t>
            </w:r>
          </w:p>
        </w:tc>
        <w:tc>
          <w:tcPr>
            <w:tcW w:w="2240" w:type="dxa"/>
            <w:vAlign w:val="bottom"/>
            <w:tcBorders>
              <w:top w:val="single" w:sz="8" w:color="0000FF"/>
            </w:tcBorders>
            <w:gridSpan w:val="6"/>
          </w:tcPr>
          <w:p>
            <w:pPr>
              <w:spacing w:after="0"/>
              <w:rPr>
                <w:sz w:val="12"/>
                <w:szCs w:val="12"/>
                <w:color w:val="auto"/>
              </w:rPr>
            </w:pPr>
          </w:p>
        </w:tc>
        <w:tc>
          <w:tcPr>
            <w:tcW w:w="60" w:type="dxa"/>
            <w:vAlign w:val="bottom"/>
            <w:gridSpan w:val="3"/>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31"/>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101.INS</w:t>
            </w:r>
          </w:p>
        </w:tc>
        <w:tc>
          <w:tcPr>
            <w:tcW w:w="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16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Instance Document.</w:t>
            </w: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101.SCH</w:t>
            </w:r>
          </w:p>
        </w:tc>
        <w:tc>
          <w:tcPr>
            <w:tcW w:w="480" w:type="dxa"/>
            <w:vAlign w:val="bottom"/>
          </w:tcPr>
          <w:p>
            <w:pPr>
              <w:spacing w:after="0"/>
              <w:rPr>
                <w:sz w:val="18"/>
                <w:szCs w:val="18"/>
                <w:color w:val="auto"/>
              </w:rPr>
            </w:pPr>
          </w:p>
        </w:tc>
        <w:tc>
          <w:tcPr>
            <w:tcW w:w="616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101.CAL</w:t>
            </w:r>
          </w:p>
        </w:tc>
        <w:tc>
          <w:tcPr>
            <w:tcW w:w="480" w:type="dxa"/>
            <w:vAlign w:val="bottom"/>
          </w:tcPr>
          <w:p>
            <w:pPr>
              <w:spacing w:after="0"/>
              <w:rPr>
                <w:sz w:val="18"/>
                <w:szCs w:val="18"/>
                <w:color w:val="auto"/>
              </w:rPr>
            </w:pPr>
          </w:p>
        </w:tc>
        <w:tc>
          <w:tcPr>
            <w:tcW w:w="616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101.LAB</w:t>
            </w:r>
          </w:p>
        </w:tc>
        <w:tc>
          <w:tcPr>
            <w:tcW w:w="480" w:type="dxa"/>
            <w:vAlign w:val="bottom"/>
          </w:tcPr>
          <w:p>
            <w:pPr>
              <w:spacing w:after="0"/>
              <w:rPr>
                <w:sz w:val="18"/>
                <w:szCs w:val="18"/>
                <w:color w:val="auto"/>
              </w:rPr>
            </w:pPr>
          </w:p>
        </w:tc>
        <w:tc>
          <w:tcPr>
            <w:tcW w:w="616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Labels Linkbase Document.</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101.PRE</w:t>
            </w:r>
          </w:p>
        </w:tc>
        <w:tc>
          <w:tcPr>
            <w:tcW w:w="480" w:type="dxa"/>
            <w:vAlign w:val="bottom"/>
          </w:tcPr>
          <w:p>
            <w:pPr>
              <w:spacing w:after="0"/>
              <w:rPr>
                <w:sz w:val="18"/>
                <w:szCs w:val="18"/>
                <w:color w:val="auto"/>
              </w:rPr>
            </w:pPr>
          </w:p>
        </w:tc>
        <w:tc>
          <w:tcPr>
            <w:tcW w:w="616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101.DEF</w:t>
            </w:r>
          </w:p>
        </w:tc>
        <w:tc>
          <w:tcPr>
            <w:tcW w:w="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16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Definition Linkbase Document.</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r>
    </w:tbl>
    <w:p>
      <w:pPr>
        <w:spacing w:after="0" w:line="6" w:lineRule="exact"/>
        <w:rPr>
          <w:sz w:val="20"/>
          <w:szCs w:val="20"/>
          <w:color w:val="auto"/>
        </w:rPr>
      </w:pPr>
    </w:p>
    <w:p>
      <w:pPr>
        <w:ind w:left="1040" w:hanging="634"/>
        <w:spacing w:after="0"/>
        <w:tabs>
          <w:tab w:leader="none" w:pos="104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10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*Filed with this Report.</w:t>
      </w:r>
    </w:p>
    <w:p>
      <w:pPr>
        <w:spacing w:after="0" w:line="17" w:lineRule="exact"/>
        <w:rPr>
          <w:rFonts w:ascii="Times New Roman" w:cs="Times New Roman" w:eastAsia="Times New Roman" w:hAnsi="Times New Roman"/>
          <w:sz w:val="16"/>
          <w:szCs w:val="16"/>
          <w:color w:val="auto"/>
        </w:rPr>
      </w:pPr>
    </w:p>
    <w:p>
      <w:pPr>
        <w:ind w:left="660" w:hanging="652"/>
        <w:spacing w:after="0" w:line="278" w:lineRule="auto"/>
        <w:tabs>
          <w:tab w:leader="none" w:pos="655"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exhibit shall not be deemed “filed” for purposes of Section 18 of the Exchange Act, or otherwise subject to the liability of that Section. Such exhibit shall not be deemed incorporated into any filing under the Securities Act of 1933, as amended, or the Exchange Act.</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thereunto duly authorized, on the 7th day of November 2024.</w:t>
      </w:r>
    </w:p>
    <w:p>
      <w:pPr>
        <w:spacing w:after="0" w:line="24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b w:val="1"/>
          <w:bCs w:val="1"/>
          <w:color w:val="auto"/>
        </w:rPr>
        <w:t>POWER SOLUTIONS INTERNATIONAL, INC.</w:t>
      </w:r>
    </w:p>
    <w:p>
      <w:pPr>
        <w:spacing w:after="0" w:line="88" w:lineRule="exact"/>
        <w:rPr>
          <w:sz w:val="20"/>
          <w:szCs w:val="20"/>
          <w:color w:val="auto"/>
        </w:rPr>
      </w:pPr>
    </w:p>
    <w:tbl>
      <w:tblPr>
        <w:tblLayout w:type="fixed"/>
        <w:tblInd w:w="5280" w:type="dxa"/>
        <w:tblCellMar>
          <w:top w:w="0" w:type="dxa"/>
          <w:left w:w="0" w:type="dxa"/>
          <w:bottom w:w="0" w:type="dxa"/>
          <w:right w:w="0" w:type="dxa"/>
        </w:tblCellMar>
      </w:tblPr>
      <w:tr>
        <w:trPr>
          <w:trHeight w:val="210"/>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Xun Li</w:t>
            </w:r>
          </w:p>
        </w:tc>
      </w:tr>
      <w:tr>
        <w:trPr>
          <w:trHeight w:val="250"/>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Xun Li</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320" w:top="1211" w:right="35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17 CFR 240.13a-14 PROMULGATED UNDER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Dino Xykis, certify that:</w:t>
      </w:r>
    </w:p>
    <w:p>
      <w:pPr>
        <w:spacing w:after="0" w:line="117"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Power Solutions International, Inc.;</w:t>
      </w:r>
    </w:p>
    <w:p>
      <w:pPr>
        <w:spacing w:after="0" w:line="117" w:lineRule="exact"/>
        <w:rPr>
          <w:rFonts w:ascii="Times New Roman" w:cs="Times New Roman" w:eastAsia="Times New Roman" w:hAnsi="Times New Roman"/>
          <w:sz w:val="18"/>
          <w:szCs w:val="18"/>
          <w:color w:val="auto"/>
        </w:rPr>
      </w:pPr>
    </w:p>
    <w:p>
      <w:pPr>
        <w:ind w:left="340" w:hanging="332"/>
        <w:spacing w:after="0" w:line="266" w:lineRule="auto"/>
        <w:tabs>
          <w:tab w:leader="none" w:pos="20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61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9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820" w:hanging="488"/>
        <w:spacing w:after="0" w:line="266" w:lineRule="auto"/>
        <w:tabs>
          <w:tab w:leader="none" w:pos="59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90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820" w:hanging="488"/>
        <w:spacing w:after="0" w:line="282" w:lineRule="auto"/>
        <w:tabs>
          <w:tab w:leader="none" w:pos="92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20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20" w:right="20" w:hanging="488"/>
        <w:spacing w:after="0" w:line="282" w:lineRule="auto"/>
        <w:tabs>
          <w:tab w:leader="none" w:pos="78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20" w:hanging="488"/>
        <w:spacing w:after="0" w:line="282" w:lineRule="auto"/>
        <w:tabs>
          <w:tab w:leader="none" w:pos="78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7, 2024</w:t>
            </w:r>
          </w:p>
        </w:tc>
        <w:tc>
          <w:tcPr>
            <w:tcW w:w="300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By:</w:t>
            </w:r>
          </w:p>
        </w:tc>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Dino Xykis</w:t>
            </w:r>
          </w:p>
        </w:tc>
      </w:tr>
      <w:tr>
        <w:trPr>
          <w:trHeight w:val="212"/>
        </w:trPr>
        <w:tc>
          <w:tcPr>
            <w:tcW w:w="3800" w:type="dxa"/>
            <w:vAlign w:val="bottom"/>
          </w:tcPr>
          <w:p>
            <w:pPr>
              <w:spacing w:after="0"/>
              <w:rPr>
                <w:sz w:val="18"/>
                <w:szCs w:val="18"/>
                <w:color w:val="auto"/>
              </w:rPr>
            </w:pPr>
          </w:p>
        </w:tc>
        <w:tc>
          <w:tcPr>
            <w:tcW w:w="300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Name:</w:t>
            </w:r>
          </w:p>
        </w:tc>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Dino Xykis</w:t>
            </w:r>
          </w:p>
        </w:tc>
      </w:tr>
      <w:tr>
        <w:trPr>
          <w:trHeight w:val="214"/>
        </w:trPr>
        <w:tc>
          <w:tcPr>
            <w:tcW w:w="3800" w:type="dxa"/>
            <w:vAlign w:val="bottom"/>
          </w:tcPr>
          <w:p>
            <w:pPr>
              <w:spacing w:after="0"/>
              <w:rPr>
                <w:sz w:val="18"/>
                <w:szCs w:val="18"/>
                <w:color w:val="auto"/>
              </w:rPr>
            </w:pPr>
          </w:p>
        </w:tc>
        <w:tc>
          <w:tcPr>
            <w:tcW w:w="300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Title:</w:t>
            </w:r>
          </w:p>
        </w:tc>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bl>
    <w:p>
      <w:pPr>
        <w:sectPr>
          <w:pgSz w:w="11900" w:h="16838" w:orient="portrait"/>
          <w:cols w:equalWidth="0" w:num="1">
            <w:col w:w="11240"/>
          </w:cols>
          <w:pgMar w:left="320" w:top="995"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17 CFR 240.13a-14 PROMULGATED UNDER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Xun Li, certify that:</w:t>
      </w:r>
    </w:p>
    <w:p>
      <w:pPr>
        <w:spacing w:after="0" w:line="117" w:lineRule="exact"/>
        <w:rPr>
          <w:sz w:val="20"/>
          <w:szCs w:val="20"/>
          <w:color w:val="auto"/>
        </w:rPr>
      </w:pPr>
    </w:p>
    <w:p>
      <w:pPr>
        <w:ind w:left="360" w:hanging="352"/>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Power Solutions International, Inc.;</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3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4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9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1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90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820" w:hanging="488"/>
        <w:spacing w:after="0" w:line="282" w:lineRule="auto"/>
        <w:tabs>
          <w:tab w:leader="none" w:pos="92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42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20" w:right="20" w:hanging="488"/>
        <w:spacing w:after="0" w:line="282" w:lineRule="auto"/>
        <w:tabs>
          <w:tab w:leader="none" w:pos="78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20" w:hanging="488"/>
        <w:spacing w:after="0" w:line="282" w:lineRule="auto"/>
        <w:tabs>
          <w:tab w:leader="none" w:pos="74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286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By:</w:t>
            </w:r>
          </w:p>
        </w:tc>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Xun Li</w:t>
            </w:r>
          </w:p>
        </w:tc>
      </w:tr>
      <w:tr>
        <w:trPr>
          <w:trHeight w:val="206"/>
        </w:trPr>
        <w:tc>
          <w:tcPr>
            <w:tcW w:w="3880" w:type="dxa"/>
            <w:vAlign w:val="bottom"/>
          </w:tcPr>
          <w:p>
            <w:pPr>
              <w:spacing w:after="0"/>
              <w:rPr>
                <w:sz w:val="17"/>
                <w:szCs w:val="17"/>
                <w:color w:val="auto"/>
              </w:rPr>
            </w:pPr>
          </w:p>
        </w:tc>
        <w:tc>
          <w:tcPr>
            <w:tcW w:w="286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Name:</w:t>
            </w:r>
          </w:p>
        </w:tc>
        <w:tc>
          <w:tcPr>
            <w:tcW w:w="4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Xun Li</w:t>
            </w:r>
          </w:p>
        </w:tc>
      </w:tr>
      <w:tr>
        <w:trPr>
          <w:trHeight w:val="214"/>
        </w:trPr>
        <w:tc>
          <w:tcPr>
            <w:tcW w:w="3880" w:type="dxa"/>
            <w:vAlign w:val="bottom"/>
          </w:tcPr>
          <w:p>
            <w:pPr>
              <w:spacing w:after="0"/>
              <w:rPr>
                <w:sz w:val="18"/>
                <w:szCs w:val="18"/>
                <w:color w:val="auto"/>
              </w:rPr>
            </w:pPr>
          </w:p>
        </w:tc>
        <w:tc>
          <w:tcPr>
            <w:tcW w:w="286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Title:</w:t>
            </w:r>
          </w:p>
        </w:tc>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bl>
    <w:p>
      <w:pPr>
        <w:sectPr>
          <w:pgSz w:w="11900" w:h="16838" w:orient="portrait"/>
          <w:cols w:equalWidth="0" w:num="1">
            <w:col w:w="11240"/>
          </w:cols>
          <w:pgMar w:left="320" w:top="995"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ind w:left="340" w:right="23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 18 U.S.C. SECTION 1350, AS ADOPTED PURSUANT TO SECTION 906 OF THE SARBANES-OXLEY ACT OF 2002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Power Solutions International, Inc. (the “Company”) on Form 10-Q for the three months ended September 30, 2024, as filed with the Securities and Exchange Commission on the date hereof (the “Report”), I, Dino Xykis, Chief Executive Officer of the Company, certify, pursuant to 18 U.S.C. 1350, as adopted pursuant to 906 of the Sarbanes-Oxley Act of 2002, that:</w:t>
      </w:r>
    </w:p>
    <w:p>
      <w:pPr>
        <w:spacing w:after="0" w:line="176" w:lineRule="exact"/>
        <w:rPr>
          <w:sz w:val="20"/>
          <w:szCs w:val="20"/>
          <w:color w:val="auto"/>
        </w:rPr>
      </w:pPr>
    </w:p>
    <w:p>
      <w:pPr>
        <w:ind w:left="360" w:hanging="352"/>
        <w:spacing w:after="0"/>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7, 2024</w:t>
            </w:r>
          </w:p>
        </w:tc>
        <w:tc>
          <w:tcPr>
            <w:tcW w:w="310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By:</w:t>
            </w: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Dino Xykis</w:t>
            </w:r>
          </w:p>
        </w:tc>
      </w:tr>
      <w:tr>
        <w:trPr>
          <w:trHeight w:val="212"/>
        </w:trPr>
        <w:tc>
          <w:tcPr>
            <w:tcW w:w="3820" w:type="dxa"/>
            <w:vAlign w:val="bottom"/>
          </w:tcPr>
          <w:p>
            <w:pPr>
              <w:spacing w:after="0"/>
              <w:rPr>
                <w:sz w:val="18"/>
                <w:szCs w:val="18"/>
                <w:color w:val="auto"/>
              </w:rPr>
            </w:pPr>
          </w:p>
        </w:tc>
        <w:tc>
          <w:tcPr>
            <w:tcW w:w="310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Name:</w:t>
            </w:r>
          </w:p>
        </w:tc>
        <w:tc>
          <w:tcPr>
            <w:tcW w:w="4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Dino Xykis</w:t>
            </w:r>
          </w:p>
        </w:tc>
      </w:tr>
      <w:tr>
        <w:trPr>
          <w:trHeight w:val="214"/>
        </w:trPr>
        <w:tc>
          <w:tcPr>
            <w:tcW w:w="3820" w:type="dxa"/>
            <w:vAlign w:val="bottom"/>
          </w:tcPr>
          <w:p>
            <w:pPr>
              <w:spacing w:after="0"/>
              <w:rPr>
                <w:sz w:val="18"/>
                <w:szCs w:val="18"/>
                <w:color w:val="auto"/>
              </w:rPr>
            </w:pPr>
          </w:p>
        </w:tc>
        <w:tc>
          <w:tcPr>
            <w:tcW w:w="310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Title:</w:t>
            </w:r>
          </w:p>
        </w:tc>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20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by the Company and will be retained by the Company and furnished to the Securities and Exchange Commission or its staff upon request.</w:t>
      </w:r>
    </w:p>
    <w:p>
      <w:pPr>
        <w:sectPr>
          <w:pgSz w:w="11900" w:h="16838" w:orient="portrait"/>
          <w:cols w:equalWidth="0" w:num="1">
            <w:col w:w="11240"/>
          </w:cols>
          <w:pgMar w:left="320" w:top="995"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 18 U.S.C. SECTION 1350, AS ADOPTED PURSUANT TO SECTION 906 OF THE SARBANES-OXLEY ACT OF 2002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Power Solutions International, Inc. (the “Company”) on Form 10-Q for the three months ended September 30, 2024, as filed with the Securities and Exchange Commission on the date hereof (the “Report”), I, Xun Li, Chief Financial Officer of the Company, certify, pursuant to 18 U.S.C. 1350, as adopted pursuant to 906 of the Sarbanes-Oxley Act of 2002, that:</w:t>
      </w:r>
    </w:p>
    <w:p>
      <w:pPr>
        <w:spacing w:after="0" w:line="176" w:lineRule="exact"/>
        <w:rPr>
          <w:sz w:val="20"/>
          <w:szCs w:val="20"/>
          <w:color w:val="auto"/>
        </w:rPr>
      </w:pPr>
    </w:p>
    <w:p>
      <w:pPr>
        <w:ind w:left="360" w:hanging="352"/>
        <w:spacing w:after="0"/>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7, 2024</w:t>
            </w:r>
          </w:p>
        </w:tc>
        <w:tc>
          <w:tcPr>
            <w:tcW w:w="292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By:</w:t>
            </w:r>
          </w:p>
        </w:tc>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Xun Li</w:t>
            </w:r>
          </w:p>
        </w:tc>
      </w:tr>
      <w:tr>
        <w:trPr>
          <w:trHeight w:val="212"/>
        </w:trPr>
        <w:tc>
          <w:tcPr>
            <w:tcW w:w="3800" w:type="dxa"/>
            <w:vAlign w:val="bottom"/>
          </w:tcPr>
          <w:p>
            <w:pPr>
              <w:spacing w:after="0"/>
              <w:rPr>
                <w:sz w:val="18"/>
                <w:szCs w:val="18"/>
                <w:color w:val="auto"/>
              </w:rPr>
            </w:pPr>
          </w:p>
        </w:tc>
        <w:tc>
          <w:tcPr>
            <w:tcW w:w="292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Name:</w:t>
            </w:r>
          </w:p>
        </w:tc>
        <w:tc>
          <w:tcPr>
            <w:tcW w:w="4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Xun Li</w:t>
            </w:r>
          </w:p>
        </w:tc>
      </w:tr>
      <w:tr>
        <w:trPr>
          <w:trHeight w:val="214"/>
        </w:trPr>
        <w:tc>
          <w:tcPr>
            <w:tcW w:w="3800" w:type="dxa"/>
            <w:vAlign w:val="bottom"/>
          </w:tcPr>
          <w:p>
            <w:pPr>
              <w:spacing w:after="0"/>
              <w:rPr>
                <w:sz w:val="18"/>
                <w:szCs w:val="18"/>
                <w:color w:val="auto"/>
              </w:rPr>
            </w:pPr>
          </w:p>
        </w:tc>
        <w:tc>
          <w:tcPr>
            <w:tcW w:w="292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bl>
    <w:p>
      <w:pPr>
        <w:spacing w:after="0" w:line="17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by the Company and will be retained by the Company and furnished to the Securities and Exchange Commission or its staff upon request.</w:t>
      </w:r>
    </w:p>
    <w:sectPr>
      <w:pgSz w:w="11900" w:h="16838" w:orient="portrait"/>
      <w:cols w:equalWidth="0" w:num="1">
        <w:col w:w="11240"/>
      </w:cols>
      <w:pgMar w:left="320" w:top="9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bullet"/>
      <w:start w:val="1"/>
    </w:lvl>
  </w:abstractNum>
  <w:abstractNum w:abstractNumId="4">
    <w:nsid w:val="DED7263"/>
    <w:multiLevelType w:val="hybridMultilevel"/>
    <w:lvl w:ilvl="0">
      <w:lvlJc w:val="left"/>
      <w:lvlText w:val="2"/>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bullet"/>
      <w:start w:val="1"/>
    </w:lvl>
  </w:abstractNum>
  <w:abstractNum w:abstractNumId="8">
    <w:nsid w:val="6B68079A"/>
    <w:multiLevelType w:val="hybridMultilevel"/>
    <w:lvl w:ilvl="0">
      <w:lvlJc w:val="left"/>
      <w:lvlText w:val="2"/>
      <w:numFmt w:val="bullet"/>
      <w:start w:val="1"/>
    </w:lvl>
  </w:abstractNum>
  <w:abstractNum w:abstractNumId="9">
    <w:nsid w:val="4E6AFB66"/>
    <w:multiLevelType w:val="hybridMultilevel"/>
    <w:lvl w:ilvl="0">
      <w:lvlJc w:val="left"/>
      <w:lvlText w:val="3"/>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lvl w:ilvl="1">
      <w:lvlJc w:val="left"/>
      <w:lvlText w:val="%2"/>
      <w:numFmt w:val="decimal"/>
      <w:start w:val="104"/>
    </w:lvl>
  </w:abstractNum>
  <w:abstractNum w:abstractNumId="18">
    <w:nsid w:val="628C895D"/>
    <w:multiLevelType w:val="hybridMultilevel"/>
    <w:lvl w:ilvl="0">
      <w:lvlJc w:val="left"/>
      <w:lvlText w:val="**"/>
      <w:numFmt w:val="bullet"/>
      <w:start w:val="1"/>
    </w:lvl>
    <w:lvl w:ilvl="1">
      <w:lvlJc w:val="left"/>
      <w:lvlText w:val="%2"/>
      <w:numFmt w:val="decimal"/>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hyperlink" Target="https://www.sec.gov/Archives/edgar/data/1137091/000119312524214756/d863479dex101.htm" TargetMode="External"/><Relationship Id="rId58" Type="http://schemas.openxmlformats.org/officeDocument/2006/relationships/hyperlink" Target="https://www.sec.gov/Archives/edgar/data/1137091/000119312524214756/d863479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2024-11-07T16:08:02Z</dcterms:created>
  <dcterms:modified xsi:type="dcterms:W3CDTF">2024-11-07T16:08:02Z</dcterms:modified>
</cp:coreProperties>
</file>