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8951d8k.htm"/>
      <w:bookmarkStart w:id="1" w:name="ksd2895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2"/>
        </w:rPr>
      </w:pPr>
      <w:r>
        <w:rPr>
          <w:rFonts w:ascii="Times New Roman" w:hAnsi="Times New Roman"/>
          <w:b/>
          <w:sz w:val="32"/>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25,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Power Solutions International,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001-35944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33-0963637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201 Mittel Drive, Wood Dale, Illinois 60191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200" w:after="0"/>
        <w:jc w:val="center"/>
        <w:rPr>
          <w:rFonts w:ascii="Times New Roman" w:hAnsi="Times New Roman"/>
          <w:b/>
          <w:sz w:val="20"/>
        </w:rPr>
      </w:pPr>
      <w:r>
        <w:rPr>
          <w:rFonts w:ascii="Times New Roman" w:hAnsi="Times New Roman"/>
          <w:b/>
          <w:sz w:val="20"/>
        </w:rPr>
        <w:t>(630) 350-9400</w:t>
      </w:r>
    </w:p>
    <w:p>
      <w:pPr>
        <w:pStyle w:val="TextBody"/>
        <w:bidi w:val="0"/>
        <w:spacing w:before="0" w:after="0"/>
        <w:jc w:val="center"/>
        <w:rPr>
          <w:rFonts w:ascii="Times New Roman" w:hAnsi="Times New Roman"/>
          <w:b/>
          <w:sz w:val="20"/>
        </w:rPr>
      </w:pPr>
      <w:r>
        <w:rPr>
          <w:rFonts w:ascii="Times New Roman" w:hAnsi="Times New Roman"/>
          <w:b/>
          <w:sz w:val="20"/>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095" w:type="dxa"/>
        <w:jc w:val="left"/>
        <w:tblInd w:w="0" w:type="dxa"/>
        <w:tblLayout w:type="fixed"/>
        <w:tblCellMar>
          <w:top w:w="0" w:type="dxa"/>
          <w:left w:w="0" w:type="dxa"/>
          <w:bottom w:w="0" w:type="dxa"/>
          <w:right w:w="0" w:type="dxa"/>
        </w:tblCellMar>
      </w:tblPr>
      <w:tblGrid>
        <w:gridCol w:w="4145"/>
        <w:gridCol w:w="60"/>
        <w:gridCol w:w="740"/>
        <w:gridCol w:w="60"/>
        <w:gridCol w:w="209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09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PSIX</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pPr>
            <w:r>
              <w:rPr/>
              <w:t>Nasdaq Stock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25, 2026 (the “Closing Date”), Power Solutions International, Inc. (the “Company” or “PSI”) entered into a Revolving Credit Agreement (the “Credit Agreement”) with the lenders and letter of credit issuers party thereto from time to time (the “Lenders”) and HSBC Bank USA, National Association (“HSBC”), as administrative agent. The initial Lenders are HSBC; Australia and New Zealand Banking Group Limited; Bank of China Limited, Chicago Branch; and BNP Paribas. The Credit Agreement allows the Company to borrow up to $220 million on a committed basis, including a $70 million sublimit for letters of credit, and expires on September 25, 2029.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Credit Agreement will incur interest, at the Company’s option, at Term Secured Overnight Financing Rate (“SOFR”) plus 1.80% per annum or at an alternate base rate plus an applicable margin. The Company will pay a commitment fee of 0.20% per annum on the average daily unused amount of the commitments, and letter of credit fees of 1.80% per annum on the daily amount available to be drawn under outstanding letters of credit. The Company may prepay borrowings at any time without premium or penalty, subject to the notice and other requirements of the Credit Agreement. Proceeds of the loans and letters of credit may be used for working capital and general corporate purposes and to pay fees and expenses associated with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obligations under the Credit Agreement are guaranteed by each of the Company’s subsidiaries, consisting of Bi-Phase Technologies, LLC, Power Great Lakes, Inc., Powertrain Integration Acquisition, LLC, Professional Power Products, Inc., PSI International, LLC, MTL Manufacturing &amp; Equipment Inc. and The W Group, Inc. (collectively, the “Guarantors”). The obligations are secured by a security interest in substantially all of the personal property of the Company and the Guarantors, including pledges of the equity interests of subsidiaries and the Company’s and the Guarantors’ intellectual property. The security interest is granted under a Guaranty and Collateral Agreement, a Patent Security Agreement and a Trademark Security Agreement, each dated as of the Closing Date. On the Closing Date, the Company and the Guarantors also entered into an Intercompany Subordination Agreement in favor of HSBC, which subordinates intercompany indebtedness among them to the obligations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customary affirmative and negative covenants. These include limitations on indebtedness, liens, fundamental changes, restricted payments and transactions with affiliates, and financial covenants requiring the Company to maintain a consolidated interest coverage ratio of not less than 3.00 to 1.00 and a consolidated leverage ratio of not greater than 3.00 to 1.00, each tested as of the last day of each fiscal quarter. The Credit Agreement also contains customary events of default, including a change of control. A change of control occurs if Weichai Power Co., Ltd. (“Weichai”), the parent of the Company’s largest shareholder, Weichai America Corp. (“Weichai America”), beneficially owns, directly or indirectly, 50.0% or less of the Company’s voting equity interests on a fully diluted basis. No change of control occurs under that test, however, for so long as Weichai America has the right to appoint a majority of the Company’s board of directors and Weichai maintains, directly or indirectly, at least 40.0% of the Company’s equity interests. Weichai America, a wholly owned subsidiary of Weichai, currently holds approximately 46% of the Company’s outstanding common stock and, pursuant to the Investor Rights Agreement, dated March 31, 2017, between the Company and Weichai America, has the right to designate a majority of the Company’s board of directors for so long as it owns at least 40% of the Company’s outstanding common stock, calculated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Lenders and their affiliates have provided, and may in the future provide, in the ordinary course of business, commercial banking and other financial services to the Company and its affiliates, including Weichai, for which they have received, and may in the future receive, customary fees and interest.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the Company borrowed $35.0 million under the Credit Agreement. The Company used a portion of the proceeds to repay in full all outstanding obligations under the Prior Credit Agreement described in Item 1.02 below and to pay fees and expenses related to the Credit Agreement. The remainder is available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Credit Agreement and the Guaranty and Collateral Agreement are qualified in their entirety by reference to such documents, copies of which are filed herewith as Exhibits 10.1 and 10.2, respectively, and which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1.02. Termination of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25, 2026, in connection with its entry into the Credit Agreement, the Company repaid in full all outstanding obligations, totaling approximately $15.1 million (consisting of $15.0 million of principal plus accrued interest and fees), under its Uncommitted Revolving Credit Agreement, dated as of August 30, 2024, as amended by the First Amendment to Credit Agreement, dated as of February 4, 2025, and the Second Amendment to Credit Agreement, dated as of July 30, 2025 (as amended, the “Prior Credit Agreement”), with Standard Chartered Bank, as administrative agent, and the lenders party thereto. The Prior Credit Agreement provided for borrowings of up to $135 million on a committed basis and was scheduled to expire on July 30, 2027. Upon the repayment, the Prior Credit Agreement and all commitments thereunder were terminated. The Company did not incur any early termination penalties in connection with the termination of the Prior Credit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included in Item 1.01 of this report is incorporated by reference into this Item 2.03.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30, 2026, the Company issued a press release announcing its entry into the Credit Agreement. A copy of the press release is filed as Exhibit 99.1 to this report and is incorporated by reference herein.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24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center"/>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28951dex101.htm">
              <w:r>
                <w:rPr>
                  <w:rStyle w:val="InternetLink"/>
                </w:rPr>
                <w:t xml:space="preserve">Revolving Credit Agreement, dated as of September 25, 2026, among the Company, as borrower, the other loan parties party thereto, the lenders and letter of credit issuers party thereto and HSBC Bank USA, National Association, as administrative agent.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28951dex102.htm">
              <w:r>
                <w:rPr>
                  <w:rStyle w:val="InternetLink"/>
                </w:rPr>
                <w:t xml:space="preserve">Guaranty and Collateral Agreement, dated as of September 25, 2026, among the Company, the other grantors party thereto and HSBC Bank USA, National Association, as administrative agent.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28951dex991.htm">
              <w:r>
                <w:rPr>
                  <w:rStyle w:val="InternetLink"/>
                </w:rPr>
                <w:t xml:space="preserve">Press Release of Power Solutions International, Inc., dated September 30,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746" w:type="dxa"/>
        <w:jc w:val="left"/>
        <w:tblInd w:w="0" w:type="dxa"/>
        <w:tblLayout w:type="fixed"/>
        <w:tblCellMar>
          <w:top w:w="0" w:type="dxa"/>
          <w:left w:w="0" w:type="dxa"/>
          <w:bottom w:w="0" w:type="dxa"/>
          <w:right w:w="0" w:type="dxa"/>
        </w:tblCellMar>
      </w:tblPr>
      <w:tblGrid>
        <w:gridCol w:w="2630"/>
        <w:gridCol w:w="60"/>
        <w:gridCol w:w="23"/>
        <w:gridCol w:w="60"/>
        <w:gridCol w:w="409"/>
        <w:gridCol w:w="67"/>
        <w:gridCol w:w="2497"/>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3" w:type="dxa"/>
            <w:gridSpan w:val="3"/>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Power Solutions International, Inc.</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9" w:type="dxa"/>
            <w:gridSpan w:val="2"/>
            <w:tcBorders/>
            <w:vAlign w:val="center"/>
          </w:tcPr>
          <w:p>
            <w:pPr>
              <w:pStyle w:val="TableContents"/>
              <w:bidi w:val="0"/>
              <w:spacing w:before="0" w:after="283"/>
              <w:jc w:val="left"/>
              <w:rPr>
                <w:sz w:val="4"/>
                <w:szCs w:val="4"/>
              </w:rPr>
            </w:pPr>
            <w:r>
              <w:rPr>
                <w:sz w:val="4"/>
                <w:szCs w:val="4"/>
              </w:rPr>
            </w:r>
          </w:p>
        </w:tc>
        <w:tc>
          <w:tcPr>
            <w:tcW w:w="2564"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By:</w:t>
            </w:r>
          </w:p>
        </w:tc>
        <w:tc>
          <w:tcPr>
            <w:tcW w:w="67" w:type="dxa"/>
            <w:tcBorders/>
            <w:vAlign w:val="center"/>
          </w:tcPr>
          <w:p>
            <w:pPr>
              <w:pStyle w:val="TableContents"/>
              <w:bidi w:val="0"/>
              <w:spacing w:before="0" w:after="283"/>
              <w:jc w:val="left"/>
              <w:rPr/>
            </w:pPr>
            <w:r>
              <w:rPr/>
              <w:t> </w:t>
            </w:r>
          </w:p>
        </w:tc>
        <w:tc>
          <w:tcPr>
            <w:tcW w:w="249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Xun Li</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2497" w:type="dxa"/>
            <w:tcBorders/>
            <w:vAlign w:val="center"/>
          </w:tcPr>
          <w:p>
            <w:pPr>
              <w:pStyle w:val="TableContents"/>
              <w:bidi w:val="0"/>
              <w:spacing w:before="0" w:after="283"/>
              <w:jc w:val="left"/>
              <w:rPr/>
            </w:pPr>
            <w:r>
              <w:rPr/>
              <w:t>Xun Li</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2497"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 w:name="d28951dex101.htm"/>
      <w:bookmarkStart w:id="3" w:name="ksd28951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REVOLVING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September 25, 2026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b/>
          <w:sz w:val="20"/>
        </w:rPr>
        <w:t>POWER SOLUTIONS INTERNATIONAL,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w:t>
      </w:r>
      <w:r>
        <w:rPr>
          <w:rFonts w:ascii="Times New Roman" w:hAnsi="Times New Roman"/>
          <w:b/>
          <w:sz w:val="20"/>
        </w:rPr>
        <w:t xml:space="preserve">LOAN PARTIES </w:t>
      </w:r>
      <w:r>
        <w:rPr>
          <w:rFonts w:ascii="Times New Roman" w:hAnsi="Times New Roman"/>
          <w:sz w:val="20"/>
        </w:rPr>
        <w:t xml:space="preserve">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w:t>
      </w:r>
      <w:r>
        <w:rPr>
          <w:rFonts w:ascii="Times New Roman" w:hAnsi="Times New Roman"/>
          <w:b/>
          <w:sz w:val="20"/>
        </w:rPr>
        <w:t xml:space="preserve">LENDERS </w:t>
      </w:r>
      <w:r>
        <w:rPr>
          <w:rFonts w:ascii="Times New Roman" w:hAnsi="Times New Roman"/>
          <w:sz w:val="20"/>
        </w:rPr>
        <w:t xml:space="preserve">Party Hereto, </w:t>
      </w:r>
    </w:p>
    <w:p>
      <w:pPr>
        <w:pStyle w:val="TextBody"/>
        <w:bidi w:val="0"/>
        <w:spacing w:before="240" w:after="0"/>
        <w:jc w:val="center"/>
        <w:rPr>
          <w:rFonts w:ascii="Times New Roman" w:hAnsi="Times New Roman"/>
          <w:sz w:val="20"/>
        </w:rPr>
      </w:pPr>
      <w:r>
        <w:rPr>
          <w:rFonts w:ascii="Times New Roman" w:hAnsi="Times New Roman"/>
          <w:b/>
          <w:sz w:val="20"/>
        </w:rPr>
        <w:t>HSBC BANK USA, NATIONAL ASSOCIATION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HSBC BANK USA,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AUSTRALIA AND NEW ZEALAND </w:t>
      </w:r>
    </w:p>
    <w:p>
      <w:pPr>
        <w:pStyle w:val="TextBody"/>
        <w:bidi w:val="0"/>
        <w:spacing w:before="0" w:after="0"/>
        <w:jc w:val="center"/>
        <w:rPr>
          <w:rFonts w:ascii="Times New Roman" w:hAnsi="Times New Roman"/>
          <w:sz w:val="20"/>
        </w:rPr>
      </w:pPr>
      <w:r>
        <w:rPr>
          <w:rFonts w:ascii="Times New Roman" w:hAnsi="Times New Roman"/>
          <w:b/>
          <w:sz w:val="20"/>
        </w:rPr>
        <w:t xml:space="preserve">BANKING GROUP, </w:t>
      </w:r>
      <w:r>
        <w:rPr>
          <w:rFonts w:ascii="Times New Roman" w:hAnsi="Times New Roman"/>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BANK OF CHINA LIMITED, CHICAGO BRANCH,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526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5334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9"/>
        <w:gridCol w:w="99"/>
        <w:gridCol w:w="8276"/>
        <w:gridCol w:w="148"/>
        <w:gridCol w:w="60"/>
        <w:gridCol w:w="260"/>
        <w:gridCol w:w="63"/>
      </w:tblGrid>
      <w:tr>
        <w:trPr/>
        <w:tc>
          <w:tcPr>
            <w:tcW w:w="1299"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276"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283"/>
              <w:jc w:val="left"/>
              <w:rPr/>
            </w:pPr>
            <w:r>
              <w:rPr/>
              <w:t>Article I DEFINITIONS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Defined Terms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Terms Generally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Accounting Terms; Changes in GAAP</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Rates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Divisions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Letter of Credit Amount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24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283"/>
              <w:jc w:val="left"/>
              <w:rPr/>
            </w:pPr>
            <w:r>
              <w:rPr/>
              <w:t>Article II REVOLVING FACILITY AND BORROWINGS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Revolving Facility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Loans and Borrowings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Borrowing Requests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Funding of Borrowings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Interest Elections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Prepayments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Repayment of Loans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Interest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Fees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Evidence of Debt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Payments Generally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Sharing of Payments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Compensation for Losses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Increased Costs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Taxes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Inability to Determine Rates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Illegality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Mitigation Obligations; Replacement of Lenders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Benchmark Replacement Setting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Defaulting Lender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Letters of Credit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Letter of Credit Fees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24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283"/>
              <w:jc w:val="left"/>
              <w:rPr/>
            </w:pPr>
            <w:r>
              <w:rPr/>
              <w:t>Article III REPRESENTATIONS AND WARRANTIES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Existence, Qualification and Power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Authorization; No Contravention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Governmental Authorization; Other Consents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Execution and Delivery; Binding Effect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Financial Statements; No Material Adverse Effect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Litigation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No Material Adverse Effect; No Default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Property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9"/>
        <w:gridCol w:w="99"/>
        <w:gridCol w:w="8276"/>
        <w:gridCol w:w="147"/>
        <w:gridCol w:w="60"/>
        <w:gridCol w:w="260"/>
        <w:gridCol w:w="64"/>
      </w:tblGrid>
      <w:tr>
        <w:trPr/>
        <w:tc>
          <w:tcPr>
            <w:tcW w:w="1299"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27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Taxes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Disclosure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Compliance with Laws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ERISA Compliance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Environmental Matters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Margin Regulations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Investment Company Act and Federal Power Act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Sanctions; Anti-Corruption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Solvency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Subsidiaries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Perfected Liens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24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CONDITIONS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Closing Date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Conditions to All Borrowings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rHeight w:val="24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AFFIRMATIVE COVENANTS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Financial Statements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Certificates; Other Information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Notices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Preservation of Existence, Etc.</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Maintenance of Properties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Maintenance of Insurance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Payment of Obligations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Compliance with Laws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Environmental Matters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Books and Records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Inspection Rights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Use of Proceeds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Sanctions; Anti-Corruption Laws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Information Regarding Collateral</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Additional Subsidiaries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Further Assurances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Cash Management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24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NEGATIVE COVENANTS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299"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Indebtedness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Liens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Fundamental Changes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Dispositions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Restricted Payments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99" w:type="dxa"/>
            <w:tcBorders/>
            <w:vAlign w:val="bottom"/>
          </w:tcPr>
          <w:p>
            <w:pPr>
              <w:pStyle w:val="TableContents"/>
              <w:bidi w:val="0"/>
              <w:spacing w:before="0" w:after="283"/>
              <w:jc w:val="left"/>
              <w:rPr/>
            </w:pPr>
            <w:r>
              <w:rPr/>
              <w:t> </w:t>
            </w:r>
          </w:p>
        </w:tc>
        <w:tc>
          <w:tcPr>
            <w:tcW w:w="8276" w:type="dxa"/>
            <w:tcBorders/>
            <w:vAlign w:val="bottom"/>
          </w:tcPr>
          <w:p>
            <w:pPr>
              <w:pStyle w:val="TableContents"/>
              <w:bidi w:val="0"/>
              <w:spacing w:before="0" w:after="283"/>
              <w:jc w:val="left"/>
              <w:rPr/>
            </w:pPr>
            <w:r>
              <w:rPr/>
              <w:t>Investments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7"/>
        <w:gridCol w:w="89"/>
        <w:gridCol w:w="8278"/>
        <w:gridCol w:w="136"/>
        <w:gridCol w:w="60"/>
        <w:gridCol w:w="381"/>
        <w:gridCol w:w="64"/>
      </w:tblGrid>
      <w:tr>
        <w:trPr/>
        <w:tc>
          <w:tcPr>
            <w:tcW w:w="1197"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827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Transactions with Affiliates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Certain Restrictive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Changes in Fiscal Periods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Changes in Nature of Business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Restriction on Use of Proceeds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Financial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Sanctions; Anti-Corruption Use of Proceeds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rHeight w:val="24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EVENTS OF DEFAULT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367"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Events of Default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Application of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rHeight w:val="24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AGENCY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367"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Appointment and Authority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Rights as a Lender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Exculpatory Provisions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Reliance by Administrative Agent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Delegation of Duties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Resignation of Administrative Agent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Non-Reliance on Agents and Other Lenders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Administrative Agent May File Proofs of Claim</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Erroneous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Compliance with Other Laws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24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367"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Notices; Public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Waivers; Amendments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Expenses; Indemnity; Damage Waiver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Successors and Assigns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Survival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Counterparts; Integration; Effectiveness; Electronic Execution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Severability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Right of Setoff</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Governing Law; Jurisdiction; Etc.</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WAIVER OF JURY TRIAL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Headings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Treatment of Certain Information; 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PATRIOT Act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Interest Rate Limitation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Payments Set Aside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89" w:type="dxa"/>
            <w:tcBorders/>
            <w:vAlign w:val="bottom"/>
          </w:tcPr>
          <w:p>
            <w:pPr>
              <w:pStyle w:val="TableContents"/>
              <w:bidi w:val="0"/>
              <w:spacing w:before="0" w:after="283"/>
              <w:jc w:val="left"/>
              <w:rPr/>
            </w:pPr>
            <w:r>
              <w:rPr/>
              <w:t> </w:t>
            </w:r>
          </w:p>
        </w:tc>
        <w:tc>
          <w:tcPr>
            <w:tcW w:w="8278" w:type="dxa"/>
            <w:tcBorders/>
            <w:vAlign w:val="bottom"/>
          </w:tcPr>
          <w:p>
            <w:pPr>
              <w:pStyle w:val="TableContents"/>
              <w:bidi w:val="0"/>
              <w:spacing w:before="0" w:after="283"/>
              <w:jc w:val="left"/>
              <w:rPr/>
            </w:pPr>
            <w:r>
              <w:rPr/>
              <w:t>No Advisory or Fiduciary Responsibility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6"/>
        <w:gridCol w:w="76"/>
        <w:gridCol w:w="8370"/>
        <w:gridCol w:w="129"/>
        <w:gridCol w:w="60"/>
        <w:gridCol w:w="380"/>
        <w:gridCol w:w="64"/>
      </w:tblGrid>
      <w:tr>
        <w:trPr/>
        <w:tc>
          <w:tcPr>
            <w:tcW w:w="1126"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37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26"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76"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283"/>
              <w:jc w:val="left"/>
              <w:rPr/>
            </w:pPr>
            <w:r>
              <w:rPr/>
              <w:t>Acknowledgement and Consent to Bail-In of Affected Financial Institutions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65"/>
        <w:gridCol w:w="407"/>
        <w:gridCol w:w="8333"/>
      </w:tblGrid>
      <w:tr>
        <w:trPr/>
        <w:tc>
          <w:tcPr>
            <w:tcW w:w="1465"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8333" w:type="dxa"/>
            <w:tcBorders/>
            <w:vAlign w:val="center"/>
          </w:tcPr>
          <w:p>
            <w:pPr>
              <w:pStyle w:val="TableContents"/>
              <w:bidi w:val="0"/>
              <w:spacing w:before="0" w:after="283"/>
              <w:jc w:val="left"/>
              <w:rPr>
                <w:sz w:val="4"/>
                <w:szCs w:val="4"/>
              </w:rPr>
            </w:pPr>
            <w:r>
              <w:rPr>
                <w:sz w:val="4"/>
                <w:szCs w:val="4"/>
              </w:rPr>
            </w:r>
          </w:p>
        </w:tc>
      </w:tr>
      <w:tr>
        <w:trPr/>
        <w:tc>
          <w:tcPr>
            <w:tcW w:w="1465" w:type="dxa"/>
            <w:tcBorders/>
          </w:tcPr>
          <w:p>
            <w:pPr>
              <w:pStyle w:val="TableContents"/>
              <w:bidi w:val="0"/>
              <w:spacing w:before="0" w:after="283"/>
              <w:jc w:val="left"/>
              <w:rPr/>
            </w:pPr>
            <w:r>
              <w:rPr/>
              <w:t>SCHEDULES</w:t>
            </w:r>
          </w:p>
        </w:tc>
        <w:tc>
          <w:tcPr>
            <w:tcW w:w="407"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83"/>
              <w:jc w:val="left"/>
              <w:rPr>
                <w:sz w:val="4"/>
                <w:szCs w:val="4"/>
              </w:rPr>
            </w:pPr>
            <w:r>
              <w:rPr>
                <w:sz w:val="4"/>
                <w:szCs w:val="4"/>
              </w:rPr>
            </w:r>
          </w:p>
        </w:tc>
      </w:tr>
      <w:tr>
        <w:trPr>
          <w:trHeight w:val="240" w:hRule="atLeast"/>
        </w:trPr>
        <w:tc>
          <w:tcPr>
            <w:tcW w:w="1465" w:type="dxa"/>
            <w:tcBorders/>
            <w:vAlign w:val="center"/>
          </w:tcPr>
          <w:p>
            <w:pPr>
              <w:pStyle w:val="TableContents"/>
              <w:bidi w:val="0"/>
              <w:spacing w:before="0" w:after="283"/>
              <w:jc w:val="left"/>
              <w:rPr>
                <w:sz w:val="4"/>
                <w:szCs w:val="4"/>
              </w:rPr>
            </w:pPr>
            <w:r>
              <w:rPr>
                <w:sz w:val="4"/>
                <w:szCs w:val="4"/>
              </w:rPr>
            </w:r>
          </w:p>
        </w:tc>
        <w:tc>
          <w:tcPr>
            <w:tcW w:w="8740" w:type="dxa"/>
            <w:gridSpan w:val="2"/>
            <w:tcBorders/>
            <w:vAlign w:val="center"/>
          </w:tcPr>
          <w:p>
            <w:pPr>
              <w:pStyle w:val="TableContents"/>
              <w:bidi w:val="0"/>
              <w:spacing w:before="0" w:after="283"/>
              <w:jc w:val="left"/>
              <w:rPr>
                <w:sz w:val="4"/>
                <w:szCs w:val="4"/>
              </w:rPr>
            </w:pPr>
            <w:r>
              <w:rPr>
                <w:sz w:val="4"/>
                <w:szCs w:val="4"/>
              </w:rPr>
            </w:r>
          </w:p>
        </w:tc>
      </w:tr>
      <w:tr>
        <w:trPr/>
        <w:tc>
          <w:tcPr>
            <w:tcW w:w="1465" w:type="dxa"/>
            <w:tcBorders/>
          </w:tcPr>
          <w:p>
            <w:pPr>
              <w:pStyle w:val="TableContents"/>
              <w:bidi w:val="0"/>
              <w:spacing w:before="0" w:after="283"/>
              <w:jc w:val="left"/>
              <w:rPr/>
            </w:pPr>
            <w:r>
              <w:rPr/>
              <w:t>SCHEDULE 2.01</w:t>
            </w:r>
          </w:p>
        </w:tc>
        <w:tc>
          <w:tcPr>
            <w:tcW w:w="407"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83"/>
              <w:jc w:val="left"/>
              <w:rPr/>
            </w:pPr>
            <w:r>
              <w:rPr/>
              <w:t>- Commitments and Lenders</w:t>
            </w:r>
          </w:p>
        </w:tc>
      </w:tr>
      <w:tr>
        <w:trPr/>
        <w:tc>
          <w:tcPr>
            <w:tcW w:w="1465" w:type="dxa"/>
            <w:tcBorders/>
          </w:tcPr>
          <w:p>
            <w:pPr>
              <w:pStyle w:val="TableContents"/>
              <w:bidi w:val="0"/>
              <w:spacing w:before="0" w:after="283"/>
              <w:jc w:val="left"/>
              <w:rPr/>
            </w:pPr>
            <w:r>
              <w:rPr/>
              <w:t>SCHEDULE 3.06</w:t>
            </w:r>
          </w:p>
        </w:tc>
        <w:tc>
          <w:tcPr>
            <w:tcW w:w="407"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83"/>
              <w:jc w:val="left"/>
              <w:rPr/>
            </w:pPr>
            <w:r>
              <w:rPr/>
              <w:t>- Litigation</w:t>
            </w:r>
          </w:p>
        </w:tc>
      </w:tr>
      <w:tr>
        <w:trPr/>
        <w:tc>
          <w:tcPr>
            <w:tcW w:w="1465" w:type="dxa"/>
            <w:tcBorders/>
          </w:tcPr>
          <w:p>
            <w:pPr>
              <w:pStyle w:val="TableContents"/>
              <w:bidi w:val="0"/>
              <w:spacing w:before="0" w:after="283"/>
              <w:jc w:val="left"/>
              <w:rPr/>
            </w:pPr>
            <w:r>
              <w:rPr/>
              <w:t>SCHEDULE 3.18</w:t>
            </w:r>
          </w:p>
        </w:tc>
        <w:tc>
          <w:tcPr>
            <w:tcW w:w="407"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83"/>
              <w:jc w:val="left"/>
              <w:rPr/>
            </w:pPr>
            <w:r>
              <w:rPr/>
              <w:t>- Subsidiaries and Capitalization</w:t>
            </w:r>
          </w:p>
        </w:tc>
      </w:tr>
      <w:tr>
        <w:trPr/>
        <w:tc>
          <w:tcPr>
            <w:tcW w:w="1465" w:type="dxa"/>
            <w:tcBorders/>
          </w:tcPr>
          <w:p>
            <w:pPr>
              <w:pStyle w:val="TableContents"/>
              <w:bidi w:val="0"/>
              <w:spacing w:before="0" w:after="283"/>
              <w:jc w:val="left"/>
              <w:rPr/>
            </w:pPr>
            <w:r>
              <w:rPr/>
              <w:t>SCHEDULE 6.01</w:t>
            </w:r>
          </w:p>
        </w:tc>
        <w:tc>
          <w:tcPr>
            <w:tcW w:w="407"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83"/>
              <w:jc w:val="left"/>
              <w:rPr/>
            </w:pPr>
            <w:r>
              <w:rPr/>
              <w:t>- Indebtedness</w:t>
            </w:r>
          </w:p>
        </w:tc>
      </w:tr>
      <w:tr>
        <w:trPr/>
        <w:tc>
          <w:tcPr>
            <w:tcW w:w="1465" w:type="dxa"/>
            <w:tcBorders/>
          </w:tcPr>
          <w:p>
            <w:pPr>
              <w:pStyle w:val="TableContents"/>
              <w:bidi w:val="0"/>
              <w:spacing w:before="0" w:after="283"/>
              <w:jc w:val="left"/>
              <w:rPr/>
            </w:pPr>
            <w:r>
              <w:rPr/>
              <w:t>SCHEDULE 6.02</w:t>
            </w:r>
          </w:p>
        </w:tc>
        <w:tc>
          <w:tcPr>
            <w:tcW w:w="407"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83"/>
              <w:jc w:val="left"/>
              <w:rPr/>
            </w:pPr>
            <w:r>
              <w:rPr/>
              <w:t>- Liens</w:t>
            </w:r>
          </w:p>
        </w:tc>
      </w:tr>
      <w:tr>
        <w:trPr/>
        <w:tc>
          <w:tcPr>
            <w:tcW w:w="1465" w:type="dxa"/>
            <w:tcBorders/>
          </w:tcPr>
          <w:p>
            <w:pPr>
              <w:pStyle w:val="TableContents"/>
              <w:bidi w:val="0"/>
              <w:spacing w:before="0" w:after="283"/>
              <w:jc w:val="left"/>
              <w:rPr/>
            </w:pPr>
            <w:r>
              <w:rPr/>
              <w:t>SCHEDULE 6.06</w:t>
            </w:r>
          </w:p>
        </w:tc>
        <w:tc>
          <w:tcPr>
            <w:tcW w:w="407"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83"/>
              <w:jc w:val="left"/>
              <w:rPr/>
            </w:pPr>
            <w:r>
              <w:rPr/>
              <w:t>- Investments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4"/>
        <w:gridCol w:w="412"/>
        <w:gridCol w:w="8459"/>
      </w:tblGrid>
      <w:tr>
        <w:trPr/>
        <w:tc>
          <w:tcPr>
            <w:tcW w:w="1334"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8459" w:type="dxa"/>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283"/>
              <w:jc w:val="left"/>
              <w:rPr/>
            </w:pPr>
            <w:r>
              <w:rPr/>
              <w:t>EXHIBITS</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sz w:val="4"/>
                <w:szCs w:val="4"/>
              </w:rPr>
            </w:pPr>
            <w:r>
              <w:rPr>
                <w:sz w:val="4"/>
                <w:szCs w:val="4"/>
              </w:rPr>
            </w:r>
          </w:p>
        </w:tc>
      </w:tr>
      <w:tr>
        <w:trPr>
          <w:trHeight w:val="240" w:hRule="atLeast"/>
        </w:trPr>
        <w:tc>
          <w:tcPr>
            <w:tcW w:w="1334" w:type="dxa"/>
            <w:tcBorders/>
            <w:vAlign w:val="center"/>
          </w:tcPr>
          <w:p>
            <w:pPr>
              <w:pStyle w:val="TableContents"/>
              <w:bidi w:val="0"/>
              <w:spacing w:before="0" w:after="283"/>
              <w:jc w:val="left"/>
              <w:rPr>
                <w:sz w:val="4"/>
                <w:szCs w:val="4"/>
              </w:rPr>
            </w:pPr>
            <w:r>
              <w:rPr>
                <w:sz w:val="4"/>
                <w:szCs w:val="4"/>
              </w:rPr>
            </w:r>
          </w:p>
        </w:tc>
        <w:tc>
          <w:tcPr>
            <w:tcW w:w="8871" w:type="dxa"/>
            <w:gridSpan w:val="2"/>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283"/>
              <w:jc w:val="left"/>
              <w:rPr/>
            </w:pPr>
            <w:r>
              <w:rPr/>
              <w:t>EXHIBIT A</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Assignment and Assumption</w:t>
            </w:r>
          </w:p>
        </w:tc>
      </w:tr>
      <w:tr>
        <w:trPr/>
        <w:tc>
          <w:tcPr>
            <w:tcW w:w="1334" w:type="dxa"/>
            <w:tcBorders/>
          </w:tcPr>
          <w:p>
            <w:pPr>
              <w:pStyle w:val="TableContents"/>
              <w:bidi w:val="0"/>
              <w:spacing w:before="0" w:after="283"/>
              <w:jc w:val="left"/>
              <w:rPr/>
            </w:pPr>
            <w:r>
              <w:rPr/>
              <w:t>EXHIBIT B</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Borrowing Request</w:t>
            </w:r>
          </w:p>
        </w:tc>
      </w:tr>
      <w:tr>
        <w:trPr/>
        <w:tc>
          <w:tcPr>
            <w:tcW w:w="1334" w:type="dxa"/>
            <w:tcBorders/>
          </w:tcPr>
          <w:p>
            <w:pPr>
              <w:pStyle w:val="TableContents"/>
              <w:bidi w:val="0"/>
              <w:spacing w:before="0" w:after="283"/>
              <w:jc w:val="left"/>
              <w:rPr/>
            </w:pPr>
            <w:r>
              <w:rPr/>
              <w:t>EXHIBIT B-1</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U.S. Tax Compliance Certificate</w:t>
            </w:r>
          </w:p>
        </w:tc>
      </w:tr>
      <w:tr>
        <w:trPr/>
        <w:tc>
          <w:tcPr>
            <w:tcW w:w="1334" w:type="dxa"/>
            <w:tcBorders/>
          </w:tcPr>
          <w:p>
            <w:pPr>
              <w:pStyle w:val="TableContents"/>
              <w:bidi w:val="0"/>
              <w:spacing w:before="0" w:after="283"/>
              <w:jc w:val="left"/>
              <w:rPr/>
            </w:pPr>
            <w:r>
              <w:rPr/>
              <w:t>EXHIBIT B-2</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U.S. Tax Compliance Certificate</w:t>
            </w:r>
          </w:p>
        </w:tc>
      </w:tr>
      <w:tr>
        <w:trPr/>
        <w:tc>
          <w:tcPr>
            <w:tcW w:w="1334" w:type="dxa"/>
            <w:tcBorders/>
          </w:tcPr>
          <w:p>
            <w:pPr>
              <w:pStyle w:val="TableContents"/>
              <w:bidi w:val="0"/>
              <w:spacing w:before="0" w:after="283"/>
              <w:jc w:val="left"/>
              <w:rPr/>
            </w:pPr>
            <w:r>
              <w:rPr/>
              <w:t>EXHIBIT B-3</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U.S. Tax Compliance Certificate</w:t>
            </w:r>
          </w:p>
        </w:tc>
      </w:tr>
      <w:tr>
        <w:trPr/>
        <w:tc>
          <w:tcPr>
            <w:tcW w:w="1334" w:type="dxa"/>
            <w:tcBorders/>
          </w:tcPr>
          <w:p>
            <w:pPr>
              <w:pStyle w:val="TableContents"/>
              <w:bidi w:val="0"/>
              <w:spacing w:before="0" w:after="283"/>
              <w:jc w:val="left"/>
              <w:rPr/>
            </w:pPr>
            <w:r>
              <w:rPr/>
              <w:t>EXHIBIT B-4</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U.S. Tax Compliance Certificate</w:t>
            </w:r>
          </w:p>
        </w:tc>
      </w:tr>
      <w:tr>
        <w:trPr/>
        <w:tc>
          <w:tcPr>
            <w:tcW w:w="1334" w:type="dxa"/>
            <w:tcBorders/>
          </w:tcPr>
          <w:p>
            <w:pPr>
              <w:pStyle w:val="TableContents"/>
              <w:bidi w:val="0"/>
              <w:spacing w:before="0" w:after="283"/>
              <w:jc w:val="left"/>
              <w:rPr/>
            </w:pPr>
            <w:r>
              <w:rPr/>
              <w:t>EXHIBIT C</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Compliance Certificate</w:t>
            </w:r>
          </w:p>
        </w:tc>
      </w:tr>
      <w:tr>
        <w:trPr/>
        <w:tc>
          <w:tcPr>
            <w:tcW w:w="1334" w:type="dxa"/>
            <w:tcBorders/>
          </w:tcPr>
          <w:p>
            <w:pPr>
              <w:pStyle w:val="TableContents"/>
              <w:bidi w:val="0"/>
              <w:spacing w:before="0" w:after="283"/>
              <w:jc w:val="left"/>
              <w:rPr/>
            </w:pPr>
            <w:r>
              <w:rPr/>
              <w:t>EXHIBIT D</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Perfection Certificate</w:t>
            </w:r>
          </w:p>
        </w:tc>
      </w:tr>
      <w:tr>
        <w:trPr/>
        <w:tc>
          <w:tcPr>
            <w:tcW w:w="1334" w:type="dxa"/>
            <w:tcBorders/>
          </w:tcPr>
          <w:p>
            <w:pPr>
              <w:pStyle w:val="TableContents"/>
              <w:bidi w:val="0"/>
              <w:spacing w:before="0" w:after="283"/>
              <w:jc w:val="left"/>
              <w:rPr/>
            </w:pPr>
            <w:r>
              <w:rPr/>
              <w:t>EXHIBIT E</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Supplemental Perfection Certificate</w:t>
            </w:r>
          </w:p>
        </w:tc>
      </w:tr>
      <w:tr>
        <w:trPr/>
        <w:tc>
          <w:tcPr>
            <w:tcW w:w="1334" w:type="dxa"/>
            <w:tcBorders/>
          </w:tcPr>
          <w:p>
            <w:pPr>
              <w:pStyle w:val="TableContents"/>
              <w:bidi w:val="0"/>
              <w:spacing w:before="0" w:after="283"/>
              <w:jc w:val="left"/>
              <w:rPr/>
            </w:pPr>
            <w:r>
              <w:rPr/>
              <w:t>EXHIBIT F</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Solvency Certificate</w:t>
            </w:r>
          </w:p>
        </w:tc>
      </w:tr>
      <w:tr>
        <w:trPr/>
        <w:tc>
          <w:tcPr>
            <w:tcW w:w="1334" w:type="dxa"/>
            <w:tcBorders/>
          </w:tcPr>
          <w:p>
            <w:pPr>
              <w:pStyle w:val="TableContents"/>
              <w:bidi w:val="0"/>
              <w:spacing w:before="0" w:after="283"/>
              <w:jc w:val="left"/>
              <w:rPr/>
            </w:pPr>
            <w:r>
              <w:rPr/>
              <w:t>EXHIBIT G</w:t>
            </w:r>
          </w:p>
        </w:tc>
        <w:tc>
          <w:tcPr>
            <w:tcW w:w="412"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283"/>
              <w:jc w:val="left"/>
              <w:rPr/>
            </w:pPr>
            <w:r>
              <w:rPr/>
              <w:t>- Form of Request for Letter of Credit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REVOLVING CREDIT AGREEMENT </w:t>
      </w:r>
      <w:r>
        <w:rPr>
          <w:rFonts w:ascii="Times New Roman" w:hAnsi="Times New Roman"/>
          <w:sz w:val="20"/>
        </w:rPr>
        <w:t>dated as of September 25, 2026 (this “</w:t>
      </w:r>
      <w:r>
        <w:rPr>
          <w:rFonts w:ascii="Times New Roman" w:hAnsi="Times New Roman"/>
          <w:sz w:val="20"/>
          <w:u w:val="single"/>
        </w:rPr>
        <w:t>Agreement</w:t>
      </w:r>
      <w:r>
        <w:rPr>
          <w:rFonts w:ascii="Times New Roman" w:hAnsi="Times New Roman"/>
          <w:sz w:val="20"/>
        </w:rPr>
        <w:t xml:space="preserve">”), among </w:t>
      </w:r>
      <w:r>
        <w:rPr>
          <w:rFonts w:ascii="Times New Roman" w:hAnsi="Times New Roman"/>
          <w:b/>
          <w:sz w:val="20"/>
        </w:rPr>
        <w:t>POWER SOLUTIONS INTERNATIONAL, INC.</w:t>
      </w:r>
      <w:r>
        <w:rPr>
          <w:rFonts w:ascii="Times New Roman" w:hAnsi="Times New Roman"/>
          <w:sz w:val="20"/>
        </w:rPr>
        <w:t>, a Delaware corporation (the “</w:t>
      </w:r>
      <w:r>
        <w:rPr>
          <w:rFonts w:ascii="Times New Roman" w:hAnsi="Times New Roman"/>
          <w:sz w:val="20"/>
          <w:u w:val="single"/>
        </w:rPr>
        <w:t>Borrower</w:t>
      </w:r>
      <w:r>
        <w:rPr>
          <w:rFonts w:ascii="Times New Roman" w:hAnsi="Times New Roman"/>
          <w:sz w:val="20"/>
        </w:rPr>
        <w:t xml:space="preserve">”), the </w:t>
      </w:r>
      <w:r>
        <w:rPr>
          <w:rFonts w:ascii="Times New Roman" w:hAnsi="Times New Roman"/>
          <w:b/>
          <w:sz w:val="20"/>
        </w:rPr>
        <w:t xml:space="preserve">LOAN PARTIES </w:t>
      </w:r>
      <w:r>
        <w:rPr>
          <w:rFonts w:ascii="Times New Roman" w:hAnsi="Times New Roman"/>
          <w:sz w:val="20"/>
        </w:rPr>
        <w:t xml:space="preserve">party hereto, the </w:t>
      </w:r>
      <w:r>
        <w:rPr>
          <w:rFonts w:ascii="Times New Roman" w:hAnsi="Times New Roman"/>
          <w:b/>
          <w:sz w:val="20"/>
        </w:rPr>
        <w:t xml:space="preserve">LENDERS </w:t>
      </w:r>
      <w:r>
        <w:rPr>
          <w:rFonts w:ascii="Times New Roman" w:hAnsi="Times New Roman"/>
          <w:sz w:val="20"/>
        </w:rPr>
        <w:t>party hereto from time to time (each a “</w:t>
      </w:r>
      <w:r>
        <w:rPr>
          <w:rFonts w:ascii="Times New Roman" w:hAnsi="Times New Roman"/>
          <w:sz w:val="20"/>
          <w:u w:val="single"/>
        </w:rPr>
        <w:t>Lender</w:t>
      </w:r>
      <w:r>
        <w:rPr>
          <w:rFonts w:ascii="Times New Roman" w:hAnsi="Times New Roman"/>
          <w:sz w:val="20"/>
        </w:rPr>
        <w:t>” and collectively the “</w:t>
      </w:r>
      <w:r>
        <w:rPr>
          <w:rFonts w:ascii="Times New Roman" w:hAnsi="Times New Roman"/>
          <w:sz w:val="20"/>
          <w:u w:val="single"/>
        </w:rPr>
        <w:t>Lenders</w:t>
      </w:r>
      <w:r>
        <w:rPr>
          <w:rFonts w:ascii="Times New Roman" w:hAnsi="Times New Roman"/>
          <w:sz w:val="20"/>
        </w:rPr>
        <w:t xml:space="preserve">”), </w:t>
      </w:r>
      <w:r>
        <w:rPr>
          <w:rFonts w:ascii="Times New Roman" w:hAnsi="Times New Roman"/>
          <w:b/>
          <w:sz w:val="20"/>
        </w:rPr>
        <w:t>HSBC BANK USA, NATIONAL ASSOCIATION</w:t>
      </w:r>
      <w:r>
        <w:rPr>
          <w:rFonts w:ascii="Times New Roman" w:hAnsi="Times New Roman"/>
          <w:sz w:val="20"/>
        </w:rPr>
        <w:t>, a national banking association (“</w:t>
      </w:r>
      <w:r>
        <w:rPr>
          <w:rFonts w:ascii="Times New Roman" w:hAnsi="Times New Roman"/>
          <w:sz w:val="20"/>
          <w:u w:val="single"/>
        </w:rPr>
        <w:t>HSBC</w:t>
      </w:r>
      <w:r>
        <w:rPr>
          <w:rFonts w:ascii="Times New Roman" w:hAnsi="Times New Roman"/>
          <w:sz w:val="20"/>
        </w:rPr>
        <w:t>”), as administrative agent (the “</w:t>
      </w:r>
      <w:r>
        <w:rPr>
          <w:rFonts w:ascii="Times New Roman" w:hAnsi="Times New Roman"/>
          <w:sz w:val="20"/>
          <w:u w:val="single"/>
        </w:rPr>
        <w:t>Administrative Agent</w:t>
      </w:r>
      <w:r>
        <w:rPr>
          <w:rFonts w:ascii="Times New Roman" w:hAnsi="Times New Roman"/>
          <w:sz w:val="20"/>
        </w:rPr>
        <w:t xml:space="preserve">”) and a Letter of Credit Issuer, </w:t>
      </w:r>
      <w:r>
        <w:rPr>
          <w:rFonts w:ascii="Times New Roman" w:hAnsi="Times New Roman"/>
          <w:b/>
          <w:sz w:val="20"/>
        </w:rPr>
        <w:t>BANK OF CHINA</w:t>
      </w:r>
      <w:r>
        <w:rPr>
          <w:rFonts w:ascii="Times New Roman" w:hAnsi="Times New Roman"/>
          <w:sz w:val="20"/>
        </w:rPr>
        <w:t xml:space="preserve"> </w:t>
      </w:r>
      <w:r>
        <w:rPr>
          <w:rFonts w:ascii="Times New Roman" w:hAnsi="Times New Roman"/>
          <w:b/>
          <w:sz w:val="20"/>
        </w:rPr>
        <w:t>LIMITED, CHICAGO BRANCH</w:t>
      </w:r>
      <w:r>
        <w:rPr>
          <w:rFonts w:ascii="Times New Roman" w:hAnsi="Times New Roman"/>
          <w:sz w:val="20"/>
        </w:rPr>
        <w:t>, a joint stock company incorporated under the laws of the People’s Republic of China, acting through its Chicago Branch (“</w:t>
      </w:r>
      <w:r>
        <w:rPr>
          <w:rFonts w:ascii="Times New Roman" w:hAnsi="Times New Roman"/>
          <w:sz w:val="20"/>
          <w:u w:val="single"/>
        </w:rPr>
        <w:t>Bank of China</w:t>
      </w:r>
      <w:r>
        <w:rPr>
          <w:rFonts w:ascii="Times New Roman" w:hAnsi="Times New Roman"/>
          <w:sz w:val="20"/>
        </w:rPr>
        <w:t xml:space="preserve">”), as a Letter of Credit Issuer, </w:t>
      </w:r>
      <w:r>
        <w:rPr>
          <w:rFonts w:ascii="Times New Roman" w:hAnsi="Times New Roman"/>
          <w:b/>
          <w:sz w:val="20"/>
        </w:rPr>
        <w:t>BNP PARIBAS</w:t>
      </w:r>
      <w:r>
        <w:rPr>
          <w:rFonts w:ascii="Times New Roman" w:hAnsi="Times New Roman"/>
          <w:sz w:val="20"/>
        </w:rPr>
        <w:t>, a French société anonyme, acting through its New York Branch (“</w:t>
      </w:r>
      <w:r>
        <w:rPr>
          <w:rFonts w:ascii="Times New Roman" w:hAnsi="Times New Roman"/>
          <w:sz w:val="20"/>
          <w:u w:val="single"/>
        </w:rPr>
        <w:t>BNP Paribas</w:t>
      </w:r>
      <w:r>
        <w:rPr>
          <w:rFonts w:ascii="Times New Roman" w:hAnsi="Times New Roman"/>
          <w:sz w:val="20"/>
        </w:rPr>
        <w:t>”), as a Letter of Credit Issuer. (HSBC, Bank of China, BNP and each other Person acting as an issuer of Letters of Credit hereunder from time to time, in such capacity, collectively, the “</w:t>
      </w:r>
      <w:r>
        <w:rPr>
          <w:rFonts w:ascii="Times New Roman" w:hAnsi="Times New Roman"/>
          <w:sz w:val="20"/>
          <w:u w:val="single"/>
        </w:rPr>
        <w:t>Letter of Credit Issuers</w:t>
      </w:r>
      <w:r>
        <w:rPr>
          <w:rFonts w:ascii="Times New Roman" w:hAnsi="Times New Roman"/>
          <w:sz w:val="20"/>
        </w:rPr>
        <w:t>,” and each, a “</w:t>
      </w:r>
      <w:r>
        <w:rPr>
          <w:rFonts w:ascii="Times New Roman" w:hAnsi="Times New Roman"/>
          <w:sz w:val="20"/>
          <w:u w:val="single"/>
        </w:rPr>
        <w:t>Letter of Credit Issuer</w:t>
      </w:r>
      <w:r>
        <w:rPr>
          <w:rFonts w:ascii="Times New Roman" w:hAnsi="Times New Roman"/>
          <w:sz w:val="20"/>
        </w:rPr>
        <w:t xml:space="preserve">”). Capitalized terms used in this Agreement have the meanings set forth in </w:t>
      </w:r>
      <w:r>
        <w:rPr>
          <w:rFonts w:ascii="Times New Roman" w:hAnsi="Times New Roman"/>
          <w:sz w:val="20"/>
          <w:u w:val="single"/>
        </w:rPr>
        <w:t>Section 1.01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has requested that the Lenders extend credit to the Borrower, and the Lenders are willing to do so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conditions and agreements set forth in this Agreement, and for good and valuable consideration, the receipt of which is hereby acknowledged, the parties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have the meanings specified below: </w:t>
      </w:r>
    </w:p>
    <w:p>
      <w:pPr>
        <w:pStyle w:val="TextBody"/>
        <w:bidi w:val="0"/>
        <w:spacing w:before="120" w:after="0"/>
        <w:jc w:val="left"/>
        <w:rPr/>
      </w:pPr>
      <w:r>
        <w:rPr/>
        <w:t>“</w:t>
      </w:r>
      <w:r>
        <w:rPr>
          <w:rFonts w:ascii="Times New Roman" w:hAnsi="Times New Roman"/>
          <w:sz w:val="20"/>
          <w:u w:val="single"/>
        </w:rPr>
        <w:t>ABR</w:t>
      </w:r>
      <w:r>
        <w:rPr>
          <w:rFonts w:ascii="Times New Roman" w:hAnsi="Times New Roman"/>
          <w:sz w:val="20"/>
        </w:rPr>
        <w:t xml:space="preserve">” means, for any day, a rate per annum equal to the highest of (a) the Base Rate in effect on such day, (b) the Federal Funds Rate in effect on such day </w:t>
      </w:r>
      <w:r>
        <w:rPr>
          <w:rFonts w:ascii="Times New Roman" w:hAnsi="Times New Roman"/>
          <w:sz w:val="20"/>
          <w:u w:val="single"/>
        </w:rPr>
        <w:t>plus</w:t>
      </w:r>
      <w:r>
        <w:rPr>
          <w:rFonts w:ascii="Times New Roman" w:hAnsi="Times New Roman"/>
          <w:sz w:val="20"/>
        </w:rPr>
        <w:t xml:space="preserve"> 0.50% and (c) Term SOFR for a one-month tenor in effect on such day </w:t>
      </w:r>
      <w:r>
        <w:rPr>
          <w:rFonts w:ascii="Times New Roman" w:hAnsi="Times New Roman"/>
          <w:sz w:val="20"/>
          <w:u w:val="single"/>
        </w:rPr>
        <w:t>plus</w:t>
      </w:r>
      <w:r>
        <w:rPr>
          <w:rFonts w:ascii="Times New Roman" w:hAnsi="Times New Roman"/>
          <w:sz w:val="20"/>
        </w:rPr>
        <w:t xml:space="preserve"> 1.00%. Any change in the ABR due to a change in the Base Rate, the Federal Funds Rate or such Term SOFR shall be effective from and including the effective date of such change in the Base Rate, the Federal Funds Rate or such Term SOFR, respectively. </w:t>
      </w:r>
    </w:p>
    <w:p>
      <w:pPr>
        <w:pStyle w:val="TextBody"/>
        <w:bidi w:val="0"/>
        <w:spacing w:before="240" w:after="0"/>
        <w:jc w:val="left"/>
        <w:rPr/>
      </w:pPr>
      <w:r>
        <w:rPr/>
        <w:t>“</w:t>
      </w:r>
      <w:r>
        <w:rPr>
          <w:rFonts w:ascii="Times New Roman" w:hAnsi="Times New Roman"/>
          <w:sz w:val="20"/>
          <w:u w:val="single"/>
        </w:rPr>
        <w:t>ABR Borrowing</w:t>
      </w:r>
      <w:r>
        <w:rPr>
          <w:rFonts w:ascii="Times New Roman" w:hAnsi="Times New Roman"/>
          <w:sz w:val="20"/>
        </w:rPr>
        <w:t xml:space="preserve">” means, as to any Borrowing, the ABR Loans comprising such Borrowing. </w:t>
      </w:r>
    </w:p>
    <w:p>
      <w:pPr>
        <w:pStyle w:val="TextBody"/>
        <w:bidi w:val="0"/>
        <w:spacing w:before="240" w:after="0"/>
        <w:jc w:val="left"/>
        <w:rPr/>
      </w:pPr>
      <w:r>
        <w:rPr/>
        <w:t>“</w:t>
      </w:r>
      <w:r>
        <w:rPr>
          <w:rFonts w:ascii="Times New Roman" w:hAnsi="Times New Roman"/>
          <w:sz w:val="20"/>
          <w:u w:val="single"/>
        </w:rPr>
        <w:t>ABR Loan</w:t>
      </w:r>
      <w:r>
        <w:rPr>
          <w:rFonts w:ascii="Times New Roman" w:hAnsi="Times New Roman"/>
          <w:sz w:val="20"/>
        </w:rPr>
        <w:t xml:space="preserve">” means a Loan that bears interest based on the ABR. </w:t>
      </w:r>
    </w:p>
    <w:p>
      <w:pPr>
        <w:pStyle w:val="TextBody"/>
        <w:bidi w:val="0"/>
        <w:spacing w:before="240" w:after="0"/>
        <w:jc w:val="left"/>
        <w:rPr/>
      </w:pPr>
      <w:r>
        <w:rPr/>
        <w:t>“</w:t>
      </w:r>
      <w:r>
        <w:rPr>
          <w:rFonts w:ascii="Times New Roman" w:hAnsi="Times New Roman"/>
          <w:sz w:val="20"/>
          <w:u w:val="single"/>
        </w:rPr>
        <w:t>ABR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as to any Person, the purchase or other acquisition (in one transaction or a series of transactions, including through a merger) of all of the equity interests of another Person or all or substantially all of the property, assets or business of another Person or of the assets constituting a business unit, line of business or division of another Person.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HSBC, in its capacity as administrative agent under any of the Loan Documents, or any successor administrative agent.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in </w:t>
      </w:r>
      <w:r>
        <w:rPr>
          <w:rFonts w:ascii="Times New Roman" w:hAnsi="Times New Roman"/>
          <w:sz w:val="20"/>
          <w:u w:val="single"/>
        </w:rPr>
        <w:t>Section 9.01</w:t>
      </w:r>
      <w:r>
        <w:rPr>
          <w:rFonts w:ascii="Times New Roman" w:hAnsi="Times New Roman"/>
          <w:sz w:val="20"/>
        </w:rPr>
        <w:t xml:space="preserve">, or such other address or account as the Administrative Agent may from time to time notify to the Borrower and the Lenders.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or otherwise acceptable to the Administrative Agent.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xml:space="preserve">” has the meaning specified in </w:t>
      </w:r>
      <w:r>
        <w:rPr>
          <w:rFonts w:ascii="Times New Roman" w:hAnsi="Times New Roman"/>
          <w:sz w:val="20"/>
          <w:u w:val="single"/>
        </w:rPr>
        <w:t>Section 9.01(d)(ii)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specified in introductory paragraph hereof. </w:t>
      </w:r>
    </w:p>
    <w:p>
      <w:pPr>
        <w:pStyle w:val="TextBody"/>
        <w:bidi w:val="0"/>
        <w:spacing w:before="240" w:after="0"/>
        <w:jc w:val="left"/>
        <w:rPr/>
      </w:pPr>
      <w:r>
        <w:rPr/>
        <w:t>“</w:t>
      </w:r>
      <w:r>
        <w:rPr>
          <w:rFonts w:ascii="Times New Roman" w:hAnsi="Times New Roman"/>
          <w:sz w:val="20"/>
          <w:u w:val="single"/>
        </w:rPr>
        <w:t>Applicable Law</w:t>
      </w:r>
      <w:r>
        <w:rPr>
          <w:rFonts w:ascii="Times New Roman" w:hAnsi="Times New Roman"/>
          <w:sz w:val="20"/>
        </w:rPr>
        <w:t xml:space="preserve">” means, as to any Person, all applicable Laws (including Environmental Laws) binding upon such Person or to which such a Person is subject.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with respect to any Lender, (a) on any day on which the outstanding principal balance of all Loans is zero, the percentage of the total Commitments of all Lenders represented by such Lender’s Commitment at such time and (b) at any other time, the percentage of the total Revolving Credit Exposure of all Lenders represented by the aggregate Revolving Credit Exposure of such Lender at such time. </w:t>
      </w:r>
    </w:p>
    <w:p>
      <w:pPr>
        <w:pStyle w:val="TextBody"/>
        <w:bidi w:val="0"/>
        <w:spacing w:before="240" w:after="0"/>
        <w:jc w:val="left"/>
        <w:rPr/>
      </w:pPr>
      <w:r>
        <w:rPr/>
        <w:t>“</w:t>
      </w:r>
      <w:r>
        <w:rPr>
          <w:rFonts w:ascii="Times New Roman" w:hAnsi="Times New Roman"/>
          <w:sz w:val="20"/>
          <w:u w:val="single"/>
        </w:rPr>
        <w:t>Applicable Rate</w:t>
      </w:r>
      <w:r>
        <w:rPr>
          <w:rFonts w:ascii="Times New Roman" w:hAnsi="Times New Roman"/>
          <w:sz w:val="20"/>
        </w:rPr>
        <w:t xml:space="preserve">” means 1.80% per annum for Loans and for Letters of Credit, provided that, for purposes of calculating the Interest Rate under </w:t>
      </w:r>
      <w:r>
        <w:rPr>
          <w:rFonts w:ascii="Times New Roman" w:hAnsi="Times New Roman"/>
          <w:sz w:val="20"/>
          <w:u w:val="single"/>
        </w:rPr>
        <w:t>Section 2.08(a)</w:t>
      </w:r>
      <w:r>
        <w:rPr>
          <w:rFonts w:ascii="Times New Roman" w:hAnsi="Times New Roman"/>
          <w:sz w:val="20"/>
        </w:rPr>
        <w:t xml:space="preserve"> hereof pursuant to prong (c) of the defined term ABR, the Applicable Rate shall mean 0.80% per annum. </w:t>
      </w:r>
    </w:p>
    <w:p>
      <w:pPr>
        <w:pStyle w:val="TextBody"/>
        <w:bidi w:val="0"/>
        <w:spacing w:before="240" w:after="0"/>
        <w:jc w:val="left"/>
        <w:rPr/>
      </w:pPr>
      <w:r>
        <w:rPr/>
        <w:t>“</w:t>
      </w:r>
      <w:r>
        <w:rPr>
          <w:rFonts w:ascii="Times New Roman" w:hAnsi="Times New Roman"/>
          <w:sz w:val="20"/>
          <w:u w:val="single"/>
        </w:rPr>
        <w:t>Application for Letter of Credit</w:t>
      </w:r>
      <w:r>
        <w:rPr>
          <w:rFonts w:ascii="Times New Roman" w:hAnsi="Times New Roman"/>
          <w:sz w:val="20"/>
        </w:rPr>
        <w:t xml:space="preserve">” means an application for a standby letter of credit by, between and among the Borrower, on the one hand, and a Letter of Credit Issuer, on the other hand, substantially in a form provided by such Letter of Credit Issuer (and customarily used by it in similar circumstances) and conformed to the terms of this Agreement, either as originally executed or as it may from time to time be supplemented, modified, amended, renewed, or extended; provided that to the extent that the terms of such Application for Letter of Credit conflict with the terms of this Agreement, the terms of this Agreement shall control.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Arranger</w:t>
      </w:r>
      <w:r>
        <w:rPr>
          <w:rFonts w:ascii="Times New Roman" w:hAnsi="Times New Roman"/>
          <w:sz w:val="20"/>
        </w:rPr>
        <w:t xml:space="preserve">” means HSBC, in its capacity as mandated lead arranger and bookrunner.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party whose consent is required by </w:t>
      </w:r>
      <w:r>
        <w:rPr>
          <w:rFonts w:ascii="Times New Roman" w:hAnsi="Times New Roman"/>
          <w:sz w:val="20"/>
          <w:u w:val="single"/>
        </w:rPr>
        <w:t>Section 9.04</w:t>
      </w:r>
      <w:r>
        <w:rPr>
          <w:rFonts w:ascii="Times New Roman" w:hAnsi="Times New Roman"/>
          <w:sz w:val="20"/>
        </w:rPr>
        <w:t xml:space="preserve">), and accepted by the Administrative Agent, in substantially the form of Exhibit A or any other form approved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Attributable Indebtedness</w:t>
      </w:r>
      <w:r>
        <w:rPr>
          <w:rFonts w:ascii="Times New Roman" w:hAnsi="Times New Roman"/>
          <w:sz w:val="20"/>
        </w:rPr>
        <w:t xml:space="preserve">” means, as of any date of determination,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w:t>
      </w:r>
    </w:p>
    <w:p>
      <w:pPr>
        <w:pStyle w:val="TextBody"/>
        <w:bidi w:val="0"/>
        <w:spacing w:before="240" w:after="0"/>
        <w:jc w:val="left"/>
        <w:rPr/>
      </w:pPr>
      <w:r>
        <w:rPr/>
        <w:t>“</w:t>
      </w:r>
      <w:r>
        <w:rPr>
          <w:rFonts w:ascii="Times New Roman" w:hAnsi="Times New Roman"/>
          <w:sz w:val="20"/>
          <w:u w:val="single"/>
        </w:rPr>
        <w:t>Audited Financial Statements</w:t>
      </w:r>
      <w:r>
        <w:rPr>
          <w:rFonts w:ascii="Times New Roman" w:hAnsi="Times New Roman"/>
          <w:sz w:val="20"/>
        </w:rPr>
        <w:t xml:space="preserve">” means the audited consolidated balance sheet of the Borrower and its Subsidiaries for the relevant fiscal year and the related consolidated statements of income or operations, shareholders’ equity and cash flows for such fiscal year of the Borrower and its Subsidiaries. </w:t>
      </w:r>
    </w:p>
    <w:p>
      <w:pPr>
        <w:pStyle w:val="TextBody"/>
        <w:bidi w:val="0"/>
        <w:spacing w:before="240" w:after="0"/>
        <w:jc w:val="left"/>
        <w:rPr/>
      </w:pPr>
      <w:r>
        <w:rPr/>
        <w:t>“</w:t>
      </w:r>
      <w:r>
        <w:rPr>
          <w:rFonts w:ascii="Times New Roman" w:hAnsi="Times New Roman"/>
          <w:sz w:val="20"/>
          <w:u w:val="single"/>
        </w:rPr>
        <w:t>Availability</w:t>
      </w:r>
      <w:r>
        <w:rPr>
          <w:rFonts w:ascii="Times New Roman" w:hAnsi="Times New Roman"/>
          <w:sz w:val="20"/>
        </w:rPr>
        <w:t xml:space="preserve">” means, as of any date of determination, the excess, if any, of (a) the aggregate Commitments of all Lenders on such date over (b) the aggregate Revolving Credit Exposure of all Lenders on such date.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sz w:val="20"/>
          <w:u w:val="single"/>
        </w:rPr>
        <w:t>Section 2.19(d)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 of China</w:t>
      </w:r>
      <w:r>
        <w:rPr>
          <w:rFonts w:ascii="Times New Roman" w:hAnsi="Times New Roman"/>
          <w:sz w:val="20"/>
        </w:rPr>
        <w:t xml:space="preserve">” has the meaning specified in introductory paragraph hereof and shall include its successors and assigns.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means the rate of interest per annum publicly announced from time to time by the Person acting as the Administrative Agent as its base rate in effect at its principal office in New York City. The Base Rate is a reference rate and does not necessarily represent the lowest or best rate actually charged to any customer. The Administrative Agent or any Lender may make commercial loans or other loans at rates of interest at, above or below the Base Rate. Any change in the Base Rate shall take effect at the opening of business on the day specified in the public announcement of such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w:t>
      </w:r>
      <w:r>
        <w:rPr>
          <w:rFonts w:ascii="Times New Roman" w:hAnsi="Times New Roman"/>
          <w:sz w:val="20"/>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with respect to any Benchmark Transition Event, the first alternative set forth in the order below that can be determined by the Administrative Agent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(a) the sum of (i) Daily Simple SOFR and (ii) the related Benchmark Replacement Adjustment; or </w:t>
      </w:r>
    </w:p>
    <w:p>
      <w:pPr>
        <w:pStyle w:val="TextBody"/>
        <w:bidi w:val="0"/>
        <w:spacing w:before="120" w:after="0"/>
        <w:jc w:val="left"/>
        <w:rPr>
          <w:rFonts w:ascii="Times New Roman" w:hAnsi="Times New Roman"/>
          <w:sz w:val="20"/>
        </w:rPr>
      </w:pPr>
      <w:r>
        <w:rPr>
          <w:rFonts w:ascii="Times New Roman" w:hAnsi="Times New Roman"/>
          <w:sz w:val="20"/>
        </w:rPr>
        <w:t xml:space="preserve">(b)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w:t>
      </w:r>
      <w:r>
        <w:rPr>
          <w:rFonts w:ascii="Times New Roman" w:hAnsi="Times New Roman"/>
          <w:sz w:val="20"/>
        </w:rPr>
        <w:t xml:space="preserve">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means a date and time determined by the Administrative Agent, which date shall be no later than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w:t>
      </w:r>
      <w:r>
        <w:rPr>
          <w:rFonts w:ascii="Times New Roman" w:hAnsi="Times New Roman"/>
          <w:sz w:val="20"/>
          <w:u w:val="single"/>
        </w:rPr>
        <w:t>clause (c)</w:t>
      </w:r>
      <w:r>
        <w:rPr>
          <w:rFonts w:ascii="Times New Roman" w:hAnsi="Times New Roman"/>
          <w:sz w:val="20"/>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w:t>
      </w:r>
      <w:r>
        <w:rPr>
          <w:rFonts w:ascii="Times New Roman" w:hAnsi="Times New Roman"/>
          <w:sz w:val="20"/>
          <w:u w:val="single"/>
        </w:rPr>
        <w:t>clause (c)</w:t>
      </w:r>
      <w:r>
        <w:rPr>
          <w:rFonts w:ascii="Times New Roman" w:hAnsi="Times New Roman"/>
          <w:sz w:val="20"/>
        </w:rPr>
        <w:t xml:space="preserve">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sz w:val="20"/>
          <w:u w:val="single"/>
        </w:rPr>
        <w:t>Section 2.19</w:t>
      </w:r>
      <w:r>
        <w:rPr>
          <w:rFonts w:ascii="Times New Roman" w:hAnsi="Times New Roman"/>
          <w:sz w:val="20"/>
        </w:rPr>
        <w:t xml:space="preserve"> and (b) ending at the time that a Benchmark Replacement has replaced the then-current Benchmark for all purposes hereunder and under any Loan Document in accordance with </w:t>
      </w:r>
      <w:r>
        <w:rPr>
          <w:rFonts w:ascii="Times New Roman" w:hAnsi="Times New Roman"/>
          <w:sz w:val="20"/>
          <w:u w:val="single"/>
        </w:rPr>
        <w:t>Section 2.19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Beneficial</w:t>
      </w:r>
      <w:r>
        <w:rPr>
          <w:rFonts w:ascii="Times New Roman" w:hAnsi="Times New Roman"/>
          <w:sz w:val="20"/>
        </w:rPr>
        <w:t xml:space="preserve"> </w:t>
      </w:r>
      <w:r>
        <w:rPr>
          <w:rFonts w:ascii="Times New Roman" w:hAnsi="Times New Roman"/>
          <w:sz w:val="20"/>
          <w:u w:val="single"/>
        </w:rPr>
        <w:t>Ownership Certification</w:t>
      </w:r>
      <w:r>
        <w:rPr>
          <w:rFonts w:ascii="Times New Roman" w:hAnsi="Times New Roman"/>
          <w:sz w:val="20"/>
        </w:rPr>
        <w:t xml:space="preserve">” means a certification regarding beneficial ownership as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BNP Paribas</w:t>
      </w:r>
      <w:r>
        <w:rPr>
          <w:rFonts w:ascii="Times New Roman" w:hAnsi="Times New Roman"/>
          <w:sz w:val="20"/>
        </w:rPr>
        <w:t xml:space="preserve">” has the meaning specified in introductory paragraph hereof and shall include its successors and assigns.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has the meaning specified in introductory paragraph hereof.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has the meaning specified in </w:t>
      </w:r>
      <w:r>
        <w:rPr>
          <w:rFonts w:ascii="Times New Roman" w:hAnsi="Times New Roman"/>
          <w:sz w:val="20"/>
          <w:u w:val="single"/>
        </w:rPr>
        <w:t>Section 9.01(e)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borrowing consisting of simultaneous Loans of the same Type and, in the case of SOFR Loans, having the same Interest Period made by the Lenders.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for a Borrowing which shall be in the form of Exhibit B or such other form as the Administrative Agent may approve.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that is a legal holiday under the laws of the State of New York or is a day on which banking institutions in such state are authorized or required by Law to close. </w:t>
      </w:r>
    </w:p>
    <w:p>
      <w:pPr>
        <w:pStyle w:val="TextBody"/>
        <w:bidi w:val="0"/>
        <w:spacing w:before="240" w:after="0"/>
        <w:jc w:val="left"/>
        <w:rPr/>
      </w:pPr>
      <w:r>
        <w:rPr/>
        <w:t>“</w:t>
      </w:r>
      <w:r>
        <w:rPr>
          <w:rFonts w:ascii="Times New Roman" w:hAnsi="Times New Roman"/>
          <w:sz w:val="20"/>
          <w:u w:val="single"/>
        </w:rPr>
        <w:t>Capitalized Lease</w:t>
      </w:r>
      <w:r>
        <w:rPr>
          <w:rFonts w:ascii="Times New Roman" w:hAnsi="Times New Roman"/>
          <w:sz w:val="20"/>
        </w:rPr>
        <w:t xml:space="preserve">” means each lease that has been or is required to be, in accordance with GAAP, recorded as a capital or financing lease.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(b) investments in commercial paper maturing within 270 days from the date of acquisition thereof and having, at such date of acquisition, the highest credit rating obtainable from a Credit Rating Agency; </w:t>
      </w:r>
    </w:p>
    <w:p>
      <w:pPr>
        <w:pStyle w:val="TextBody"/>
        <w:bidi w:val="0"/>
        <w:spacing w:before="120" w:after="0"/>
        <w:jc w:val="left"/>
        <w:rPr>
          <w:rFonts w:ascii="Times New Roman" w:hAnsi="Times New Roman"/>
          <w:sz w:val="20"/>
        </w:rPr>
      </w:pPr>
      <w:r>
        <w:rPr>
          <w:rFonts w:ascii="Times New Roman" w:hAnsi="Times New Roman"/>
          <w:sz w:val="20"/>
        </w:rPr>
        <w:t xml:space="preserve">(c) investments in certificates of deposit, banker’s acceptances and time deposits maturing within 365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w:t>
      </w:r>
    </w:p>
    <w:p>
      <w:pPr>
        <w:pStyle w:val="TextBody"/>
        <w:bidi w:val="0"/>
        <w:spacing w:before="120" w:after="0"/>
        <w:jc w:val="left"/>
        <w:rPr>
          <w:rFonts w:ascii="Times New Roman" w:hAnsi="Times New Roman"/>
          <w:sz w:val="20"/>
        </w:rPr>
      </w:pPr>
      <w:r>
        <w:rPr>
          <w:rFonts w:ascii="Times New Roman" w:hAnsi="Times New Roman"/>
          <w:sz w:val="20"/>
        </w:rPr>
        <w:t xml:space="preserve">(d) fully collateralized repurchase agreements with a term of not more than 30 days for securities described in </w:t>
      </w:r>
      <w:r>
        <w:rPr>
          <w:rFonts w:ascii="Times New Roman" w:hAnsi="Times New Roman"/>
          <w:sz w:val="20"/>
          <w:u w:val="single"/>
        </w:rPr>
        <w:t>clause (a)</w:t>
      </w:r>
      <w:r>
        <w:rPr>
          <w:rFonts w:ascii="Times New Roman" w:hAnsi="Times New Roman"/>
          <w:sz w:val="20"/>
        </w:rPr>
        <w:t xml:space="preserve"> above and entered into with a financial institution satisfying the criteria described in </w:t>
      </w:r>
      <w:r>
        <w:rPr>
          <w:rFonts w:ascii="Times New Roman" w:hAnsi="Times New Roman"/>
          <w:sz w:val="20"/>
          <w:u w:val="single"/>
        </w:rPr>
        <w:t>clause (c)</w:t>
      </w:r>
      <w:r>
        <w:rPr>
          <w:rFonts w:ascii="Times New Roman" w:hAnsi="Times New Roman"/>
          <w:sz w:val="20"/>
        </w:rPr>
        <w:t xml:space="preserve"> above; and </w:t>
      </w:r>
    </w:p>
    <w:p>
      <w:pPr>
        <w:pStyle w:val="TextBody"/>
        <w:bidi w:val="0"/>
        <w:spacing w:before="120" w:after="0"/>
        <w:jc w:val="left"/>
        <w:rPr>
          <w:rFonts w:ascii="Times New Roman" w:hAnsi="Times New Roman"/>
          <w:sz w:val="20"/>
        </w:rPr>
      </w:pPr>
      <w:r>
        <w:rPr>
          <w:rFonts w:ascii="Times New Roman" w:hAnsi="Times New Roman"/>
          <w:sz w:val="20"/>
        </w:rPr>
        <w:t xml:space="preserve">(e) money market funds that (i) comply with the criteria set forth in SEC Rule 2a-7 under the Investment Company Act of 1940, (ii) are rated AAA and Aaa (or equivalent rating) by at least two Credit Rating Agencies and (iii) have portfolio assets of at least $5,000,000,000.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TextBody"/>
        <w:bidi w:val="0"/>
        <w:spacing w:before="240" w:after="0"/>
        <w:jc w:val="left"/>
        <w:rPr/>
      </w:pPr>
      <w:r>
        <w:rPr/>
        <w:t>“</w:t>
      </w:r>
      <w:r>
        <w:rPr>
          <w:rFonts w:ascii="Times New Roman" w:hAnsi="Times New Roman"/>
          <w:sz w:val="20"/>
          <w:u w:val="single"/>
        </w:rPr>
        <w:t>CFC</w:t>
      </w:r>
      <w:r>
        <w:rPr>
          <w:rFonts w:ascii="Times New Roman" w:hAnsi="Times New Roman"/>
          <w:sz w:val="20"/>
        </w:rPr>
        <w:t xml:space="preserve">” means a controlled foreign corporation (within the meaning of Section 957(a) of the Code) with respect to which the Borrower or any other Loan Party is a United States shareholder (within the meaning of Section 951(b) of the Code).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an event or series of events by which: (a) Weichai becomes the “beneficial owner” (as defined in Rules 13d-3 and 13d-5 under the Securities Exchange Act of 1934), directly or indirectly, of 50.0% or less of the Equity Interests of the Borrower entitled to vote for members of the board of directors or equivalent governing body of the Borrower on a fully-diluted basis; except that in any event for so long as Weichai America has the right to appoint a majority of the members of the board of directors or equivalent governing body of the Borrower and Weichai maintains, directly or indirectly, 40.0% or more of the Equity Interests of the Borrower, no “Change of Control” shall be deemed to have occurred under this subsection (a); or (b) except for Dispositions permitted under </w:t>
      </w:r>
      <w:r>
        <w:rPr>
          <w:rFonts w:ascii="Times New Roman" w:hAnsi="Times New Roman"/>
          <w:sz w:val="20"/>
          <w:u w:val="single"/>
        </w:rPr>
        <w:t>Section 6.04</w:t>
      </w:r>
      <w:r>
        <w:rPr>
          <w:rFonts w:ascii="Times New Roman" w:hAnsi="Times New Roman"/>
          <w:sz w:val="20"/>
        </w:rPr>
        <w:t xml:space="preserve"> hereof, Borrower fails to own and control, directly or indirectly, 100% of the equity interests of its Subsidiaries.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the first date all the conditions precedent in </w:t>
      </w:r>
      <w:r>
        <w:rPr>
          <w:rFonts w:ascii="Times New Roman" w:hAnsi="Times New Roman"/>
          <w:sz w:val="20"/>
          <w:u w:val="single"/>
        </w:rPr>
        <w:t>Section 4.01</w:t>
      </w:r>
      <w:r>
        <w:rPr>
          <w:rFonts w:ascii="Times New Roman" w:hAnsi="Times New Roman"/>
          <w:sz w:val="20"/>
        </w:rPr>
        <w:t xml:space="preserve"> are satisfied or waived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any and all assets, whether real or personal, tangible or intangible, on which Liens are purported to be granted pursuant to the Security Documents as security for the Obligations; provided that, Collateral shall not include any Excluded Assets. </w:t>
      </w:r>
    </w:p>
    <w:p>
      <w:pPr>
        <w:pStyle w:val="TextBody"/>
        <w:bidi w:val="0"/>
        <w:spacing w:before="240" w:after="0"/>
        <w:jc w:val="left"/>
        <w:rPr/>
      </w:pPr>
      <w:r>
        <w:rPr/>
        <w:t>“</w:t>
      </w:r>
      <w:r>
        <w:rPr>
          <w:rFonts w:ascii="Times New Roman" w:hAnsi="Times New Roman"/>
          <w:sz w:val="20"/>
          <w:u w:val="single"/>
        </w:rPr>
        <w:t>Collateral Agreement</w:t>
      </w:r>
      <w:r>
        <w:rPr>
          <w:rFonts w:ascii="Times New Roman" w:hAnsi="Times New Roman"/>
          <w:sz w:val="20"/>
        </w:rPr>
        <w:t xml:space="preserve">” means the Guarantee and Collateral Agreement dated as of the Closing Date (as amended, supplemented or otherwise modified from time to time) among the Borrower, each of the Borrower’s Subsidiaries (other than an Excluded Foreign Subsidiary) and the Administrative Agent. </w:t>
      </w:r>
    </w:p>
    <w:p>
      <w:pPr>
        <w:pStyle w:val="TextBody"/>
        <w:bidi w:val="0"/>
        <w:spacing w:before="240" w:after="0"/>
        <w:jc w:val="left"/>
        <w:rPr/>
      </w:pPr>
      <w:r>
        <w:rPr/>
        <w:t>“</w:t>
      </w:r>
      <w:r>
        <w:rPr>
          <w:rFonts w:ascii="Times New Roman" w:hAnsi="Times New Roman"/>
          <w:sz w:val="20"/>
          <w:u w:val="single"/>
        </w:rPr>
        <w:t>Collateral and Guarantee Requirement</w:t>
      </w:r>
      <w:r>
        <w:rPr>
          <w:rFonts w:ascii="Times New Roman" w:hAnsi="Times New Roman"/>
          <w:sz w:val="20"/>
        </w:rPr>
        <w:t xml:space="preserve">” means, at any time, the requirement that: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from the Borrower and each Subsidiary other than an Excluded Foreign Subsidiary (i) either (A) a counterpart of the Collateral Agreement duly executed and delivered on behalf of such Person or (B) in the case of any Person that becomes a Subsidiary of the Borrower after the Closing Date, a joinder to the Collateral Agreement, in the form specified therein, duly executed and delivered on behalf of such Person, together with, if reasonably requested by the Administrative Agent, opinions and documents of the type referred to in </w:t>
      </w:r>
      <w:r>
        <w:rPr>
          <w:rFonts w:ascii="Times New Roman" w:hAnsi="Times New Roman"/>
          <w:sz w:val="20"/>
          <w:u w:val="single"/>
        </w:rPr>
        <w:t>paragraphs (c)</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and </w:t>
      </w:r>
      <w:r>
        <w:rPr>
          <w:rFonts w:ascii="Times New Roman" w:hAnsi="Times New Roman"/>
          <w:sz w:val="20"/>
          <w:u w:val="single"/>
        </w:rPr>
        <w:t>(n)</w:t>
      </w:r>
      <w:r>
        <w:rPr>
          <w:rFonts w:ascii="Times New Roman" w:hAnsi="Times New Roman"/>
          <w:sz w:val="20"/>
        </w:rPr>
        <w:t xml:space="preserve"> of </w:t>
      </w:r>
      <w:r>
        <w:rPr>
          <w:rFonts w:ascii="Times New Roman" w:hAnsi="Times New Roman"/>
          <w:sz w:val="20"/>
          <w:u w:val="single"/>
        </w:rPr>
        <w:t>Section 4.01</w:t>
      </w:r>
      <w:r>
        <w:rPr>
          <w:rFonts w:ascii="Times New Roman" w:hAnsi="Times New Roman"/>
          <w:sz w:val="20"/>
        </w:rPr>
        <w:t xml:space="preserve">, in each case, with respect to such Person and (ii) a joinder to the Intercompany Subordination Agreement, as specified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all outstanding Equity Interests of each Subsidiary of the Borrower and each of their respective Subsidiaries other than such Equity Interests that are Excluded Assets, shall have been pledged pursuant to the Collateral Agreement and (ii) the Administrative Agent shall, to the extent required by the Collateral Agreement, have received certificates or other instruments representing all such Equity Interests, together with undated stock powers or other instruments of transfer with respect thereto endorsed in blank; </w:t>
      </w:r>
    </w:p>
    <w:p>
      <w:pPr>
        <w:pStyle w:val="TextBody"/>
        <w:bidi w:val="0"/>
        <w:spacing w:before="120" w:after="0"/>
        <w:jc w:val="left"/>
        <w:rPr>
          <w:rFonts w:ascii="Times New Roman" w:hAnsi="Times New Roman"/>
          <w:sz w:val="20"/>
        </w:rPr>
      </w:pPr>
      <w:r>
        <w:rPr>
          <w:rFonts w:ascii="Times New Roman" w:hAnsi="Times New Roman"/>
          <w:sz w:val="20"/>
        </w:rPr>
        <w:t xml:space="preserve">(c) all Indebtedness of the Borrower and each Subsidiary, and all other Indebtedness of any Person in a principal amount of $100,000 or more, in each case that is owing to any Subsidiary of the Borrower or to the Borrower, shall have been pledged pursuant to the Collateral Agreement and to the extent evidenced by a promissory note, the Administrative Agent shall have received all such promissory notes, together with undated instruments of transfer with respect thereto endorsed in blank; </w:t>
      </w:r>
    </w:p>
    <w:p>
      <w:pPr>
        <w:pStyle w:val="TextBody"/>
        <w:bidi w:val="0"/>
        <w:spacing w:before="120" w:after="0"/>
        <w:jc w:val="left"/>
        <w:rPr>
          <w:rFonts w:ascii="Times New Roman" w:hAnsi="Times New Roman"/>
          <w:sz w:val="20"/>
        </w:rPr>
      </w:pPr>
      <w:r>
        <w:rPr>
          <w:rFonts w:ascii="Times New Roman" w:hAnsi="Times New Roman"/>
          <w:sz w:val="20"/>
        </w:rPr>
        <w:t xml:space="preserve">(d) all documents and instruments, including Uniform Commercial Code financing statements, required by law or reasonably requested by the Administrative Agent to be filed, registered or recorded to create the Liens intended to be created by the Security Documents and to perfect such Liens to the extent required by, and with the priority required by, the Security Documents shall have been filed, registered or recorded or delivered to the Administrative Agent for filing, registration or recording; and </w:t>
      </w:r>
    </w:p>
    <w:p>
      <w:pPr>
        <w:pStyle w:val="TextBody"/>
        <w:bidi w:val="0"/>
        <w:spacing w:before="120" w:after="0"/>
        <w:jc w:val="left"/>
        <w:rPr>
          <w:rFonts w:ascii="Times New Roman" w:hAnsi="Times New Roman"/>
          <w:sz w:val="20"/>
        </w:rPr>
      </w:pPr>
      <w:r>
        <w:rPr>
          <w:rFonts w:ascii="Times New Roman" w:hAnsi="Times New Roman"/>
          <w:sz w:val="20"/>
        </w:rPr>
        <w:t xml:space="preserve">(e) each of the Borrower and its Subsidiaries shall have obtained all consents and approvals required to be obtained by it in connection with the execution and delivery of all Security Documents to which it is a party, the performance of its obligations thereunder and the granting by it of the Liens thereunder. </w:t>
      </w:r>
    </w:p>
    <w:p>
      <w:pPr>
        <w:pStyle w:val="TextBody"/>
        <w:bidi w:val="0"/>
        <w:spacing w:before="240" w:after="0"/>
        <w:jc w:val="left"/>
        <w:rPr/>
      </w:pPr>
      <w:r>
        <w:rPr/>
        <w:t>“</w:t>
      </w:r>
      <w:r>
        <w:rPr>
          <w:rFonts w:ascii="Times New Roman" w:hAnsi="Times New Roman"/>
          <w:sz w:val="20"/>
          <w:u w:val="single"/>
        </w:rPr>
        <w:t>Commitment Fee</w:t>
      </w:r>
      <w:r>
        <w:rPr>
          <w:rFonts w:ascii="Times New Roman" w:hAnsi="Times New Roman"/>
          <w:sz w:val="20"/>
        </w:rPr>
        <w:t xml:space="preserve">” has the meaning set forth in </w:t>
      </w:r>
      <w:r>
        <w:rPr>
          <w:rFonts w:ascii="Times New Roman" w:hAnsi="Times New Roman"/>
          <w:sz w:val="20"/>
          <w:u w:val="single"/>
        </w:rPr>
        <w:t>Section 2.09(b)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Commitments</w:t>
      </w:r>
      <w:r>
        <w:rPr>
          <w:rFonts w:ascii="Times New Roman" w:hAnsi="Times New Roman"/>
          <w:sz w:val="20"/>
        </w:rPr>
        <w:t xml:space="preserve">” mean with respect to each Lender, the commitment of such Lender to make a Loan on the Closing Date in the amount of such Lender’s Commitment set forth on </w:t>
      </w:r>
      <w:r>
        <w:rPr>
          <w:rFonts w:ascii="Times New Roman" w:hAnsi="Times New Roman"/>
          <w:sz w:val="20"/>
          <w:u w:val="single"/>
        </w:rPr>
        <w:t>Schedule 2.01</w:t>
      </w:r>
      <w:r>
        <w:rPr>
          <w:rFonts w:ascii="Times New Roman" w:hAnsi="Times New Roman"/>
          <w:sz w:val="20"/>
        </w:rPr>
        <w:t xml:space="preserve">, as such commitment shall be terminated pursuant to </w:t>
      </w:r>
      <w:r>
        <w:rPr>
          <w:rFonts w:ascii="Times New Roman" w:hAnsi="Times New Roman"/>
          <w:sz w:val="20"/>
          <w:u w:val="single"/>
        </w:rPr>
        <w:t>Section 2.07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Commodity Account</w:t>
      </w:r>
      <w:r>
        <w:rPr>
          <w:rFonts w:ascii="Times New Roman" w:hAnsi="Times New Roman"/>
          <w:sz w:val="20"/>
        </w:rPr>
        <w:t xml:space="preserve">” means any commodity account, as such term is defined in Section 9-102 of the UCC.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has the meaning specified in </w:t>
      </w:r>
      <w:r>
        <w:rPr>
          <w:rFonts w:ascii="Times New Roman" w:hAnsi="Times New Roman"/>
          <w:sz w:val="20"/>
          <w:u w:val="single"/>
        </w:rPr>
        <w:t>Section 9.01(d)(ii)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has the meaning set forth in </w:t>
      </w:r>
      <w:r>
        <w:rPr>
          <w:rFonts w:ascii="Times New Roman" w:hAnsi="Times New Roman"/>
          <w:sz w:val="20"/>
          <w:u w:val="single"/>
        </w:rPr>
        <w:t>Section 5.02(a)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making payments of interest, timing of borrowing requests or prepayment, conversion or continuation notices, the applicability and length of lookback periods, the applicability of </w:t>
      </w:r>
      <w:r>
        <w:rPr>
          <w:rFonts w:ascii="Times New Roman" w:hAnsi="Times New Roman"/>
          <w:sz w:val="20"/>
          <w:u w:val="single"/>
        </w:rPr>
        <w:t>Section 2.13</w:t>
      </w:r>
      <w:r>
        <w:rPr>
          <w:rFonts w:ascii="Times New Roman" w:hAnsi="Times New Roman"/>
          <w:sz w:val="20"/>
        </w:rPr>
        <w:t xml:space="preserve"> and other technical, administrative or operational matters) that the Administrative Agent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means, for any period, Consolidated Net Income for such period </w:t>
      </w:r>
      <w:r>
        <w:rPr>
          <w:rFonts w:ascii="Times New Roman" w:hAnsi="Times New Roman"/>
          <w:sz w:val="20"/>
          <w:u w:val="single"/>
        </w:rPr>
        <w:t>plus</w:t>
      </w:r>
      <w:r>
        <w:rPr>
          <w:rFonts w:ascii="Times New Roman" w:hAnsi="Times New Roman"/>
          <w:sz w:val="20"/>
        </w:rPr>
        <w:t xml:space="preserve">, without duplication and to the extent deducted in determining Consolidated Net Income for such period, the sum of (a) interest expense, (b) provision for taxes based on income, (c) depreciation expense, (d) amortization expense, (e) unusual or non-recurring cash charges or expenses incurred during such period solely to the extent such charges or expenses are incurred in connection with (i) incremental financial reporting expenses; (ii) government investigation and non-recurring and unusual legal matter expenses, including indemnification costs for former officers and employees, as well as expenses related to unusual and non-recurring legal matters, but only to the extent such charges or expenses are not otherwise covered by the proceeds of any insurance policies of the Borrower and its Subsidiaries; (iii) internal control remediation costs, including information technology system upgrade and re-implementation costs; (iv) professional services expenses related to a potential relisting on a national stock exchange; (v) debt extinguishment or modifications; (vi) employment-related retention compensation in an amount not to exceed $500,000 in respect of any such employment-related retention compensation incurred during the period commencing on the Closing Date and ending on the first anniversary of the Closing Date; and (vii) reasonable restructuring actions (including employee severance payments and other related charges or expenses) and (f) other non-cash charges, expenses or losses (including, without limitation, goodwill or asset impairments and stock-based compensation) (excluding any such non-cash charge to the extent it represents an accrual or reserve for potential cash charge in any future period or amortization of a prepaid cash charge that was paid in a prior period), </w:t>
      </w:r>
      <w:r>
        <w:rPr>
          <w:rFonts w:ascii="Times New Roman" w:hAnsi="Times New Roman"/>
          <w:sz w:val="20"/>
          <w:u w:val="single"/>
        </w:rPr>
        <w:t>minus</w:t>
      </w:r>
      <w:r>
        <w:rPr>
          <w:rFonts w:ascii="Times New Roman" w:hAnsi="Times New Roman"/>
          <w:sz w:val="20"/>
        </w:rPr>
        <w:t xml:space="preserve">, without duplication and to the extent included in determining Consolidated Net Income for such period, the sum of (i) unusual or non-recurring gains and non-cash income, (ii) any other non-cash income or gains increasing Consolidated Net Income for such period (excluding any such non-cash gain to the extent it represents the reversal of an accrual or reserve for potential cash charge in any prior period), (iii) any gains realized from the disposition of the Borrower or any of its Subsidiary’s property outside of the ordinary course of business and (iv) a life insurance payment received by Borrower related to the death of a former employee in an aggregate amount of $930,000, all as determined on a consolidated basis. For the purpose of calculating Consolidated EBITDA for any period, if during such period the Borrower or any Subsidiary shall have consummated an Acquisition, Consolidated EBITDA for such period shall be calculated after giving pro forma effect thereto as if such Acquisition occurred on the first day of such period. In the event any Subsidiary shall not be Wholly-Owned by the Borrower, all amounts added back in computing Consolidated EBITDA for any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clauses (a) – (f)</w:t>
      </w:r>
      <w:r>
        <w:rPr>
          <w:rFonts w:ascii="Times New Roman" w:hAnsi="Times New Roman"/>
          <w:sz w:val="20"/>
        </w:rPr>
        <w:t xml:space="preserve"> above, and all amounts subtracted in computing Consolidated EBITDA pursuant to </w:t>
      </w:r>
      <w:r>
        <w:rPr>
          <w:rFonts w:ascii="Times New Roman" w:hAnsi="Times New Roman"/>
          <w:sz w:val="20"/>
          <w:u w:val="single"/>
        </w:rPr>
        <w:t>clauses (i) – (iv)</w:t>
      </w:r>
      <w:r>
        <w:rPr>
          <w:rFonts w:ascii="Times New Roman" w:hAnsi="Times New Roman"/>
          <w:sz w:val="20"/>
        </w:rPr>
        <w:t xml:space="preserve"> above, to the extent such amounts are, in the reasonable judgment of a Financial Officer, attributable to such Subsidiary, shall be reduced by the portion thereof that is attributable to the non-controlling interest in such Subsidiary. </w:t>
      </w:r>
    </w:p>
    <w:p>
      <w:pPr>
        <w:pStyle w:val="TextBody"/>
        <w:bidi w:val="0"/>
        <w:spacing w:before="240" w:after="0"/>
        <w:jc w:val="left"/>
        <w:rPr/>
      </w:pPr>
      <w:r>
        <w:rPr/>
        <w:t>“</w:t>
      </w:r>
      <w:r>
        <w:rPr>
          <w:rFonts w:ascii="Times New Roman" w:hAnsi="Times New Roman"/>
          <w:sz w:val="20"/>
          <w:u w:val="single"/>
        </w:rPr>
        <w:t>Consolidated Interest Coverage Ratio</w:t>
      </w:r>
      <w:r>
        <w:rPr>
          <w:rFonts w:ascii="Times New Roman" w:hAnsi="Times New Roman"/>
          <w:sz w:val="20"/>
        </w:rPr>
        <w:t xml:space="preserve">” means, as of any date of determination, the ratio of (a) Consolidated EBITDA for such fiscal quarter to (b) Consolidated Interest Expense for such fiscal quarter.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means, for any period, total interest expense (including that attributable to Capitalized Leases) net of total interest income of the Borrower and its Subsidiaries on a consolidated basis for such period with respect to all outstanding Indebtedness of the Borrower and its Subsidiaries (including all commissions, discounts and other fees and charges owed with respect to letters of credit and bankers’ acceptance financing and net costs under Swap Contracts in respect of interest rates to the extent that such net costs are allocable to such period).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means, for any period, the consolidated net income (or loss) of the Borrower and its Subsidiaries on a consolidated basis; </w:t>
      </w:r>
      <w:r>
        <w:rPr>
          <w:rFonts w:ascii="Times New Roman" w:hAnsi="Times New Roman"/>
          <w:sz w:val="20"/>
          <w:u w:val="single"/>
        </w:rPr>
        <w:t>provided</w:t>
      </w:r>
      <w:r>
        <w:rPr>
          <w:rFonts w:ascii="Times New Roman" w:hAnsi="Times New Roman"/>
          <w:sz w:val="20"/>
        </w:rPr>
        <w:t xml:space="preserve"> that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 </w:t>
      </w:r>
    </w:p>
    <w:p>
      <w:pPr>
        <w:pStyle w:val="TextBody"/>
        <w:bidi w:val="0"/>
        <w:spacing w:before="240" w:after="0"/>
        <w:jc w:val="left"/>
        <w:rPr/>
      </w:pPr>
      <w:r>
        <w:rPr/>
        <w:t>“</w:t>
      </w:r>
      <w:r>
        <w:rPr>
          <w:rFonts w:ascii="Times New Roman" w:hAnsi="Times New Roman"/>
          <w:sz w:val="20"/>
          <w:u w:val="single"/>
        </w:rPr>
        <w:t>Consolidated Leverage Ratio</w:t>
      </w:r>
      <w:r>
        <w:rPr>
          <w:rFonts w:ascii="Times New Roman" w:hAnsi="Times New Roman"/>
          <w:sz w:val="20"/>
        </w:rPr>
        <w:t xml:space="preserve">” means, as of any date of determination, the ratio of (a) Consolidated Total Debt for such fiscal quarter to (b) Consolidated EBITDA for the four fiscal quarters most recently ended. </w:t>
      </w:r>
    </w:p>
    <w:p>
      <w:pPr>
        <w:pStyle w:val="TextBody"/>
        <w:bidi w:val="0"/>
        <w:spacing w:before="240" w:after="0"/>
        <w:jc w:val="left"/>
        <w:rPr/>
      </w:pPr>
      <w:r>
        <w:rPr/>
        <w:t>“</w:t>
      </w:r>
      <w:r>
        <w:rPr>
          <w:rFonts w:ascii="Times New Roman" w:hAnsi="Times New Roman"/>
          <w:sz w:val="20"/>
          <w:u w:val="single"/>
        </w:rPr>
        <w:t>Consolidated Total Debt</w:t>
      </w:r>
      <w:r>
        <w:rPr>
          <w:rFonts w:ascii="Times New Roman" w:hAnsi="Times New Roman"/>
          <w:sz w:val="20"/>
        </w:rPr>
        <w:t xml:space="preserve">” means, as of any date of determination, the aggregate stated balance sheet amount of all Indebtedness of the Borrower and its Subsidiaries (or, if higher, the par value or stated face amount of all such Indebtedness (other than zero coupon Indebtedness)) on a consolidated basis on such date. </w:t>
      </w:r>
    </w:p>
    <w:p>
      <w:pPr>
        <w:pStyle w:val="TextBody"/>
        <w:bidi w:val="0"/>
        <w:spacing w:before="240" w:after="0"/>
        <w:jc w:val="left"/>
        <w:rPr/>
      </w:pPr>
      <w:r>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analogous thereto. </w:t>
      </w:r>
    </w:p>
    <w:p>
      <w:pPr>
        <w:pStyle w:val="TextBody"/>
        <w:bidi w:val="0"/>
        <w:spacing w:before="240" w:after="0"/>
        <w:jc w:val="left"/>
        <w:rPr/>
      </w:pPr>
      <w:r>
        <w:rPr/>
        <w:t>“</w:t>
      </w:r>
      <w:r>
        <w:rPr>
          <w:rFonts w:ascii="Times New Roman" w:hAnsi="Times New Roman"/>
          <w:sz w:val="20"/>
          <w:u w:val="single"/>
        </w:rPr>
        <w:t>Controlled Account</w:t>
      </w:r>
      <w:r>
        <w:rPr>
          <w:rFonts w:ascii="Times New Roman" w:hAnsi="Times New Roman"/>
          <w:sz w:val="20"/>
        </w:rPr>
        <w:t xml:space="preserve">” has the meaning set forth in </w:t>
      </w:r>
      <w:r>
        <w:rPr>
          <w:rFonts w:ascii="Times New Roman" w:hAnsi="Times New Roman"/>
          <w:sz w:val="20"/>
          <w:u w:val="single"/>
        </w:rPr>
        <w:t>Section 5.17(a)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CPRA</w:t>
      </w:r>
      <w:r>
        <w:rPr>
          <w:rFonts w:ascii="Times New Roman" w:hAnsi="Times New Roman"/>
          <w:sz w:val="20"/>
        </w:rPr>
        <w:t xml:space="preserve">” has the meaning set forth in </w:t>
      </w:r>
      <w:r>
        <w:rPr>
          <w:rFonts w:ascii="Times New Roman" w:hAnsi="Times New Roman"/>
          <w:sz w:val="20"/>
          <w:u w:val="single"/>
        </w:rPr>
        <w:t>Section 9.12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Credit Rating Agency</w:t>
      </w:r>
      <w:r>
        <w:rPr>
          <w:rFonts w:ascii="Times New Roman" w:hAnsi="Times New Roman"/>
          <w:sz w:val="20"/>
        </w:rPr>
        <w:t xml:space="preserve">” means a nationally recognized credit rating agency that evaluates the financial condition of issuers of debt instruments and then assigns a rating that reflects its assessment of the issuer’s ability to make debt payments.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hAnsi="Times New Roman"/>
          <w:sz w:val="20"/>
          <w:u w:val="single"/>
        </w:rPr>
        <w:t>provided</w:t>
      </w:r>
      <w:r>
        <w:rPr>
          <w:rFonts w:ascii="Times New Roman" w:hAnsi="Times New Roman"/>
          <w:sz w:val="20"/>
        </w:rPr>
        <w:t xml:space="preserve"> that if the Administrative Agent decides that any such convention is not administratively feasible for the Administrative Agent, then the Administrative Agent may establish another convention in its reasonable discretion.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 </w:t>
      </w:r>
    </w:p>
    <w:p>
      <w:pPr>
        <w:pStyle w:val="TextBody"/>
        <w:bidi w:val="0"/>
        <w:spacing w:before="240" w:after="0"/>
        <w:jc w:val="left"/>
        <w:rPr/>
      </w:pPr>
      <w:r>
        <w:rPr/>
        <w:t>“</w:t>
      </w:r>
      <w:r>
        <w:rPr>
          <w:rFonts w:ascii="Times New Roman" w:hAnsi="Times New Roman"/>
          <w:sz w:val="20"/>
          <w:u w:val="single"/>
        </w:rPr>
        <w:t>Debtor Relief Plan</w:t>
      </w:r>
      <w:r>
        <w:rPr>
          <w:rFonts w:ascii="Times New Roman" w:hAnsi="Times New Roman"/>
          <w:sz w:val="20"/>
        </w:rPr>
        <w:t xml:space="preserve">” means a plan of reorganization or plan of liquidation pursuant to any Debtor Relief Laws.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with the giving of any notice, the passage of time, or both, would be an Event of Default. </w:t>
      </w:r>
    </w:p>
    <w:p>
      <w:pPr>
        <w:pStyle w:val="TextBody"/>
        <w:bidi w:val="0"/>
        <w:spacing w:before="240" w:after="0"/>
        <w:jc w:val="left"/>
        <w:rPr/>
      </w:pPr>
      <w:r>
        <w:rPr/>
        <w:t>“</w:t>
      </w:r>
      <w:r>
        <w:rPr>
          <w:rFonts w:ascii="Times New Roman" w:hAnsi="Times New Roman"/>
          <w:sz w:val="20"/>
          <w:u w:val="single"/>
        </w:rPr>
        <w:t>Default Rate</w:t>
      </w:r>
      <w:r>
        <w:rPr>
          <w:rFonts w:ascii="Times New Roman" w:hAnsi="Times New Roman"/>
          <w:sz w:val="20"/>
        </w:rPr>
        <w:t xml:space="preserve">” means an interest rate (before as well as after judgment) equal to (a) with respect to overdue principal, the applicable interest rate </w:t>
      </w:r>
      <w:r>
        <w:rPr>
          <w:rFonts w:ascii="Times New Roman" w:hAnsi="Times New Roman"/>
          <w:sz w:val="20"/>
          <w:u w:val="single"/>
        </w:rPr>
        <w:t>plus</w:t>
      </w:r>
      <w:r>
        <w:rPr>
          <w:rFonts w:ascii="Times New Roman" w:hAnsi="Times New Roman"/>
          <w:sz w:val="20"/>
        </w:rPr>
        <w:t xml:space="preserve"> 2.00% per annum (</w:t>
      </w:r>
      <w:r>
        <w:rPr>
          <w:rFonts w:ascii="Times New Roman" w:hAnsi="Times New Roman"/>
          <w:sz w:val="20"/>
          <w:u w:val="single"/>
        </w:rPr>
        <w:t xml:space="preserve">provided </w:t>
      </w:r>
      <w:r>
        <w:rPr>
          <w:rFonts w:ascii="Times New Roman" w:hAnsi="Times New Roman"/>
          <w:sz w:val="20"/>
        </w:rPr>
        <w:t xml:space="preserve">that, with respect to a SOFR Loan, the determination of the applicable interest rate is subject to </w:t>
      </w:r>
      <w:r>
        <w:rPr>
          <w:rFonts w:ascii="Times New Roman" w:hAnsi="Times New Roman"/>
          <w:sz w:val="20"/>
          <w:u w:val="single"/>
        </w:rPr>
        <w:t>Section 2.05(e)</w:t>
      </w:r>
      <w:r>
        <w:rPr>
          <w:rFonts w:ascii="Times New Roman" w:hAnsi="Times New Roman"/>
          <w:sz w:val="20"/>
        </w:rPr>
        <w:t xml:space="preserve"> to the extent that SOFR Loans may not be converted to, or continued as, SOFR Loans, pursuant thereto) and (b) with respect to any other overdue amount (including overdue interest), the interest rate applicable to ABR Loans in the case of overdue interest or fee </w:t>
      </w:r>
      <w:r>
        <w:rPr>
          <w:rFonts w:ascii="Times New Roman" w:hAnsi="Times New Roman"/>
          <w:sz w:val="20"/>
          <w:u w:val="single"/>
        </w:rPr>
        <w:t>plus</w:t>
      </w:r>
      <w:r>
        <w:rPr>
          <w:rFonts w:ascii="Times New Roman" w:hAnsi="Times New Roman"/>
          <w:sz w:val="20"/>
        </w:rPr>
        <w:t xml:space="preserve"> 2.00% per annum.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2.20(b)</w:t>
      </w:r>
      <w:r>
        <w:rPr>
          <w:rFonts w:ascii="Times New Roman" w:hAnsi="Times New Roman"/>
          <w:sz w:val="20"/>
        </w:rPr>
        <w:t xml:space="preserv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Letter of Credit Issuer or any other Lender any other amount required to be paid by it hereunder within two (2) Business Days of the date when due, (b) has notified the Borrower, the Administrative Agent or any Letter of Credit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or the Borrower that it will comply with its prospective funding obligations hereunder (provided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receipt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confirmation by the Administrative Agent, or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shall be conclusive and binding absent manifest error, and such Lender shall be deemed to be a Defaulting Lender (subject to </w:t>
      </w:r>
      <w:r>
        <w:rPr>
          <w:rFonts w:ascii="Times New Roman" w:hAnsi="Times New Roman"/>
          <w:sz w:val="20"/>
          <w:u w:val="single"/>
        </w:rPr>
        <w:t>Section 2.20(b)</w:t>
      </w:r>
      <w:r>
        <w:rPr>
          <w:rFonts w:ascii="Times New Roman" w:hAnsi="Times New Roman"/>
          <w:sz w:val="20"/>
        </w:rPr>
        <w:t xml:space="preserve">) upon delivery of written notice of such determination to the Borrower and each Lender. </w:t>
      </w:r>
    </w:p>
    <w:p>
      <w:pPr>
        <w:pStyle w:val="TextBody"/>
        <w:bidi w:val="0"/>
        <w:spacing w:before="240" w:after="0"/>
        <w:jc w:val="left"/>
        <w:rPr/>
      </w:pPr>
      <w:r>
        <w:rPr/>
        <w:t>“</w:t>
      </w:r>
      <w:r>
        <w:rPr>
          <w:rFonts w:ascii="Times New Roman" w:hAnsi="Times New Roman"/>
          <w:sz w:val="20"/>
          <w:u w:val="single"/>
        </w:rPr>
        <w:t>Deposit Account</w:t>
      </w:r>
      <w:r>
        <w:rPr>
          <w:rFonts w:ascii="Times New Roman" w:hAnsi="Times New Roman"/>
          <w:sz w:val="20"/>
        </w:rPr>
        <w:t xml:space="preserve">” means any deposit account, as such term is defined in Section 9-102 of the UCC; provided that Deposit Account shall not include any Excluded Account.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or “</w:t>
      </w:r>
      <w:r>
        <w:rPr>
          <w:rFonts w:ascii="Times New Roman" w:hAnsi="Times New Roman"/>
          <w:sz w:val="20"/>
          <w:u w:val="single"/>
        </w:rPr>
        <w:t>Dispose</w:t>
      </w:r>
      <w:r>
        <w:rPr>
          <w:rFonts w:ascii="Times New Roman" w:hAnsi="Times New Roman"/>
          <w:sz w:val="20"/>
        </w:rPr>
        <w:t xml:space="preserve">” means the sale, transfer, license, lease or other disposition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w:t>
      </w:r>
    </w:p>
    <w:p>
      <w:pPr>
        <w:pStyle w:val="TextBody"/>
        <w:bidi w:val="0"/>
        <w:spacing w:before="240" w:after="0"/>
        <w:jc w:val="left"/>
        <w:rPr/>
      </w:pPr>
      <w:r>
        <w:rPr/>
        <w:t>“</w:t>
      </w:r>
      <w:r>
        <w:rPr>
          <w:rFonts w:ascii="Times New Roman" w:hAnsi="Times New Roman"/>
          <w:sz w:val="20"/>
          <w:u w:val="single"/>
        </w:rPr>
        <w:t>Disqualified Equity Interest</w:t>
      </w:r>
      <w:r>
        <w:rPr>
          <w:rFonts w:ascii="Times New Roman" w:hAnsi="Times New Roman"/>
          <w:sz w:val="20"/>
        </w:rPr>
        <w:t xml:space="preserve">”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Revolving Facility), (b) is redeemable at the option of the holder thereof, in whole or in part, (c) provides for scheduled payments of dividends in cash, or (d) is or becomes convertible into or exchangeable for Indebtedness or any other Equity Interests that would constitute Disqualified Equity Interests, in each case, prior to the date that is ninety-one days after the Expiration Date; </w:t>
      </w:r>
      <w:r>
        <w:rPr>
          <w:rFonts w:ascii="Times New Roman" w:hAnsi="Times New Roman"/>
          <w:sz w:val="20"/>
          <w:u w:val="single"/>
        </w:rPr>
        <w:t>provided</w:t>
      </w:r>
      <w:r>
        <w:rPr>
          <w:rFonts w:ascii="Times New Roman" w:hAnsi="Times New Roman"/>
          <w:sz w:val="20"/>
        </w:rPr>
        <w:t xml:space="preserve"> that if such Equity Interests are issued pursuant to a plan for the benefit of employees of the Borrower or any Subsidiary or by any such plan to such employees, such Equity Interests shall not constitute Disqualified Equity Interests solely because they may be required to be repurchased by the Borrower or its Subsidiaries in order to satisfy applicable statutory or regulatory obligations or as a result of such employee’s termination, death or disability.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lawful money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that is subject to the supervision of an EEA Resolution Authority, (b) any entity established in an EEA Member Country that is a parent of an institution described in </w:t>
      </w:r>
      <w:r>
        <w:rPr>
          <w:rFonts w:ascii="Times New Roman" w:hAnsi="Times New Roman"/>
          <w:sz w:val="20"/>
          <w:u w:val="single"/>
        </w:rPr>
        <w:t>clause (a)</w:t>
      </w:r>
      <w:r>
        <w:rPr>
          <w:rFonts w:ascii="Times New Roman" w:hAnsi="Times New Roman"/>
          <w:sz w:val="20"/>
        </w:rPr>
        <w:t xml:space="preserve"> of this definition, or (c) any financial institution established in an EEA Member Country that is a subsidiary of an institution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 9.04(b)(iii)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and </w:t>
      </w:r>
      <w:r>
        <w:rPr>
          <w:rFonts w:ascii="Times New Roman" w:hAnsi="Times New Roman"/>
          <w:sz w:val="20"/>
          <w:u w:val="single"/>
        </w:rPr>
        <w:t>(vi)</w:t>
      </w:r>
      <w:r>
        <w:rPr>
          <w:rFonts w:ascii="Times New Roman" w:hAnsi="Times New Roman"/>
          <w:sz w:val="20"/>
        </w:rPr>
        <w:t xml:space="preserve"> (subject to such consents, if any, as may be required under </w:t>
      </w:r>
      <w:r>
        <w:rPr>
          <w:rFonts w:ascii="Times New Roman" w:hAnsi="Times New Roman"/>
          <w:sz w:val="20"/>
          <w:u w:val="single"/>
        </w:rPr>
        <w:t>Section 9.04(b)(iii)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any Applicable Laws relating to (a) the protection of the environment, (b) the preservation or reclamation of natural resources, (c) the generation, management, release or threatened release of any Hazardous Material or (d) with respect to exposure to Hazardous Materials, the protection of worker health and safety.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or obligation, contingent or otherwise (including any liability for damages, costs of environmental remediation, fines, penalties or indemnities), resulting from or based upon (a) violation of any Environmental Law, (b) the generation, use, handling, transportation, storage, treatment, disposal or permitting or arranging for the disposal of any Hazardous Materials, (c) exposure to any Hazardous Materials, (d) the release or threatened release of any Hazardous Materials or (e) any written contract, agreement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as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rules and regulations promulgated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under common control with the Borrower within the meaning of Section 414(b) or (c) of the Code (and Sections 414(m) and (o) of the Code for purposes of provisions relating to Section 412 of the Code or Section 302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ERISA Event</w:t>
      </w:r>
      <w:r>
        <w:rPr>
          <w:rFonts w:ascii="Times New Roman" w:hAnsi="Times New Roman"/>
          <w:sz w:val="20"/>
        </w:rPr>
        <w:t xml:space="preserve">” means (a) a Reportable Event with respect to a Pension Plan; (b) the failure by the Borrower or any ERISA Affiliate to meet all applicable requirements under the Pension Funding Rules or the filing of an application for the waiver of the minimum funding standards under the Pension Funding Rules; (c) the incurrence by the Borrower or any ERISA Affiliate of any liability pursuant to Section 4063 or 4064 of ERISA or a cessation of operations with respect to a Pension Plan within the meaning of Section 4062(e) of ERISA; (d) a complete or partial withdrawal by the Borrower or any ERISA Affiliate from a Multiemployer Plan or notification that a Multiemployer Plan is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the Borrower or any ERISA Affiliate; (j) the engagement by the Borrower or any ERISA Affiliate in a transaction that could reasonably be expected to be subject to Section 4069 or Section 4212(c) of ERISA; (k) the imposition of a lien upon the Borrower pursuant to Section 430(k) of the Code or Section 303(k) of ERISA; or (l) the making of an amendment to a Pension Plan that could reasonably be expected to result in the posting of bond or security under Section 436(f)(1) of the Code.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is defined in </w:t>
      </w:r>
      <w:r>
        <w:rPr>
          <w:rFonts w:ascii="Times New Roman" w:hAnsi="Times New Roman"/>
          <w:sz w:val="20"/>
          <w:u w:val="single"/>
        </w:rPr>
        <w:t>Section 8.09(a)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Erroneous Payment Deficiency Assignment</w:t>
      </w:r>
      <w:r>
        <w:rPr>
          <w:rFonts w:ascii="Times New Roman" w:hAnsi="Times New Roman"/>
          <w:sz w:val="20"/>
        </w:rPr>
        <w:t xml:space="preserve">” is defined in </w:t>
      </w:r>
      <w:r>
        <w:rPr>
          <w:rFonts w:ascii="Times New Roman" w:hAnsi="Times New Roman"/>
          <w:sz w:val="20"/>
          <w:u w:val="single"/>
        </w:rPr>
        <w:t>Section 8.09(d)</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Erroneous Payment Impacted Class</w:t>
      </w:r>
      <w:r>
        <w:rPr>
          <w:rFonts w:ascii="Times New Roman" w:hAnsi="Times New Roman"/>
          <w:sz w:val="20"/>
        </w:rPr>
        <w:t xml:space="preserve">” is defined in </w:t>
      </w:r>
      <w:r>
        <w:rPr>
          <w:rFonts w:ascii="Times New Roman" w:hAnsi="Times New Roman"/>
          <w:sz w:val="20"/>
          <w:u w:val="single"/>
        </w:rPr>
        <w:t>Section 8.09(d)</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Erroneous Payment Return Deficiency</w:t>
      </w:r>
      <w:r>
        <w:rPr>
          <w:rFonts w:ascii="Times New Roman" w:hAnsi="Times New Roman"/>
          <w:sz w:val="20"/>
        </w:rPr>
        <w:t xml:space="preserve">” is defined in </w:t>
      </w:r>
      <w:r>
        <w:rPr>
          <w:rFonts w:ascii="Times New Roman" w:hAnsi="Times New Roman"/>
          <w:sz w:val="20"/>
          <w:u w:val="single"/>
        </w:rPr>
        <w:t>Section 8.09(d)</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Erroneous Payment Subrogation Rights</w:t>
      </w:r>
      <w:r>
        <w:rPr>
          <w:rFonts w:ascii="Times New Roman" w:hAnsi="Times New Roman"/>
          <w:sz w:val="20"/>
        </w:rPr>
        <w:t xml:space="preserve">” is defined in </w:t>
      </w:r>
      <w:r>
        <w:rPr>
          <w:rFonts w:ascii="Times New Roman" w:hAnsi="Times New Roman"/>
          <w:sz w:val="20"/>
          <w:u w:val="single"/>
        </w:rPr>
        <w:t>Section 8.09(e)</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specified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Accounts</w:t>
      </w:r>
      <w:r>
        <w:rPr>
          <w:rFonts w:ascii="Times New Roman" w:hAnsi="Times New Roman"/>
          <w:sz w:val="20"/>
        </w:rPr>
        <w:t xml:space="preserve">” means (a) any deposit account solely used for (i) funding payroll or segregating payroll taxes or funding other employee wage or benefit payments or (ii) segregating 401(k) contributions or contributions to an employee stock purchase plan and other health and benefit plans, in each case for prompt payment in accordance with any Applicable Laws, (b) deposit accounts with average monthly balances on deposit that do not exceed $250,000 in the aggregate for all such accounts at any one time, (c) withholding tax and fiduciary trust accounts, and (d) any deposit account maintained at Wells Fargo Bank, National Association that is solely used to cash collateralize and secure Permitted Other Letters of Credit to the extent contemplated in </w:t>
      </w:r>
      <w:r>
        <w:rPr>
          <w:rFonts w:ascii="Times New Roman" w:hAnsi="Times New Roman"/>
          <w:sz w:val="20"/>
          <w:u w:val="single"/>
        </w:rPr>
        <w:t>Section 5.17(c)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Assets</w:t>
      </w:r>
      <w:r>
        <w:rPr>
          <w:rFonts w:ascii="Times New Roman" w:hAnsi="Times New Roman"/>
          <w:sz w:val="20"/>
        </w:rPr>
        <w:t xml:space="preserve">” means (i) any fee owned real property (other than properties with a fair market value in excess of $500,000) and any leasehold rights and interests in real property, (ii) any lease, license or other agreement or any property subject to a purchase money security interest, capital lease obligation or similar arrangements, in each case to the extent permitted under the Loan Documents, to the extent that a grant of a security interest therein would violate or invalidate such lease, license or agreement, purchase money, capital lease or a similar arrangement or create a right of termination in favor of any other party thereto (other than any Loan Party) after giving effect to the applicable anti-assignment provisions of the UCC or other Applicable Law, the assignment of which is expressly deemed effective under Applicable Law notwithstanding such prohibition, but only to the extent the counterparty to such lease, license or other agreement has not provided a waiver or consent to the grant of security therein, (iii) Excluded Accounts and (iv) voting stock in excess of 65% of the voting stock of any direct or indirect Subsidiary of the Borrower that is (a) a first-tier CFC or (b) a first-tier FSHCo, in each case if the Borrower, in consultation with the Administrative Agent, determines that a guarantee by such Subsidiary of the Borrower’s obligations under this Agreement or a grant of security would be expected to result in a material adverse Tax consequence to the Borrower or any other Loan Party. </w:t>
      </w:r>
    </w:p>
    <w:p>
      <w:pPr>
        <w:pStyle w:val="TextBody"/>
        <w:bidi w:val="0"/>
        <w:spacing w:before="240" w:after="0"/>
        <w:jc w:val="left"/>
        <w:rPr/>
      </w:pPr>
      <w:r>
        <w:rPr/>
        <w:t>“</w:t>
      </w:r>
      <w:r>
        <w:rPr>
          <w:rFonts w:ascii="Times New Roman" w:hAnsi="Times New Roman"/>
          <w:sz w:val="20"/>
          <w:u w:val="single"/>
        </w:rPr>
        <w:t>Excluded Foreign Subsidiary</w:t>
      </w:r>
      <w:r>
        <w:rPr>
          <w:rFonts w:ascii="Times New Roman" w:hAnsi="Times New Roman"/>
          <w:sz w:val="20"/>
        </w:rPr>
        <w:t xml:space="preserve">” means any direct or indirect Subsidiary of the Borrower that is (i) a CFC, (ii) a FSHCo, or (iii) any direct or indirect Subsidiary of an entity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in each case if the Borrower, in consultation with the Administrative Agent, determines that a guarantee by such Subsidiary of the Borrower’s obligations under this Agreement or a grant of security would be expected to result in a material adverse Tax consequence to the Borrower or any other Loan Party.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pursuant to a law in effect on the date on which (i) such Lender acquires such interest in the Loan (other than pursuant to an assignment request by the Borrower under </w:t>
      </w:r>
      <w:r>
        <w:rPr>
          <w:rFonts w:ascii="Times New Roman" w:hAnsi="Times New Roman"/>
          <w:sz w:val="20"/>
          <w:u w:val="single"/>
        </w:rPr>
        <w:t>Section 2.18(b))</w:t>
      </w:r>
      <w:r>
        <w:rPr>
          <w:rFonts w:ascii="Times New Roman" w:hAnsi="Times New Roman"/>
          <w:sz w:val="20"/>
        </w:rPr>
        <w:t xml:space="preserve"> or (ii) such Lender changes its lending office, except in each case to the extent that, pursuant to </w:t>
      </w:r>
      <w:r>
        <w:rPr>
          <w:rFonts w:ascii="Times New Roman" w:hAnsi="Times New Roman"/>
          <w:sz w:val="20"/>
          <w:u w:val="single"/>
        </w:rPr>
        <w:t>Section 2.15</w:t>
      </w:r>
      <w:r>
        <w:rPr>
          <w:rFonts w:ascii="Times New Roman" w:hAnsi="Times New Roman"/>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sz w:val="20"/>
          <w:u w:val="single"/>
        </w:rPr>
        <w:t>Section 2.15(g)</w:t>
      </w:r>
      <w:r>
        <w:rPr>
          <w:rFonts w:ascii="Times New Roman" w:hAnsi="Times New Roman"/>
          <w:sz w:val="20"/>
        </w:rPr>
        <w:t xml:space="preserve"> and (d) any withholding Taxes imposed under FATCA. </w:t>
      </w:r>
    </w:p>
    <w:p>
      <w:pPr>
        <w:pStyle w:val="TextBody"/>
        <w:bidi w:val="0"/>
        <w:spacing w:before="240" w:after="0"/>
        <w:jc w:val="left"/>
        <w:rPr/>
      </w:pPr>
      <w:r>
        <w:rPr/>
        <w:t>“</w:t>
      </w:r>
      <w:r>
        <w:rPr>
          <w:rFonts w:ascii="Times New Roman" w:hAnsi="Times New Roman"/>
          <w:sz w:val="20"/>
          <w:u w:val="single"/>
        </w:rPr>
        <w:t>Expiration Date</w:t>
      </w:r>
      <w:r>
        <w:rPr>
          <w:rFonts w:ascii="Times New Roman" w:hAnsi="Times New Roman"/>
          <w:sz w:val="20"/>
        </w:rPr>
        <w:t xml:space="preserve">” means September 25, 2029.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pPr>
      <w:r>
        <w:rPr/>
        <w:t>“</w:t>
      </w:r>
      <w:r>
        <w:rPr>
          <w:rFonts w:ascii="Times New Roman" w:hAnsi="Times New Roman"/>
          <w:sz w:val="20"/>
          <w:u w:val="single"/>
        </w:rPr>
        <w:t>FCPA</w:t>
      </w:r>
      <w:r>
        <w:rPr>
          <w:rFonts w:ascii="Times New Roman" w:hAnsi="Times New Roman"/>
          <w:sz w:val="20"/>
        </w:rPr>
        <w:t xml:space="preserve">” has the meaning specified in </w:t>
      </w:r>
      <w:r>
        <w:rPr>
          <w:rFonts w:ascii="Times New Roman" w:hAnsi="Times New Roman"/>
          <w:sz w:val="20"/>
          <w:u w:val="single"/>
        </w:rPr>
        <w:t>Section 3.16(b)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Federal Funds Rate</w:t>
      </w:r>
      <w:r>
        <w:rPr>
          <w:rFonts w:ascii="Times New Roman" w:hAnsi="Times New Roman"/>
          <w:sz w:val="20"/>
        </w:rPr>
        <w:t xml:space="preserve">”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sz w:val="20"/>
          <w:u w:val="single"/>
        </w:rPr>
        <w:t>Fee Letters</w:t>
      </w:r>
      <w:r>
        <w:rPr>
          <w:rFonts w:ascii="Times New Roman" w:hAnsi="Times New Roman"/>
          <w:sz w:val="20"/>
        </w:rPr>
        <w:t>” means, collectively, (a) that certain fee letter, dated September 25, 2026, by and between the Borrower and the Administrative Agent, (b) that certain fee letter, dated September 25, 2026, by and between the Borrower and the Lenders party thereto, and (c) any other fee letter entered into after the Closing Date by and between the Borrower and the Administrative Agent, any Lender, any Letter of Credit Issuer or any of their respective Affiliates in connection with this Agreement, in each case, as amended, restated, amended and restated, supplemented or otherwise modified from time to time; and “</w:t>
      </w:r>
      <w:r>
        <w:rPr>
          <w:rFonts w:ascii="Times New Roman" w:hAnsi="Times New Roman"/>
          <w:sz w:val="20"/>
          <w:u w:val="single"/>
        </w:rPr>
        <w:t>Fee Letter</w:t>
      </w:r>
      <w:r>
        <w:rPr>
          <w:rFonts w:ascii="Times New Roman" w:hAnsi="Times New Roman"/>
          <w:sz w:val="20"/>
        </w:rPr>
        <w:t xml:space="preserve">” means any of the foregoing, individually.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means, as to any Person, the chief financial officer, principal accounting officer, treasurer or controller of such Person or any other officer having substantially the same authority and responsibilities.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a rate of interest equal to 0%.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any Lender that is not a U.S. Person. </w:t>
      </w:r>
    </w:p>
    <w:p>
      <w:pPr>
        <w:pStyle w:val="TextBody"/>
        <w:bidi w:val="0"/>
        <w:spacing w:before="240" w:after="0"/>
        <w:jc w:val="left"/>
        <w:rPr/>
      </w:pPr>
      <w:r>
        <w:rPr/>
        <w:t>“</w:t>
      </w:r>
      <w:r>
        <w:rPr>
          <w:rFonts w:ascii="Times New Roman" w:hAnsi="Times New Roman"/>
          <w:sz w:val="20"/>
          <w:u w:val="single"/>
        </w:rPr>
        <w:t>Foreign Plan</w:t>
      </w:r>
      <w:r>
        <w:rPr>
          <w:rFonts w:ascii="Times New Roman" w:hAnsi="Times New Roman"/>
          <w:sz w:val="20"/>
        </w:rPr>
        <w:t xml:space="preserve">” means any employee pension benefit plan, program, policy, arrangement or agreement maintained or contributed to by the Borrower or any Subsidiary with respect to employees employed outside the United States (other than any governmental arrangement). </w:t>
      </w:r>
    </w:p>
    <w:p>
      <w:pPr>
        <w:pStyle w:val="TextBody"/>
        <w:bidi w:val="0"/>
        <w:spacing w:before="240" w:after="0"/>
        <w:jc w:val="left"/>
        <w:rPr/>
      </w:pPr>
      <w:r>
        <w:rPr/>
        <w:t>“</w:t>
      </w:r>
      <w:r>
        <w:rPr>
          <w:rFonts w:ascii="Times New Roman" w:hAnsi="Times New Roman"/>
          <w:sz w:val="20"/>
          <w:u w:val="single"/>
        </w:rPr>
        <w:t>FSHCo</w:t>
      </w:r>
      <w:r>
        <w:rPr>
          <w:rFonts w:ascii="Times New Roman" w:hAnsi="Times New Roman"/>
          <w:sz w:val="20"/>
        </w:rPr>
        <w:t xml:space="preserve">” means any direct or indirect Subsidiary of the Borrower all or substantially all of the assets of which consist of equity interests (or debt and equity interests) in one or more CFCs. </w:t>
      </w:r>
    </w:p>
    <w:p>
      <w:pPr>
        <w:pStyle w:val="TextBody"/>
        <w:bidi w:val="0"/>
        <w:spacing w:before="240" w:after="0"/>
        <w:jc w:val="left"/>
        <w:rPr/>
      </w:pPr>
      <w:r>
        <w:rPr/>
        <w:t>“</w:t>
      </w:r>
      <w:r>
        <w:rPr>
          <w:rFonts w:ascii="Times New Roman" w:hAnsi="Times New Roman"/>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bonds and similar extensions of credit in the ordinary course of its activities.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subject to </w:t>
      </w:r>
      <w:r>
        <w:rPr>
          <w:rFonts w:ascii="Times New Roman" w:hAnsi="Times New Roman"/>
          <w:sz w:val="20"/>
          <w:u w:val="single"/>
        </w:rPr>
        <w:t>Section 1.03</w:t>
      </w:r>
      <w:r>
        <w:rPr>
          <w:rFonts w:ascii="Times New Roman" w:hAnsi="Times New Roman"/>
          <w:sz w:val="20"/>
        </w:rPr>
        <w:t xml:space="preserve">, United States generally accepted accounting principles as in effect as of the date of determination thereof.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Guarantee</w:t>
      </w:r>
      <w:r>
        <w:rPr>
          <w:rFonts w:ascii="Times New Roman" w:hAnsi="Times New Roman"/>
          <w:sz w:val="20"/>
        </w:rPr>
        <w:t>” means, as to any Person, (a) any obligation, contingent or otherwise, of such Person guaranteeing or having the economic effect of guaranteeing any Indebtedness or other obligation payable or performable by another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asbestos-containing materials, polychlorinated biphenyls, radon gas, infectious or medical wastes, and other hazardous substances or wastes of any nature regulated under or with respect to which liability or standards of conduct are imposed pursuant to any Environmental Law. </w:t>
      </w:r>
    </w:p>
    <w:p>
      <w:pPr>
        <w:pStyle w:val="TextBody"/>
        <w:bidi w:val="0"/>
        <w:spacing w:before="240" w:after="0"/>
        <w:jc w:val="left"/>
        <w:rPr/>
      </w:pPr>
      <w:r>
        <w:rPr/>
        <w:t>“</w:t>
      </w:r>
      <w:r>
        <w:rPr>
          <w:rFonts w:ascii="Times New Roman" w:hAnsi="Times New Roman"/>
          <w:sz w:val="20"/>
          <w:u w:val="single"/>
        </w:rPr>
        <w:t>HSBC</w:t>
      </w:r>
      <w:r>
        <w:rPr>
          <w:rFonts w:ascii="Times New Roman" w:hAnsi="Times New Roman"/>
          <w:sz w:val="20"/>
        </w:rPr>
        <w:t xml:space="preserve">” has the meaning specified in introductory paragraph hereof and shall include its successors and assigns. </w:t>
      </w:r>
    </w:p>
    <w:p>
      <w:pPr>
        <w:pStyle w:val="TextBody"/>
        <w:bidi w:val="0"/>
        <w:spacing w:before="240" w:after="0"/>
        <w:jc w:val="left"/>
        <w:rPr/>
      </w:pPr>
      <w:r>
        <w:rPr/>
        <w:t>“</w:t>
      </w:r>
      <w:r>
        <w:rPr>
          <w:rFonts w:ascii="Times New Roman" w:hAnsi="Times New Roman"/>
          <w:sz w:val="20"/>
          <w:u w:val="single"/>
        </w:rPr>
        <w:t>Illegality Notice</w:t>
      </w:r>
      <w:r>
        <w:rPr>
          <w:rFonts w:ascii="Times New Roman" w:hAnsi="Times New Roman"/>
          <w:sz w:val="20"/>
        </w:rPr>
        <w:t xml:space="preserve">” has the meaning specified in </w:t>
      </w:r>
      <w:r>
        <w:rPr>
          <w:rFonts w:ascii="Times New Roman" w:hAnsi="Times New Roman"/>
          <w:sz w:val="20"/>
          <w:u w:val="single"/>
        </w:rPr>
        <w:t>Section 2.17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as to any Person at a particular time, without duplication, all of the following, whether or not included as indebtedness or liabilities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(a) all obligations of such Person for borrowed money and all obligations of such Person evidenced by bonds, debentures, notes, loan agreements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(b) all direct or contingent obligations of such Person arising under or in respect of (i) letters of credit (including standby and commercial), bankers’ acceptances, demand guarantees and similar independent undertakings and (ii) surety bonds, performance bonds and similar instruments issued or created by or for the account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(c) net obligations of such Person under any Swap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obligations of such Person to pay the deferred purchase price of property or services (other than trade accounts payable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w:t>
      </w:r>
    </w:p>
    <w:p>
      <w:pPr>
        <w:pStyle w:val="TextBody"/>
        <w:bidi w:val="0"/>
        <w:spacing w:before="120" w:after="0"/>
        <w:jc w:val="left"/>
        <w:rPr>
          <w:rFonts w:ascii="Times New Roman" w:hAnsi="Times New Roman"/>
          <w:sz w:val="20"/>
        </w:rPr>
      </w:pPr>
      <w:r>
        <w:rPr>
          <w:rFonts w:ascii="Times New Roman" w:hAnsi="Times New Roman"/>
          <w:sz w:val="20"/>
        </w:rPr>
        <w:t xml:space="preserve">(f) all Attributable Indebtedness; </w:t>
      </w:r>
    </w:p>
    <w:p>
      <w:pPr>
        <w:pStyle w:val="TextBody"/>
        <w:bidi w:val="0"/>
        <w:spacing w:before="120" w:after="0"/>
        <w:jc w:val="left"/>
        <w:rPr>
          <w:rFonts w:ascii="Times New Roman" w:hAnsi="Times New Roman"/>
          <w:sz w:val="20"/>
        </w:rPr>
      </w:pPr>
      <w:r>
        <w:rPr>
          <w:rFonts w:ascii="Times New Roman" w:hAnsi="Times New Roman"/>
          <w:sz w:val="20"/>
        </w:rPr>
        <w:t xml:space="preserve">(g) all obligations of such Person in respect of Disqualified Equity Interests; and </w:t>
      </w:r>
    </w:p>
    <w:p>
      <w:pPr>
        <w:pStyle w:val="TextBody"/>
        <w:bidi w:val="0"/>
        <w:spacing w:before="120" w:after="0"/>
        <w:jc w:val="left"/>
        <w:rPr>
          <w:rFonts w:ascii="Times New Roman" w:hAnsi="Times New Roman"/>
          <w:sz w:val="20"/>
        </w:rPr>
      </w:pPr>
      <w:r>
        <w:rPr>
          <w:rFonts w:ascii="Times New Roman" w:hAnsi="Times New Roman"/>
          <w:sz w:val="20"/>
        </w:rPr>
        <w:t xml:space="preserve">(h) all Guarantees of such Person in respect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Indebtedness of any Person for purposes of </w:t>
      </w:r>
      <w:r>
        <w:rPr>
          <w:rFonts w:ascii="Times New Roman" w:hAnsi="Times New Roman"/>
          <w:sz w:val="20"/>
          <w:u w:val="single"/>
        </w:rPr>
        <w:t>clause (e)</w:t>
      </w:r>
      <w:r>
        <w:rPr>
          <w:rFonts w:ascii="Times New Roman" w:hAnsi="Times New Roman"/>
          <w:sz w:val="20"/>
        </w:rPr>
        <w:t xml:space="preserve"> that is expressly made non-recourse or limited-recourse (limited solely to the assets securing such Indebtedness) to such Person shall be deemed to be equal to the lesser of (i) the aggregate principal amount of such Indebtedness and (ii) the fair market value of the property encumbered thereby as determined by such Person in good faith.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the Borrower under any Loan Document and (b) to the extent not otherwise described in (a),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specified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has the meaning specified in </w:t>
      </w:r>
      <w:r>
        <w:rPr>
          <w:rFonts w:ascii="Times New Roman" w:hAnsi="Times New Roman"/>
          <w:sz w:val="20"/>
          <w:u w:val="single"/>
        </w:rPr>
        <w:t>Section 9.12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xml:space="preserve">” means any and all patent rights and patent applications, inventions and discoveries and invention disclosures (whether or not patented), trade names, trade dress, logos, packaging design, slogans, Internet domain names, registered and unregistered trademarks and service marks and related registrations and applications for registration, copyrights in both published and unpublished works, know-how, trade secrets, confidential or proprietary information, research in progress, algorithms, data, designs, processes, formulae, drawings, schematics, blueprints, flow charts, models, strategies, prototypes, techniques, and goodwill, franchises, licenses, permits, consents, approvals, and claims of infringement against third parties. </w:t>
      </w:r>
    </w:p>
    <w:p>
      <w:pPr>
        <w:pStyle w:val="TextBody"/>
        <w:bidi w:val="0"/>
        <w:spacing w:before="240" w:after="0"/>
        <w:jc w:val="left"/>
        <w:rPr/>
      </w:pPr>
      <w:r>
        <w:rPr/>
        <w:t>“</w:t>
      </w:r>
      <w:r>
        <w:rPr>
          <w:rFonts w:ascii="Times New Roman" w:hAnsi="Times New Roman"/>
          <w:sz w:val="20"/>
          <w:u w:val="single"/>
        </w:rPr>
        <w:t>Intercompany Subordination Agreement</w:t>
      </w:r>
      <w:r>
        <w:rPr>
          <w:rFonts w:ascii="Times New Roman" w:hAnsi="Times New Roman"/>
          <w:sz w:val="20"/>
        </w:rPr>
        <w:t xml:space="preserve">” means (a) that certain Intercompany Subordination Agreement dated as of the Closing Date between the obligors listed on the signature pages thereto and the Administrative Agent and (b) any other subordination agreement entered into under </w:t>
      </w:r>
      <w:r>
        <w:rPr>
          <w:rFonts w:ascii="Times New Roman" w:hAnsi="Times New Roman"/>
          <w:sz w:val="20"/>
          <w:u w:val="single"/>
        </w:rPr>
        <w:t>Section 6.01(k)</w:t>
      </w:r>
      <w:r>
        <w:rPr>
          <w:rFonts w:ascii="Times New Roman" w:hAnsi="Times New Roman"/>
          <w:sz w:val="20"/>
        </w:rPr>
        <w:t xml:space="preserve"> in a form and substance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the Borrower to convert or continue a Borrowing in accordance with </w:t>
      </w:r>
      <w:r>
        <w:rPr>
          <w:rFonts w:ascii="Times New Roman" w:hAnsi="Times New Roman"/>
          <w:sz w:val="20"/>
          <w:u w:val="single"/>
        </w:rPr>
        <w:t>Section 2.04</w:t>
      </w:r>
      <w:r>
        <w:rPr>
          <w:rFonts w:ascii="Times New Roman" w:hAnsi="Times New Roman"/>
          <w:sz w:val="20"/>
        </w:rPr>
        <w:t xml:space="preserve">, which shall be in such form as the Administrative Agent may approve.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as to any ABR Loan, the last Business Day of each March, June, September and December and the Expiration Date and (b) as to any SOFR Loan, the last day of each Interest Period therefor and, in the case of any Interest Period of more than three months’ duration, each day prior to the last day of such Interest Period that occurs at three-month intervals after the first day of such Interest Period, and the Expiration Date.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as to any Borrowing, the period commencing on the date of such Loan or Borrowing and ending on the numerically corresponding day in the calendar month that is one, three or six months thereafter (in each case, subject to the availability thereof), as specified in the applicable Borrowing Request or Interest Election Request; </w:t>
      </w:r>
      <w:r>
        <w:rPr>
          <w:rFonts w:ascii="Times New Roman" w:hAnsi="Times New Roman"/>
          <w:sz w:val="20"/>
          <w:u w:val="single"/>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Expiration Date and (iv) no tenor that has been removed from this definition pursuant to </w:t>
      </w:r>
      <w:r>
        <w:rPr>
          <w:rFonts w:ascii="Times New Roman" w:hAnsi="Times New Roman"/>
          <w:sz w:val="20"/>
          <w:u w:val="single"/>
        </w:rPr>
        <w:t>Section 2.19(d)</w:t>
      </w:r>
      <w:r>
        <w:rPr>
          <w:rFonts w:ascii="Times New Roman" w:hAnsi="Times New Roman"/>
          <w:sz w:val="20"/>
        </w:rPr>
        <w:t xml:space="preserve"> shall be available for specification in such Borrowing Request or Interest Election Request. For purposes hereof, the date of a Loan or Borrowing initially shall be the date on which such Loan or Borrowing is made and thereafter shall be the effective date of the most recent conversion or continuation of such Loan or Borrowing.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incurs Indebtedness of the type referred to in </w:t>
      </w:r>
      <w:r>
        <w:rPr>
          <w:rFonts w:ascii="Times New Roman" w:hAnsi="Times New Roman"/>
          <w:sz w:val="20"/>
          <w:u w:val="single"/>
        </w:rPr>
        <w:t>clause (h)</w:t>
      </w:r>
      <w:r>
        <w:rPr>
          <w:rFonts w:ascii="Times New Roman" w:hAnsi="Times New Roman"/>
          <w:sz w:val="20"/>
        </w:rPr>
        <w:t xml:space="preserve"> of the definition of “Indebtedness” in respect of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case by such Person with respect thereto.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L/C Commitment</w:t>
      </w:r>
      <w:r>
        <w:rPr>
          <w:rFonts w:ascii="Times New Roman" w:hAnsi="Times New Roman"/>
          <w:sz w:val="20"/>
        </w:rPr>
        <w:t xml:space="preserve">” means, with respect to each Letter of Credit Issuer, the maximum aggregate amount of Letter of Credit Liability attributable to Letters of Credit issued by such Letter of Credit Issuer, as set forth opposite its name on </w:t>
      </w:r>
      <w:r>
        <w:rPr>
          <w:rFonts w:ascii="Times New Roman" w:hAnsi="Times New Roman"/>
          <w:sz w:val="20"/>
          <w:u w:val="single"/>
        </w:rPr>
        <w:t>Schedule 2.01</w:t>
      </w:r>
      <w:r>
        <w:rPr>
          <w:rFonts w:ascii="Times New Roman" w:hAnsi="Times New Roman"/>
          <w:sz w:val="20"/>
        </w:rPr>
        <w:t xml:space="preserve">, as such amount may be reallocated among the Letter of Credit Issuers by written agreement of the Borrower, the Administrative Agent and each affected Letter of Credit Issuer, without the consent of any other Lender or Letter of Credit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L/C Participants</w:t>
      </w:r>
      <w:r>
        <w:rPr>
          <w:rFonts w:ascii="Times New Roman" w:hAnsi="Times New Roman"/>
          <w:sz w:val="20"/>
        </w:rPr>
        <w:t xml:space="preserve">” means, with respect to any Letter of Credit, the collective reference to all the Lenders other than the applicable Letter of Credit Issuer. </w:t>
      </w:r>
    </w:p>
    <w:p>
      <w:pPr>
        <w:pStyle w:val="TextBody"/>
        <w:bidi w:val="0"/>
        <w:spacing w:before="240" w:after="0"/>
        <w:jc w:val="left"/>
        <w:rPr/>
      </w:pPr>
      <w:r>
        <w:rPr/>
        <w:t>“</w:t>
      </w:r>
      <w:r>
        <w:rPr>
          <w:rFonts w:ascii="Times New Roman" w:hAnsi="Times New Roman"/>
          <w:sz w:val="20"/>
          <w:u w:val="single"/>
        </w:rPr>
        <w:t>Laws</w:t>
      </w:r>
      <w:r>
        <w:rPr>
          <w:rFonts w:ascii="Times New Roman" w:hAnsi="Times New Roman"/>
          <w:sz w:val="20"/>
        </w:rPr>
        <w:t xml:space="preserve">” means, collectively,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has the meaning specified in the introductory paragraph hereof.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standby letter of credit issued by a Letter of Credit Issuer pursuant to </w:t>
      </w:r>
      <w:r>
        <w:rPr>
          <w:rFonts w:ascii="Times New Roman" w:hAnsi="Times New Roman"/>
          <w:sz w:val="20"/>
          <w:u w:val="single"/>
        </w:rPr>
        <w:t>Section 2.21</w:t>
      </w:r>
      <w:r>
        <w:rPr>
          <w:rFonts w:ascii="Times New Roman" w:hAnsi="Times New Roman"/>
          <w:sz w:val="20"/>
        </w:rPr>
        <w:t xml:space="preserve"> hereof either as originally issued or as the same may, from time to time, be amended or otherwise modified or extended. </w:t>
      </w:r>
    </w:p>
    <w:p>
      <w:pPr>
        <w:pStyle w:val="TextBody"/>
        <w:bidi w:val="0"/>
        <w:spacing w:before="240" w:after="0"/>
        <w:jc w:val="left"/>
        <w:rPr/>
      </w:pPr>
      <w:r>
        <w:rPr/>
        <w:t>“</w:t>
      </w:r>
      <w:r>
        <w:rPr>
          <w:rFonts w:ascii="Times New Roman" w:hAnsi="Times New Roman"/>
          <w:sz w:val="20"/>
          <w:u w:val="single"/>
        </w:rPr>
        <w:t>Letter of Credit Disbursement</w:t>
      </w:r>
      <w:r>
        <w:rPr>
          <w:rFonts w:ascii="Times New Roman" w:hAnsi="Times New Roman"/>
          <w:sz w:val="20"/>
        </w:rPr>
        <w:t xml:space="preserve">” means a payment made by a Letter of Credit Issuer pursuant to a Letter of Credit. </w:t>
      </w:r>
    </w:p>
    <w:p>
      <w:pPr>
        <w:pStyle w:val="TextBody"/>
        <w:bidi w:val="0"/>
        <w:spacing w:before="240" w:after="0"/>
        <w:jc w:val="left"/>
        <w:rPr/>
      </w:pPr>
      <w:r>
        <w:rPr/>
        <w:t>“</w:t>
      </w:r>
      <w:r>
        <w:rPr>
          <w:rFonts w:ascii="Times New Roman" w:hAnsi="Times New Roman"/>
          <w:sz w:val="20"/>
          <w:u w:val="single"/>
        </w:rPr>
        <w:t>Letter of Credit Issuer</w:t>
      </w:r>
      <w:r>
        <w:rPr>
          <w:rFonts w:ascii="Times New Roman" w:hAnsi="Times New Roman"/>
          <w:sz w:val="20"/>
        </w:rPr>
        <w:t xml:space="preserve">” means, collectively, HSBC, Bank of China, and BNP Paribas, each in its capacity as an issuer of Letters of Credit hereunder, and each other Person that becomes a Letter of Credit Issuer in accordance with the terms hereof; and “Letter of Credit Issuer” means any of the foregoing, individually. </w:t>
      </w:r>
    </w:p>
    <w:p>
      <w:pPr>
        <w:pStyle w:val="TextBody"/>
        <w:bidi w:val="0"/>
        <w:spacing w:before="240" w:after="0"/>
        <w:jc w:val="left"/>
        <w:rPr/>
      </w:pPr>
      <w:r>
        <w:rPr/>
        <w:t>“</w:t>
      </w:r>
      <w:r>
        <w:rPr>
          <w:rFonts w:ascii="Times New Roman" w:hAnsi="Times New Roman"/>
          <w:sz w:val="20"/>
          <w:u w:val="single"/>
        </w:rPr>
        <w:t>Letter of Credit Liability</w:t>
      </w:r>
      <w:r>
        <w:rPr>
          <w:rFonts w:ascii="Times New Roman" w:hAnsi="Times New Roman"/>
          <w:sz w:val="20"/>
        </w:rPr>
        <w:t xml:space="preserve">” means the sum of (a) the aggregate undrawn stated amount of all outstanding Letters of Credit plus (b) the aggregate amount drawn under all Letters of Credit for which a Letter of Credit Issuer has not yet received payment or reimbursement from the Borrower (in the form of a conversion of such liability to Loans, or otherwise).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means, at any time, an amount up to $70,000,000.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means a loan made by a Lender to the Borrower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collectively, this Agreement, the Security Documents, each Fee Letter, any Intercompany Subordination Agreement, any promissory notes issued pursuant to </w:t>
      </w:r>
      <w:r>
        <w:rPr>
          <w:rFonts w:ascii="Times New Roman" w:hAnsi="Times New Roman"/>
          <w:sz w:val="20"/>
          <w:u w:val="single"/>
        </w:rPr>
        <w:t>Section 2.10(b)</w:t>
      </w:r>
      <w:r>
        <w:rPr>
          <w:rFonts w:ascii="Times New Roman" w:hAnsi="Times New Roman"/>
          <w:sz w:val="20"/>
        </w:rPr>
        <w:t xml:space="preserve">, each Application for Letter of Credit and any other documents entered into in connection 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Loan Party</w:t>
      </w:r>
      <w:r>
        <w:rPr>
          <w:rFonts w:ascii="Times New Roman" w:hAnsi="Times New Roman"/>
          <w:sz w:val="20"/>
        </w:rPr>
        <w:t xml:space="preserve">” means the Borrower and any Subsidiary of the Borrower from time to time party to the Collateral Agreement. </w:t>
      </w:r>
    </w:p>
    <w:p>
      <w:pPr>
        <w:pStyle w:val="TextBody"/>
        <w:bidi w:val="0"/>
        <w:spacing w:before="240" w:after="0"/>
        <w:jc w:val="left"/>
        <w:rPr/>
      </w:pPr>
      <w:r>
        <w:rPr/>
        <w:t>“</w:t>
      </w:r>
      <w:r>
        <w:rPr>
          <w:rFonts w:ascii="Times New Roman" w:hAnsi="Times New Roman"/>
          <w:sz w:val="20"/>
          <w:u w:val="single"/>
        </w:rPr>
        <w:t>Margin Stock</w:t>
      </w:r>
      <w:r>
        <w:rPr>
          <w:rFonts w:ascii="Times New Roman" w:hAnsi="Times New Roman"/>
          <w:sz w:val="20"/>
        </w:rPr>
        <w:t xml:space="preserve">” means margin stock within the meaning of Regulations T, U and X.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a material adverse change in, or a material adverse effect on, the operations, business, properties, liabilities (actual or contingent) or financial condition of the Borrower and its Subsidiaries taken as a whole; or (b) a material adverse effect on (i) the ability of the Borrower to perform its Obligations, (ii) the legality, validity, binding effect or enforceability against the Borrower of any Loan Document to which it is a party or (iii) the rights, remedies and benefits available to, or conferred upon, the Administrative Agent or any Lender under any Loan Documents.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has the meaning specified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employee benefit plan of the type described in Section 4001(a)(3) of ERISA, to which the Borrower or any ERISA Affiliate makes or is obligated to make contributions, during the preceding five plan years has made or been obligated to make contributions, or has any liability. </w:t>
      </w:r>
    </w:p>
    <w:p>
      <w:pPr>
        <w:pStyle w:val="TextBody"/>
        <w:bidi w:val="0"/>
        <w:spacing w:before="240" w:after="0"/>
        <w:jc w:val="left"/>
        <w:rPr/>
      </w:pPr>
      <w:r>
        <w:rPr/>
        <w:t>“</w:t>
      </w:r>
      <w:r>
        <w:rPr>
          <w:rFonts w:ascii="Times New Roman" w:hAnsi="Times New Roman"/>
          <w:sz w:val="20"/>
          <w:u w:val="single"/>
        </w:rPr>
        <w:t>Multiple Employer Plan</w:t>
      </w:r>
      <w:r>
        <w:rPr>
          <w:rFonts w:ascii="Times New Roman" w:hAnsi="Times New Roman"/>
          <w:sz w:val="20"/>
        </w:rPr>
        <w:t xml:space="preserve">” means a Pension Plan with respect to which the Borrower or any ERISA Affiliate is a contributing sponsor, and that has two or more contributing sponsors at least two of whom are not under common control, as such a plan is described in Section 4064 of ERISA.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means any Lender that does not approve any consent, waiver or amendment that (a) requires the approval of all or all affected Lenders in accordance with the terms of </w:t>
      </w:r>
      <w:r>
        <w:rPr>
          <w:rFonts w:ascii="Times New Roman" w:hAnsi="Times New Roman"/>
          <w:sz w:val="20"/>
          <w:u w:val="single"/>
        </w:rPr>
        <w:t>Section 9.02</w:t>
      </w:r>
      <w:r>
        <w:rPr>
          <w:rFonts w:ascii="Times New Roman" w:hAnsi="Times New Roman"/>
          <w:sz w:val="20"/>
        </w:rPr>
        <w:t xml:space="preserve"> and (b) has been approved by the Required Lenders. </w:t>
      </w:r>
    </w:p>
    <w:p>
      <w:pPr>
        <w:pStyle w:val="TextBody"/>
        <w:bidi w:val="0"/>
        <w:spacing w:before="240" w:after="0"/>
        <w:jc w:val="left"/>
        <w:rPr/>
      </w:pPr>
      <w:r>
        <w:rPr/>
        <w:t>“</w:t>
      </w:r>
      <w:r>
        <w:rPr>
          <w:rFonts w:ascii="Times New Roman" w:hAnsi="Times New Roman"/>
          <w:sz w:val="20"/>
        </w:rPr>
        <w:t xml:space="preserve">Non-Defaulting Lender” means, at any time, each Lender that is not a Defaulting Lender at such time.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all advances to, and debts, liabilities, obligations, covenants and duties of, the Borrower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 Without limiting the foregoing, the Obligations include (a) the obligation to pay principal, interest,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has the meaning specified in </w:t>
      </w:r>
      <w:r>
        <w:rPr>
          <w:rFonts w:ascii="Times New Roman" w:hAnsi="Times New Roman"/>
          <w:sz w:val="20"/>
          <w:u w:val="single"/>
        </w:rPr>
        <w:t>Section 3.16(a)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Organizational Documents</w:t>
      </w:r>
      <w:r>
        <w:rPr>
          <w:rFonts w:ascii="Times New Roman" w:hAnsi="Times New Roman"/>
          <w:sz w:val="20"/>
        </w:rPr>
        <w:t xml:space="preserve">” means (a) as to any corporation, the charter or certificate or articles of incorporation and the bylaws (or equivalent or comparable constitutive documents with respect to any non-U.S. jurisdiction), (b) as to any limited liability company, the certificate or articles of formation or organization and operating or limited liability agreement and (c) as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specified in </w:t>
      </w:r>
      <w:r>
        <w:rPr>
          <w:rFonts w:ascii="Times New Roman" w:hAnsi="Times New Roman"/>
          <w:sz w:val="20"/>
          <w:u w:val="single"/>
        </w:rPr>
        <w:t>Section 9.04(d)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specified in </w:t>
      </w:r>
      <w:r>
        <w:rPr>
          <w:rFonts w:ascii="Times New Roman" w:hAnsi="Times New Roman"/>
          <w:sz w:val="20"/>
          <w:u w:val="single"/>
        </w:rPr>
        <w:t>Section 9.04(d)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PATRIOT Act</w:t>
      </w:r>
      <w:r>
        <w:rPr>
          <w:rFonts w:ascii="Times New Roman" w:hAnsi="Times New Roman"/>
          <w:sz w:val="20"/>
        </w:rPr>
        <w:t xml:space="preserve">” means the USA PATRIOT Act (Title III of Pub. L. 107-56 (signed into law October 26, 2001)).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w:t>
      </w:r>
    </w:p>
    <w:p>
      <w:pPr>
        <w:pStyle w:val="TextBody"/>
        <w:bidi w:val="0"/>
        <w:spacing w:before="240" w:after="0"/>
        <w:jc w:val="left"/>
        <w:rPr/>
      </w:pPr>
      <w:r>
        <w:rPr/>
        <w:t>“</w:t>
      </w:r>
      <w:r>
        <w:rPr>
          <w:rFonts w:ascii="Times New Roman" w:hAnsi="Times New Roman"/>
          <w:sz w:val="20"/>
          <w:u w:val="single"/>
        </w:rPr>
        <w:t>Pension Funding Rules</w:t>
      </w:r>
      <w:r>
        <w:rPr>
          <w:rFonts w:ascii="Times New Roman" w:hAnsi="Times New Roman"/>
          <w:sz w:val="20"/>
        </w:rPr>
        <w:t xml:space="preserve">” means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means any employee pension benefit plan (including a Multiple Employer Plan, but excluding a Multiemployer Plan or Foreign Plan) that is maintained or is contributed to by the Borrower or any ERISA Affiliate and is either covered by Title IV of ERISA or is subject to the minimum funding standards under Section 412 of the Code. </w:t>
      </w:r>
    </w:p>
    <w:p>
      <w:pPr>
        <w:pStyle w:val="TextBody"/>
        <w:bidi w:val="0"/>
        <w:spacing w:before="240" w:after="0"/>
        <w:jc w:val="left"/>
        <w:rPr/>
      </w:pPr>
      <w:r>
        <w:rPr/>
        <w:t>“</w:t>
      </w:r>
      <w:r>
        <w:rPr>
          <w:rFonts w:ascii="Times New Roman" w:hAnsi="Times New Roman"/>
          <w:sz w:val="20"/>
          <w:u w:val="single"/>
        </w:rPr>
        <w:t>Perfection Certificate</w:t>
      </w:r>
      <w:r>
        <w:rPr>
          <w:rFonts w:ascii="Times New Roman" w:hAnsi="Times New Roman"/>
          <w:sz w:val="20"/>
        </w:rPr>
        <w:t xml:space="preserve">” means a certificate in the form of Exhibit D or any other form approved by the Administrative Agent in its reasonable discretion. </w:t>
      </w:r>
    </w:p>
    <w:p>
      <w:pPr>
        <w:pStyle w:val="TextBody"/>
        <w:bidi w:val="0"/>
        <w:spacing w:before="240" w:after="0"/>
        <w:jc w:val="left"/>
        <w:rPr/>
      </w:pPr>
      <w:r>
        <w:rPr/>
        <w:t>“</w:t>
      </w:r>
      <w:r>
        <w:rPr>
          <w:rFonts w:ascii="Times New Roman" w:hAnsi="Times New Roman"/>
          <w:sz w:val="20"/>
          <w:u w:val="single"/>
        </w:rPr>
        <w:t>Periodic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means any Acquisition by the Borrower or any Subsidiary that satisfies each of the following conditions: (a) no Default shall have occurred and be continuing or would result therefrom; (b) after giving effect to such Acquisition, (i) the Borrower shall be in compliance with the Consolidated Interest Coverage Ratio and Consolidated Leverage Ratio 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forth in </w:t>
      </w:r>
      <w:r>
        <w:rPr>
          <w:rFonts w:ascii="Times New Roman" w:hAnsi="Times New Roman"/>
          <w:sz w:val="20"/>
          <w:u w:val="single"/>
        </w:rPr>
        <w:t>Section 6.12</w:t>
      </w:r>
      <w:r>
        <w:rPr>
          <w:rFonts w:ascii="Times New Roman" w:hAnsi="Times New Roman"/>
          <w:sz w:val="20"/>
        </w:rPr>
        <w:t xml:space="preserve">, (ii) the Consolidated Leverage Ratio of the Borrower, after giving pro forma effect to such Acquisition, shall not exceed 2.50:1.00, and (iii) the sum of Availability plus Unrestricted Cash shall equal at least fifteen percent (15%) of the aggregate Commitments of all Lenders; (c) to the extent the $20,000,000 cap set forth in clause (f) below has been satisfied, the collateral and joinder requirements applicable to a Permitted Acquisition, as set forth in </w:t>
      </w:r>
      <w:r>
        <w:rPr>
          <w:rFonts w:ascii="Times New Roman" w:hAnsi="Times New Roman"/>
          <w:sz w:val="20"/>
          <w:u w:val="single"/>
        </w:rPr>
        <w:t>Sections 5.15</w:t>
      </w:r>
      <w:r>
        <w:rPr>
          <w:rFonts w:ascii="Times New Roman" w:hAnsi="Times New Roman"/>
          <w:sz w:val="20"/>
        </w:rPr>
        <w:t xml:space="preserve"> and </w:t>
      </w:r>
      <w:r>
        <w:rPr>
          <w:rFonts w:ascii="Times New Roman" w:hAnsi="Times New Roman"/>
          <w:sz w:val="20"/>
          <w:u w:val="single"/>
        </w:rPr>
        <w:t>5.16</w:t>
      </w:r>
      <w:r>
        <w:rPr>
          <w:rFonts w:ascii="Times New Roman" w:hAnsi="Times New Roman"/>
          <w:sz w:val="20"/>
        </w:rPr>
        <w:t xml:space="preserve">, have been satisfied with respect to the property acquired and, if applicable, the new Subsidiary; (d) the Administrative Agent and the Lenders shall have received the notice, financial information, projections and, if applicable, certificate required under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with respect to such Acquisition; (e) such Acquisition shall not be hostile and shall have been approved by the board of directors (or equivalent) and, if required, the shareholders (or equivalent) of the applicable Loan Party and the acquired Person; and (f) the aggregate consideration (including assumed Indebtedness) paid by the Loan Parties and their Subsidiaries for Acquisitions during the term of this Agreement that (x) do not result in the acquired Person becoming a Loan Party or (y) involve assets that do not constitute Collateral, shall not exceed $20,000,000 in the aggregate. </w:t>
      </w:r>
    </w:p>
    <w:p>
      <w:pPr>
        <w:pStyle w:val="TextBody"/>
        <w:bidi w:val="0"/>
        <w:spacing w:before="240" w:after="0"/>
        <w:jc w:val="left"/>
        <w:rPr/>
      </w:pPr>
      <w:r>
        <w:rPr/>
        <w:t>“</w:t>
      </w:r>
      <w:r>
        <w:rPr>
          <w:rFonts w:ascii="Times New Roman" w:hAnsi="Times New Roman"/>
          <w:sz w:val="20"/>
          <w:u w:val="single"/>
        </w:rPr>
        <w:t>Permitted Other Letters of Credit</w:t>
      </w:r>
      <w:r>
        <w:rPr>
          <w:rFonts w:ascii="Times New Roman" w:hAnsi="Times New Roman"/>
          <w:sz w:val="20"/>
        </w:rPr>
        <w:t xml:space="preserve">” means letters of credit issued by Wells Fargo Bank, National Association pursuant to an agreement other than this Agreement for the account of the Borrower or a Subsidiary; </w:t>
      </w:r>
      <w:r>
        <w:rPr>
          <w:rFonts w:ascii="Times New Roman" w:hAnsi="Times New Roman"/>
          <w:sz w:val="20"/>
          <w:u w:val="single"/>
        </w:rPr>
        <w:t>provided</w:t>
      </w:r>
      <w:r>
        <w:rPr>
          <w:rFonts w:ascii="Times New Roman" w:hAnsi="Times New Roman"/>
          <w:sz w:val="20"/>
        </w:rPr>
        <w:t xml:space="preserve"> that the aggregate undrawn face amount of all such letters of credit at any time outstanding shall not exceed $5,000,000.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benefit plan within the meaning of Section 3(3) of ERISA, maintained for employees of the Borrower or any Subsidiary, or any such plan to which the Borrower or any Subsidiary is required to contribute on behalf of any of its employees or with respect to which the Borrower has any liability.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means Debt Domain, Intralinks, Syndtrak, DebtX or a substantially similar electronic transmission system. </w:t>
      </w:r>
    </w:p>
    <w:p>
      <w:pPr>
        <w:pStyle w:val="TextBody"/>
        <w:bidi w:val="0"/>
        <w:spacing w:before="240" w:after="0"/>
        <w:jc w:val="left"/>
        <w:rPr/>
      </w:pPr>
      <w:r>
        <w:rPr/>
        <w:t>“</w:t>
      </w:r>
      <w:r>
        <w:rPr>
          <w:rFonts w:ascii="Times New Roman" w:hAnsi="Times New Roman"/>
          <w:sz w:val="20"/>
          <w:u w:val="single"/>
        </w:rPr>
        <w:t>Prepayment Notice</w:t>
      </w:r>
      <w:r>
        <w:rPr>
          <w:rFonts w:ascii="Times New Roman" w:hAnsi="Times New Roman"/>
          <w:sz w:val="20"/>
        </w:rPr>
        <w:t xml:space="preserve">” means a notice by the Borrower to prepay Loans, which shall be in such form as the Administrative Agent may approve. </w:t>
      </w:r>
    </w:p>
    <w:p>
      <w:pPr>
        <w:pStyle w:val="TextBody"/>
        <w:bidi w:val="0"/>
        <w:spacing w:before="240" w:after="0"/>
        <w:jc w:val="left"/>
        <w:rPr/>
      </w:pPr>
      <w:r>
        <w:rPr/>
        <w:t>“</w:t>
      </w:r>
      <w:r>
        <w:rPr>
          <w:rFonts w:ascii="Times New Roman" w:hAnsi="Times New Roman"/>
          <w:sz w:val="20"/>
          <w:u w:val="single"/>
        </w:rPr>
        <w:t>Protected Person</w:t>
      </w:r>
      <w:r>
        <w:rPr>
          <w:rFonts w:ascii="Times New Roman" w:hAnsi="Times New Roman"/>
          <w:sz w:val="20"/>
        </w:rPr>
        <w:t xml:space="preserve">” has the meaning specified in </w:t>
      </w:r>
      <w:r>
        <w:rPr>
          <w:rFonts w:ascii="Times New Roman" w:hAnsi="Times New Roman"/>
          <w:sz w:val="20"/>
          <w:u w:val="single"/>
        </w:rPr>
        <w:t>Section 9.03(d)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has the meaning specified in </w:t>
      </w:r>
      <w:r>
        <w:rPr>
          <w:rFonts w:ascii="Times New Roman" w:hAnsi="Times New Roman"/>
          <w:sz w:val="20"/>
          <w:u w:val="single"/>
        </w:rPr>
        <w:t>Section 9.01(e)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means (a) the Administrative Agent or (b) any Lender, as applicable.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specified in </w:t>
      </w:r>
      <w:r>
        <w:rPr>
          <w:rFonts w:ascii="Times New Roman" w:hAnsi="Times New Roman"/>
          <w:sz w:val="20"/>
          <w:u w:val="single"/>
        </w:rPr>
        <w:t>Section 9.04(c)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Regulation D</w:t>
      </w:r>
      <w:r>
        <w:rPr>
          <w:rFonts w:ascii="Times New Roman" w:hAnsi="Times New Roman"/>
          <w:sz w:val="20"/>
        </w:rPr>
        <w:t xml:space="preserve">” means Regulation D of the Federal Reserve Board, as in effect from time to time and all official rulings and interpretations thereunder or thereof. </w:t>
      </w:r>
    </w:p>
    <w:p>
      <w:pPr>
        <w:pStyle w:val="TextBody"/>
        <w:bidi w:val="0"/>
        <w:spacing w:before="240" w:after="0"/>
        <w:jc w:val="left"/>
        <w:rPr/>
      </w:pPr>
      <w:r>
        <w:rPr/>
        <w:t>“</w:t>
      </w:r>
      <w:r>
        <w:rPr>
          <w:rFonts w:ascii="Times New Roman" w:hAnsi="Times New Roman"/>
          <w:sz w:val="20"/>
          <w:u w:val="single"/>
        </w:rPr>
        <w:t>Regulation T</w:t>
      </w:r>
      <w:r>
        <w:rPr>
          <w:rFonts w:ascii="Times New Roman" w:hAnsi="Times New Roman"/>
          <w:sz w:val="20"/>
        </w:rPr>
        <w:t xml:space="preserve">” means Regulation T of the Federal Reserve Board, as in effect from time to time and all official rulings and interpretations thereunder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Regulation U</w:t>
      </w:r>
      <w:r>
        <w:rPr>
          <w:rFonts w:ascii="Times New Roman" w:hAnsi="Times New Roman"/>
          <w:sz w:val="20"/>
        </w:rPr>
        <w:t xml:space="preserve">” means Regulation U of the Federal Reserve Board, as in effect from time to time and all official rulings and interpretations thereunder or thereof. </w:t>
      </w:r>
    </w:p>
    <w:p>
      <w:pPr>
        <w:pStyle w:val="TextBody"/>
        <w:bidi w:val="0"/>
        <w:spacing w:before="240" w:after="0"/>
        <w:jc w:val="left"/>
        <w:rPr/>
      </w:pPr>
      <w:r>
        <w:rPr/>
        <w:t>“</w:t>
      </w:r>
      <w:r>
        <w:rPr>
          <w:rFonts w:ascii="Times New Roman" w:hAnsi="Times New Roman"/>
          <w:sz w:val="20"/>
          <w:u w:val="single"/>
        </w:rPr>
        <w:t>Regulation X</w:t>
      </w:r>
      <w:r>
        <w:rPr>
          <w:rFonts w:ascii="Times New Roman" w:hAnsi="Times New Roman"/>
          <w:sz w:val="20"/>
        </w:rPr>
        <w:t xml:space="preserve">” means Regulation X of the Federal Reserve Board, as in effect from time to time and all official rulings and interpretations thereunder or thereof.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administrators, managers, advisors, service providers and representatives of such Person and of such Person’s Affiliates.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the Board of Governors of the Federal Reserve System or the Federal Reserve Bank of New York, or a committee officially endorsed or convened by the Board of Governors of the Federal Reserve System or the Federal Reserve Bank of New York, or any successor thereto.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has the meaning specified in </w:t>
      </w:r>
      <w:r>
        <w:rPr>
          <w:rFonts w:ascii="Times New Roman" w:hAnsi="Times New Roman"/>
          <w:sz w:val="20"/>
          <w:u w:val="single"/>
        </w:rPr>
        <w:t>Section 8.06(b)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means any of the events set forth in Section 4043(c) of ERISA, other than events for which the 30-day notice period has been waived. </w:t>
      </w:r>
    </w:p>
    <w:p>
      <w:pPr>
        <w:pStyle w:val="TextBody"/>
        <w:bidi w:val="0"/>
        <w:spacing w:before="240" w:after="0"/>
        <w:jc w:val="left"/>
        <w:rPr/>
      </w:pPr>
      <w:r>
        <w:rPr/>
        <w:t>“</w:t>
      </w:r>
      <w:r>
        <w:rPr>
          <w:rFonts w:ascii="Times New Roman" w:hAnsi="Times New Roman"/>
          <w:sz w:val="20"/>
          <w:u w:val="single"/>
        </w:rPr>
        <w:t>Request for Letter of Credit</w:t>
      </w:r>
      <w:r>
        <w:rPr>
          <w:rFonts w:ascii="Times New Roman" w:hAnsi="Times New Roman"/>
          <w:sz w:val="20"/>
        </w:rPr>
        <w:t xml:space="preserve">” is defined in </w:t>
      </w:r>
      <w:r>
        <w:rPr>
          <w:rFonts w:ascii="Times New Roman" w:hAnsi="Times New Roman"/>
          <w:sz w:val="20"/>
          <w:u w:val="single"/>
        </w:rPr>
        <w:t>Section 2.21(b)</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at any time, Lenders having Revolving Credit Exposures representing more than 50% of the total Revolving Credit Exposures of all Lenders, </w:t>
      </w:r>
      <w:r>
        <w:rPr>
          <w:rFonts w:ascii="Times New Roman" w:hAnsi="Times New Roman"/>
          <w:sz w:val="20"/>
          <w:u w:val="single"/>
        </w:rPr>
        <w:t>provided</w:t>
      </w:r>
      <w:r>
        <w:rPr>
          <w:rFonts w:ascii="Times New Roman" w:hAnsi="Times New Roman"/>
          <w:sz w:val="20"/>
        </w:rPr>
        <w:t xml:space="preserve">, that, if the Revolving Credit Exposure of all Lenders is at any time zero, the total Commitment of each Lender shall be used to calculate the applicable percentage for each Lender as it applies solely herein. The Revolving Credit Exposure of any Defaulting Lender shall be disregarded in determining Required Lenders at any time. </w:t>
      </w:r>
    </w:p>
    <w:p>
      <w:pPr>
        <w:pStyle w:val="TextBody"/>
        <w:bidi w:val="0"/>
        <w:spacing w:before="240" w:after="0"/>
        <w:jc w:val="left"/>
        <w:rPr/>
      </w:pPr>
      <w:r>
        <w:rPr/>
        <w:t>“</w:t>
      </w:r>
      <w:r>
        <w:rPr>
          <w:rFonts w:ascii="Times New Roman" w:hAnsi="Times New Roman"/>
          <w:sz w:val="20"/>
          <w:u w:val="single"/>
        </w:rPr>
        <w:t>Resignation Effective Date</w:t>
      </w:r>
      <w:r>
        <w:rPr>
          <w:rFonts w:ascii="Times New Roman" w:hAnsi="Times New Roman"/>
          <w:sz w:val="20"/>
        </w:rPr>
        <w:t xml:space="preserve">” has the meaning specified in </w:t>
      </w:r>
      <w:r>
        <w:rPr>
          <w:rFonts w:ascii="Times New Roman" w:hAnsi="Times New Roman"/>
          <w:sz w:val="20"/>
          <w:u w:val="single"/>
        </w:rPr>
        <w:t>Section 8.06(a)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(a) the chief executive officer, president, executive vice president or a Financial Officer of the Borrower, (b) solely for purposes of the delivery of incumbency certificates and certified Organizational Documents and resolutions pursuant to </w:t>
      </w:r>
      <w:r>
        <w:rPr>
          <w:rFonts w:ascii="Times New Roman" w:hAnsi="Times New Roman"/>
          <w:sz w:val="20"/>
          <w:u w:val="single"/>
        </w:rPr>
        <w:t>Section 4.01</w:t>
      </w:r>
      <w:r>
        <w:rPr>
          <w:rFonts w:ascii="Times New Roman" w:hAnsi="Times New Roman"/>
          <w:sz w:val="20"/>
        </w:rPr>
        <w:t xml:space="preserve">, any vice president, secretary or assistant secretary of the Borrower and (c) solely for purposes of Borrowing Requests, prepayment notices and notices for Revolving Facility terminations or reductions given pursuant to </w:t>
      </w:r>
      <w:r>
        <w:rPr>
          <w:rFonts w:ascii="Times New Roman" w:hAnsi="Times New Roman"/>
          <w:sz w:val="20"/>
          <w:u w:val="single"/>
        </w:rPr>
        <w:t>Article II</w:t>
      </w:r>
      <w:r>
        <w:rPr>
          <w:rFonts w:ascii="Times New Roman" w:hAnsi="Times New Roman"/>
          <w:sz w:val="20"/>
        </w:rPr>
        <w:t xml:space="preserve">, any other officer or employee of the Borrower so designated from time to time by one of the officers described in </w:t>
      </w:r>
      <w:r>
        <w:rPr>
          <w:rFonts w:ascii="Times New Roman" w:hAnsi="Times New Roman"/>
          <w:sz w:val="20"/>
          <w:u w:val="single"/>
        </w:rPr>
        <w:t>clause (a)</w:t>
      </w:r>
      <w:r>
        <w:rPr>
          <w:rFonts w:ascii="Times New Roman" w:hAnsi="Times New Roman"/>
          <w:sz w:val="20"/>
        </w:rPr>
        <w:t xml:space="preserve"> in a notice to the Administrative Agent (together with evidence of the authority and capacity of each such Person to so act in form and substance reasonably satisfactory to the Administrative Agent). Any document delivered hereunder that is signed by a Responsible Officer of the Borrower shall be conclusively presumed to have been authorized by all necessary corporate, partnership or other action on the part of the Borrower and such Responsible Officer shall be conclusively presumed to have acted on behalf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Restricted Payment</w:t>
      </w:r>
      <w:r>
        <w:rPr>
          <w:rFonts w:ascii="Times New Roman" w:hAnsi="Times New Roman"/>
          <w:sz w:val="20"/>
        </w:rPr>
        <w:t xml:space="preserve">” means any dividend or other distribution (whether in cash, securities or other property) with respect to any Equity Interest of any Person, or any payment (whether in cash, securities or other property), including any sinking fund or similar deposit, on account of the purchase, redemption, retirement, acquisition, cancellation or termination of any such Equity Interest, or on account of any return of capital to such Person’s shareholders, partners or members (or the equivalent Persons thereof). </w:t>
      </w:r>
    </w:p>
    <w:p>
      <w:pPr>
        <w:pStyle w:val="TextBody"/>
        <w:bidi w:val="0"/>
        <w:spacing w:before="240" w:after="0"/>
        <w:jc w:val="left"/>
        <w:rPr/>
      </w:pPr>
      <w:r>
        <w:rPr/>
        <w:t>“</w:t>
      </w:r>
      <w:r>
        <w:rPr>
          <w:rFonts w:ascii="Times New Roman" w:hAnsi="Times New Roman"/>
          <w:sz w:val="20"/>
          <w:u w:val="single"/>
        </w:rPr>
        <w:t>Revolving</w:t>
      </w:r>
      <w:r>
        <w:rPr>
          <w:rFonts w:ascii="Times New Roman" w:hAnsi="Times New Roman"/>
          <w:sz w:val="20"/>
        </w:rPr>
        <w:t xml:space="preserve">”, when used in reference to any Loan or Borrowing, refers to whether such Loan, or the Loans comprising such Borrowing, are made pursuant to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Availability Period</w:t>
      </w:r>
      <w:r>
        <w:rPr>
          <w:rFonts w:ascii="Times New Roman" w:hAnsi="Times New Roman"/>
          <w:sz w:val="20"/>
        </w:rPr>
        <w:t xml:space="preserve">” means the period from and including the Closing Date to but excluding the date that is five (5) Business Days prior to the Expiration Date. </w:t>
      </w:r>
    </w:p>
    <w:p>
      <w:pPr>
        <w:pStyle w:val="TextBody"/>
        <w:bidi w:val="0"/>
        <w:spacing w:before="240" w:after="0"/>
        <w:jc w:val="left"/>
        <w:rPr/>
      </w:pPr>
      <w:r>
        <w:rPr/>
        <w:t>“</w:t>
      </w:r>
      <w:r>
        <w:rPr>
          <w:rFonts w:ascii="Times New Roman" w:hAnsi="Times New Roman"/>
          <w:sz w:val="20"/>
          <w:u w:val="single"/>
        </w:rPr>
        <w:t>Revolving Credit Exposure</w:t>
      </w:r>
      <w:r>
        <w:rPr>
          <w:rFonts w:ascii="Times New Roman" w:hAnsi="Times New Roman"/>
          <w:sz w:val="20"/>
        </w:rPr>
        <w:t xml:space="preserve">” means, as to any Lender at any time, the aggregate principal amount at such time of its outstanding (1) Loans and (2) Letter of Credit Liability. </w:t>
      </w:r>
    </w:p>
    <w:p>
      <w:pPr>
        <w:pStyle w:val="TextBody"/>
        <w:bidi w:val="0"/>
        <w:spacing w:before="240" w:after="0"/>
        <w:jc w:val="left"/>
        <w:rPr/>
      </w:pPr>
      <w:r>
        <w:rPr/>
        <w:t>“</w:t>
      </w:r>
      <w:r>
        <w:rPr>
          <w:rFonts w:ascii="Times New Roman" w:hAnsi="Times New Roman"/>
          <w:sz w:val="20"/>
          <w:u w:val="single"/>
        </w:rPr>
        <w:t>Revolving Facility</w:t>
      </w:r>
      <w:r>
        <w:rPr>
          <w:rFonts w:ascii="Times New Roman" w:hAnsi="Times New Roman"/>
          <w:sz w:val="20"/>
        </w:rPr>
        <w:t xml:space="preserve">” means the line of credit which the Lenders establish for the Borrower under this Agreement up to the total Commitment for each Lender and all Borrowings thereunder.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has the meaning specified in </w:t>
      </w:r>
      <w:r>
        <w:rPr>
          <w:rFonts w:ascii="Times New Roman" w:hAnsi="Times New Roman"/>
          <w:sz w:val="20"/>
          <w:u w:val="single"/>
        </w:rPr>
        <w:t>Section 3.16(a)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means the Collateral Agreement (and each joinder delivered in connection therewith), each Short-Form IP Security Agreement and each other security agreement or other instrument or document executed and delivered pursuant to any of the foregoing or pursuant to </w:t>
      </w:r>
      <w:r>
        <w:rPr>
          <w:rFonts w:ascii="Times New Roman" w:hAnsi="Times New Roman"/>
          <w:sz w:val="20"/>
          <w:u w:val="single"/>
        </w:rPr>
        <w:t>Section 5.15</w:t>
      </w:r>
      <w:r>
        <w:rPr>
          <w:rFonts w:ascii="Times New Roman" w:hAnsi="Times New Roman"/>
          <w:sz w:val="20"/>
        </w:rPr>
        <w:t xml:space="preserve"> or </w:t>
      </w:r>
      <w:r>
        <w:rPr>
          <w:rFonts w:ascii="Times New Roman" w:hAnsi="Times New Roman"/>
          <w:sz w:val="20"/>
          <w:u w:val="single"/>
        </w:rPr>
        <w:t>5.16</w:t>
      </w:r>
      <w:r>
        <w:rPr>
          <w:rFonts w:ascii="Times New Roman" w:hAnsi="Times New Roman"/>
          <w:sz w:val="20"/>
        </w:rPr>
        <w:t xml:space="preserve"> to secure any of the Obligations. </w:t>
      </w:r>
    </w:p>
    <w:p>
      <w:pPr>
        <w:pStyle w:val="TextBody"/>
        <w:bidi w:val="0"/>
        <w:spacing w:before="240" w:after="0"/>
        <w:jc w:val="left"/>
        <w:rPr/>
      </w:pPr>
      <w:r>
        <w:rPr/>
        <w:t>“</w:t>
      </w:r>
      <w:r>
        <w:rPr>
          <w:rFonts w:ascii="Times New Roman" w:hAnsi="Times New Roman"/>
          <w:sz w:val="20"/>
          <w:u w:val="single"/>
        </w:rPr>
        <w:t>Securities Account</w:t>
      </w:r>
      <w:r>
        <w:rPr>
          <w:rFonts w:ascii="Times New Roman" w:hAnsi="Times New Roman"/>
          <w:sz w:val="20"/>
        </w:rPr>
        <w:t xml:space="preserve">” means any securities account, as such term is defined in Section 8-501 of the UCC. </w:t>
      </w:r>
    </w:p>
    <w:p>
      <w:pPr>
        <w:pStyle w:val="TextBody"/>
        <w:bidi w:val="0"/>
        <w:spacing w:before="240" w:after="0"/>
        <w:jc w:val="left"/>
        <w:rPr/>
      </w:pPr>
      <w:r>
        <w:rPr/>
        <w:t>“</w:t>
      </w:r>
      <w:r>
        <w:rPr>
          <w:rFonts w:ascii="Times New Roman" w:hAnsi="Times New Roman"/>
          <w:sz w:val="20"/>
          <w:u w:val="single"/>
        </w:rPr>
        <w:t>Shareholders’ Equity</w:t>
      </w:r>
      <w:r>
        <w:rPr>
          <w:rFonts w:ascii="Times New Roman" w:hAnsi="Times New Roman"/>
          <w:sz w:val="20"/>
        </w:rPr>
        <w:t xml:space="preserve">” means, as of any date of determination, consolidated shareholders’ equity of the Borrower and its Subsidiaries as of such date determined in accordance with GAAP. </w:t>
      </w:r>
    </w:p>
    <w:p>
      <w:pPr>
        <w:pStyle w:val="TextBody"/>
        <w:bidi w:val="0"/>
        <w:spacing w:before="240" w:after="0"/>
        <w:jc w:val="left"/>
        <w:rPr/>
      </w:pPr>
      <w:r>
        <w:rPr/>
        <w:t>“</w:t>
      </w:r>
      <w:r>
        <w:rPr>
          <w:rFonts w:ascii="Times New Roman" w:hAnsi="Times New Roman"/>
          <w:sz w:val="20"/>
          <w:u w:val="single"/>
        </w:rPr>
        <w:t>Short-Form IP Security Agreement</w:t>
      </w:r>
      <w:r>
        <w:rPr>
          <w:rFonts w:ascii="Times New Roman" w:hAnsi="Times New Roman"/>
          <w:sz w:val="20"/>
        </w:rPr>
        <w:t xml:space="preserve">” means (a) that certain Copyright Security Agreement dated as of the Closing Date, by and among the grantors listed on the signature pages thereto and the Administrative Agent, (b) that certain Patent Security Agreement dated as of the Closing Date, by and among the grantors listed on the signature pages thereto and the Administrative Agent, (c) that certain Trademark Security Agreement dated as of the Closing Date, by and among the grantors listed on the signature pages thereto and the Administrative Agent, (d) that certain Patent Security Agreement dated as of the Closing Date, and (e) each other short-form copyright, patent or trademark, (as the case may be) security agreements, substantially in the form as that exhibited to the Collateral Agreement or such other form reasonably satisfactory to the Borrower and the Administrative Agent.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Borrowing</w:t>
      </w:r>
      <w:r>
        <w:rPr>
          <w:rFonts w:ascii="Times New Roman" w:hAnsi="Times New Roman"/>
          <w:sz w:val="20"/>
        </w:rPr>
        <w:t xml:space="preserve">” means, as to any Borrowing, the SOFR Loans comprising such Borrowing. </w:t>
      </w:r>
    </w:p>
    <w:p>
      <w:pPr>
        <w:pStyle w:val="TextBody"/>
        <w:bidi w:val="0"/>
        <w:spacing w:before="240" w:after="0"/>
        <w:jc w:val="left"/>
        <w:rPr/>
      </w:pPr>
      <w:r>
        <w:rPr/>
        <w:t>“</w:t>
      </w:r>
      <w:r>
        <w:rPr>
          <w:rFonts w:ascii="Times New Roman" w:hAnsi="Times New Roman"/>
          <w:sz w:val="20"/>
          <w:u w:val="single"/>
        </w:rPr>
        <w:t>SOFR Loan</w:t>
      </w:r>
      <w:r>
        <w:rPr>
          <w:rFonts w:ascii="Times New Roman" w:hAnsi="Times New Roman"/>
          <w:sz w:val="20"/>
        </w:rPr>
        <w:t xml:space="preserve">” means a Loan that bears interest at a rate based on Term SOFR, other than pursuant to </w:t>
      </w:r>
      <w:r>
        <w:rPr>
          <w:rFonts w:ascii="Times New Roman" w:hAnsi="Times New Roman"/>
          <w:sz w:val="20"/>
          <w:u w:val="single"/>
        </w:rPr>
        <w:t>clause (c)</w:t>
      </w:r>
      <w:r>
        <w:rPr>
          <w:rFonts w:ascii="Times New Roman" w:hAnsi="Times New Roman"/>
          <w:sz w:val="20"/>
        </w:rPr>
        <w:t xml:space="preserve"> of the definition of “ABR”.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as to any Person as of any date of determination, that on such date (a) the fair market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of a Person means a corporation, partnership, limited liability company, association or joint venture or other business entity of which a majority of the Equity Interests having ordinary voting power for the election of directors or other governing body (other than securities or interests having such power only by reason of the happening of a contingency) are at the time owned or the management of which is controlled, directly, or indirectly through one or more intermediaries, by such Person. Unless otherwise specified, all references herein to a “Subsidiary” or to “Subsidiaries” shall refer to a Subsidiary or Subsidiaries of the Borrower. </w:t>
      </w:r>
    </w:p>
    <w:p>
      <w:pPr>
        <w:pStyle w:val="TextBody"/>
        <w:bidi w:val="0"/>
        <w:spacing w:before="240" w:after="0"/>
        <w:jc w:val="left"/>
        <w:rPr/>
      </w:pPr>
      <w:r>
        <w:rPr/>
        <w:t>“</w:t>
      </w:r>
      <w:r>
        <w:rPr>
          <w:rFonts w:ascii="Times New Roman" w:hAnsi="Times New Roman"/>
          <w:sz w:val="20"/>
          <w:u w:val="single"/>
        </w:rPr>
        <w:t>Supplemental Perfection Certificate</w:t>
      </w:r>
      <w:r>
        <w:rPr>
          <w:rFonts w:ascii="Times New Roman" w:hAnsi="Times New Roman"/>
          <w:sz w:val="20"/>
        </w:rPr>
        <w:t xml:space="preserve">” means a certificate in the form of Exhibit E or any other form approved by the Administrative Agent. </w:t>
      </w:r>
    </w:p>
    <w:p>
      <w:pPr>
        <w:pStyle w:val="TextBody"/>
        <w:bidi w:val="0"/>
        <w:spacing w:before="240" w:after="0"/>
        <w:jc w:val="left"/>
        <w:rPr/>
      </w:pPr>
      <w:r>
        <w:rPr/>
        <w:t>“</w:t>
      </w:r>
      <w:r>
        <w:rPr>
          <w:rFonts w:ascii="Times New Roman" w:hAnsi="Times New Roman"/>
          <w:sz w:val="20"/>
          <w:u w:val="single"/>
        </w:rPr>
        <w:t>Swap Contract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Swap Termination Value</w:t>
      </w:r>
      <w:r>
        <w:rPr>
          <w:rFonts w:ascii="Times New Roman" w:hAnsi="Times New Roman"/>
          <w:sz w:val="20"/>
        </w:rPr>
        <w:t xml:space="preserve">” means, as to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hAnsi="Times New Roman"/>
          <w:sz w:val="20"/>
          <w:u w:val="single"/>
        </w:rPr>
        <w:t>clause (a)</w:t>
      </w:r>
      <w:r>
        <w:rPr>
          <w:rFonts w:ascii="Times New Roman" w:hAnsi="Times New Roman"/>
          <w:sz w:val="20"/>
        </w:rPr>
        <w:t xml:space="preserve">,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p>
    <w:p>
      <w:pPr>
        <w:pStyle w:val="TextBody"/>
        <w:bidi w:val="0"/>
        <w:spacing w:before="240" w:after="0"/>
        <w:jc w:val="left"/>
        <w:rPr/>
      </w:pPr>
      <w:r>
        <w:rPr/>
        <w:t>“</w:t>
      </w:r>
      <w:r>
        <w:rPr>
          <w:rFonts w:ascii="Times New Roman" w:hAnsi="Times New Roman"/>
          <w:sz w:val="20"/>
          <w:u w:val="single"/>
        </w:rPr>
        <w:t>Synthetic Lease Obligation</w:t>
      </w:r>
      <w:r>
        <w:rPr>
          <w:rFonts w:ascii="Times New Roman" w:hAnsi="Times New Roman"/>
          <w:sz w:val="20"/>
        </w:rPr>
        <w:t xml:space="preserve">” means the monetary obligation of a Person under (a) a so-called synthetic, off-balance sheet or tax retention lease or (b) an agreement for the use or possession of property creating obligations that do not appear on the balance sheet of such Person but, upon the insolvency or bankruptcy of such Person, would be characterized as the indebtedness of such Person (without regard to accounting treatment).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for any calculation with respect to a SOFR Loan, the Term SOFR Reference Rate for a tenor comparable to the applicable Interest Period on the day (such day, the “</w:t>
      </w:r>
      <w:r>
        <w:rPr>
          <w:rFonts w:ascii="Times New Roman" w:hAnsi="Times New Roman"/>
          <w:sz w:val="20"/>
          <w:u w:val="single"/>
        </w:rPr>
        <w:t>Periodic Term</w:t>
      </w:r>
      <w:r>
        <w:rPr>
          <w:rFonts w:ascii="Times New Roman" w:hAnsi="Times New Roman"/>
          <w:sz w:val="20"/>
        </w:rPr>
        <w:t xml:space="preserve"> </w:t>
      </w:r>
      <w:r>
        <w:rPr>
          <w:rFonts w:ascii="Times New Roman" w:hAnsi="Times New Roman"/>
          <w:sz w:val="20"/>
          <w:u w:val="single"/>
        </w:rPr>
        <w:t>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120" w:after="0"/>
        <w:jc w:val="left"/>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sz w:val="20"/>
          <w:u w:val="single"/>
        </w:rPr>
        <w:t>ABR Term SOFR</w:t>
      </w:r>
      <w:r>
        <w:rPr>
          <w:rFonts w:ascii="Times New Roman" w:hAnsi="Times New Roman"/>
          <w:sz w:val="20"/>
        </w:rPr>
        <w:t xml:space="preserve"> </w:t>
      </w:r>
      <w:r>
        <w:rPr>
          <w:rFonts w:ascii="Times New Roman" w:hAnsi="Times New Roman"/>
          <w:sz w:val="20"/>
          <w:u w:val="single"/>
        </w:rPr>
        <w:t>Determination Day</w:t>
      </w:r>
      <w:r>
        <w:rPr>
          <w:rFonts w:ascii="Times New Roman" w:hAnsi="Times New Roman"/>
          <w:sz w:val="20"/>
        </w:rPr>
        <w:t xml:space="preserve">”)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Term SOFR determined as provided above (including pursuant to the proviso under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 (b)</w:t>
      </w:r>
      <w:r>
        <w:rPr>
          <w:rFonts w:ascii="Times New Roman" w:hAnsi="Times New Roman"/>
          <w:sz w:val="20"/>
        </w:rPr>
        <w:t xml:space="preserve"> above) shall ever be less than the Floor, then Term SOFR shall be deemed to be the Floor.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sz w:val="20"/>
          <w:u w:val="single"/>
        </w:rPr>
        <w:t>Trade Date</w:t>
      </w:r>
      <w:r>
        <w:rPr>
          <w:rFonts w:ascii="Times New Roman" w:hAnsi="Times New Roman"/>
          <w:sz w:val="20"/>
        </w:rPr>
        <w:t xml:space="preserve">” means the date on which the assigning Lender entered into a binding agreement to sell and assign all or a portion of its rights and obligations under this Agreement to another Person.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Term SOFR or ABR.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in the State of New York, or when the laws of any other jurisdiction govern the perfection or enforcement of any Lien, the Uniform Commercial Code of such jurisdiction. </w:t>
      </w:r>
    </w:p>
    <w:p>
      <w:pPr>
        <w:pStyle w:val="TextBody"/>
        <w:bidi w:val="0"/>
        <w:spacing w:before="240" w:after="0"/>
        <w:jc w:val="left"/>
        <w:rPr/>
      </w:pPr>
      <w:r>
        <w:rPr/>
        <w:t>“</w:t>
      </w:r>
      <w:r>
        <w:rPr>
          <w:rFonts w:ascii="Times New Roman" w:hAnsi="Times New Roman"/>
          <w:sz w:val="20"/>
          <w:u w:val="single"/>
        </w:rPr>
        <w:t>UCP</w:t>
      </w:r>
      <w:r>
        <w:rPr>
          <w:rFonts w:ascii="Times New Roman" w:hAnsi="Times New Roman"/>
          <w:sz w:val="20"/>
        </w:rPr>
        <w:t xml:space="preserve">” means the Uniform Customs and Practice for Documentary Credits, International Chamber of Commerce Publication No. 600 (or such later version thereof as may be in effect at the applicable time).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mean the United States of America. </w:t>
      </w:r>
    </w:p>
    <w:p>
      <w:pPr>
        <w:pStyle w:val="TextBody"/>
        <w:bidi w:val="0"/>
        <w:spacing w:before="240" w:after="0"/>
        <w:jc w:val="left"/>
        <w:rPr/>
      </w:pPr>
      <w:r>
        <w:rPr/>
        <w:t>“</w:t>
      </w:r>
      <w:r>
        <w:rPr>
          <w:rFonts w:ascii="Times New Roman" w:hAnsi="Times New Roman"/>
          <w:sz w:val="20"/>
          <w:u w:val="single"/>
        </w:rPr>
        <w:t>Unrestricted Cash</w:t>
      </w:r>
      <w:r>
        <w:rPr>
          <w:rFonts w:ascii="Times New Roman" w:hAnsi="Times New Roman"/>
          <w:sz w:val="20"/>
        </w:rPr>
        <w:t xml:space="preserve">” means, as of any date of determination, the aggregate amount of unrestricted cash and Cash Equivalents of the Loan Parties that is held in a Controlled Account or otherwise held in an account maintained directly with the Administrative Agent, in each case (a) free and clear of any Lien (other than Liens permitted under </w:t>
      </w:r>
      <w:r>
        <w:rPr>
          <w:rFonts w:ascii="Times New Roman" w:hAnsi="Times New Roman"/>
          <w:sz w:val="20"/>
          <w:u w:val="single"/>
        </w:rPr>
        <w:t>Section 6.02</w:t>
      </w:r>
      <w:r>
        <w:rPr>
          <w:rFonts w:ascii="Times New Roman" w:hAnsi="Times New Roman"/>
          <w:sz w:val="20"/>
        </w:rPr>
        <w:t xml:space="preserve"> in favor of the Administrative Agent for the benefit of the Lenders) and (b) not subject to any other contractual or legal restriction on the ability of the applicable Loan Party to withdraw or apply such cash for its general corporate purposes.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xml:space="preserve">” means any Borrower that is a U.S.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U.S. Person</w:t>
      </w:r>
      <w:r>
        <w:rPr>
          <w:rFonts w:ascii="Times New Roman" w:hAnsi="Times New Roman"/>
          <w:sz w:val="20"/>
        </w:rPr>
        <w:t xml:space="preserve">” means any Person that is a “United States Person” as defined in Section 7701(a)(30) of the Code.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specified in </w:t>
      </w:r>
      <w:r>
        <w:rPr>
          <w:rFonts w:ascii="Times New Roman" w:hAnsi="Times New Roman"/>
          <w:sz w:val="20"/>
          <w:u w:val="single"/>
        </w:rPr>
        <w:t>Section 2.15(g)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Weichai</w:t>
      </w:r>
      <w:r>
        <w:rPr>
          <w:rFonts w:ascii="Times New Roman" w:hAnsi="Times New Roman"/>
          <w:sz w:val="20"/>
        </w:rPr>
        <w:t xml:space="preserve">” means Weichai Power Co., Ltd, a People’s Republic of China publicly listed company. </w:t>
      </w:r>
    </w:p>
    <w:p>
      <w:pPr>
        <w:pStyle w:val="TextBody"/>
        <w:bidi w:val="0"/>
        <w:spacing w:before="240" w:after="0"/>
        <w:jc w:val="left"/>
        <w:rPr/>
      </w:pPr>
      <w:r>
        <w:rPr/>
        <w:t>“</w:t>
      </w:r>
      <w:r>
        <w:rPr>
          <w:rFonts w:ascii="Times New Roman" w:hAnsi="Times New Roman"/>
          <w:sz w:val="20"/>
          <w:u w:val="single"/>
        </w:rPr>
        <w:t>Weichai America</w:t>
      </w:r>
      <w:r>
        <w:rPr>
          <w:rFonts w:ascii="Times New Roman" w:hAnsi="Times New Roman"/>
          <w:sz w:val="20"/>
        </w:rPr>
        <w:t xml:space="preserve">” means Weichai America Corp., an Illinois corporation. </w:t>
      </w:r>
    </w:p>
    <w:p>
      <w:pPr>
        <w:pStyle w:val="TextBody"/>
        <w:bidi w:val="0"/>
        <w:spacing w:before="240" w:after="0"/>
        <w:jc w:val="left"/>
        <w:rPr/>
      </w:pPr>
      <w:r>
        <w:rPr/>
        <w:t>“</w:t>
      </w:r>
      <w:r>
        <w:rPr>
          <w:rFonts w:ascii="Times New Roman" w:hAnsi="Times New Roman"/>
          <w:sz w:val="20"/>
          <w:u w:val="single"/>
        </w:rPr>
        <w:t>Wholly-Owned</w:t>
      </w:r>
      <w:r>
        <w:rPr>
          <w:rFonts w:ascii="Times New Roman" w:hAnsi="Times New Roman"/>
          <w:sz w:val="20"/>
        </w:rPr>
        <w:t xml:space="preserve">” means, as to a Subsidiary of a Person, a Subsidiary of such Person all of the outstanding Equity Interests of which (other than (a) director’s qualifying shares and (b) shares issued to foreign nationals to the extent required by Applicable Law) are owned by such Person and/or by one or more Wholly-Owned Subsidiaries of such Person.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means the Borrower and the Administrative Agent.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exclusive. The word “year” shall refer (i) in the case of a leap year, to a year of three hundred sixty-six (366) days, and (ii) otherwise, to a year of three hundred sixty-five (365) days.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Accounting Terms; Changes in GAAP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Accounting Terms</w:t>
      </w:r>
      <w:r>
        <w:rPr>
          <w:rFonts w:ascii="Times New Roman" w:hAnsi="Times New Roman"/>
          <w:sz w:val="20"/>
        </w:rPr>
        <w:t xml:space="preserve">. Except as otherwise expressly provided herein, all accounting terms not otherwise defined herein shall be construed in conformity with GAAP, as in effect from time to time. Financial statements and other information required to be delivered by the Borrower to the Lenders pursuant to </w:t>
      </w:r>
      <w:r>
        <w:rPr>
          <w:rFonts w:ascii="Times New Roman" w:hAnsi="Times New Roman"/>
          <w:sz w:val="20"/>
          <w:u w:val="single"/>
        </w:rPr>
        <w:t>Section 5.01(a)</w:t>
      </w:r>
      <w:r>
        <w:rPr>
          <w:rFonts w:ascii="Times New Roman" w:hAnsi="Times New Roman"/>
          <w:sz w:val="20"/>
        </w:rPr>
        <w:t xml:space="preserve"> and </w:t>
      </w:r>
      <w:r>
        <w:rPr>
          <w:rFonts w:ascii="Times New Roman" w:hAnsi="Times New Roman"/>
          <w:sz w:val="20"/>
          <w:u w:val="single"/>
        </w:rPr>
        <w:t>Section 5.01(b)</w:t>
      </w:r>
      <w:r>
        <w:rPr>
          <w:rFonts w:ascii="Times New Roman" w:hAnsi="Times New Roman"/>
          <w:sz w:val="20"/>
        </w:rPr>
        <w:t xml:space="preserve"> shall be prepared in accordance with GAAP as in effect at the time of such preparation. Notwithstanding the foregoing, for purposes of determining compliance with any covenant (including the computation of any financial covenant) contained herein, all terms of an accounting or financial nature used herein shall be construed, and all computations of amounts and ratios referred to herein shall be made: (A) without giving effect to any election under Accounting Standards Codification 825 (or any other Accounting Standards Codification or Financial Accounting Standard having a similar result or effect) to value any Indebtedness of the Borrower or any Restricted Subsidiary at “fair value”, as defined therein, (B)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(C) without giving effect to any change to GAAP occurring after December 31, 2018 as a result of the adoption of any proposals set forth in the </w:t>
      </w:r>
      <w:r>
        <w:rPr>
          <w:rFonts w:ascii="Times New Roman" w:hAnsi="Times New Roman"/>
          <w:i/>
          <w:sz w:val="20"/>
        </w:rPr>
        <w:t>Proposed</w:t>
      </w:r>
      <w:r>
        <w:rPr>
          <w:rFonts w:ascii="Times New Roman" w:hAnsi="Times New Roman"/>
          <w:sz w:val="20"/>
        </w:rPr>
        <w:t xml:space="preserve"> </w:t>
      </w:r>
      <w:r>
        <w:rPr>
          <w:rFonts w:ascii="Times New Roman" w:hAnsi="Times New Roman"/>
          <w:i/>
          <w:sz w:val="20"/>
        </w:rPr>
        <w:t>Accounting</w:t>
      </w:r>
      <w:r>
        <w:rPr>
          <w:rFonts w:ascii="Times New Roman" w:hAnsi="Times New Roman"/>
          <w:sz w:val="20"/>
        </w:rPr>
        <w:t xml:space="preserve"> </w:t>
      </w:r>
      <w:r>
        <w:rPr>
          <w:rFonts w:ascii="Times New Roman" w:hAnsi="Times New Roman"/>
          <w:i/>
          <w:sz w:val="20"/>
        </w:rPr>
        <w:t>Standards</w:t>
      </w:r>
      <w:r>
        <w:rPr>
          <w:rFonts w:ascii="Times New Roman" w:hAnsi="Times New Roman"/>
          <w:sz w:val="20"/>
        </w:rPr>
        <w:t xml:space="preserve"> </w:t>
      </w:r>
      <w:r>
        <w:rPr>
          <w:rFonts w:ascii="Times New Roman" w:hAnsi="Times New Roman"/>
          <w:i/>
          <w:sz w:val="20"/>
        </w:rPr>
        <w:t>Update,</w:t>
      </w:r>
      <w:r>
        <w:rPr>
          <w:rFonts w:ascii="Times New Roman" w:hAnsi="Times New Roman"/>
          <w:sz w:val="20"/>
        </w:rPr>
        <w:t xml:space="preserve"> </w:t>
      </w:r>
      <w:r>
        <w:rPr>
          <w:rFonts w:ascii="Times New Roman" w:hAnsi="Times New Roman"/>
          <w:i/>
          <w:sz w:val="20"/>
        </w:rPr>
        <w:t>Leases</w:t>
      </w:r>
      <w:r>
        <w:rPr>
          <w:rFonts w:ascii="Times New Roman" w:hAnsi="Times New Roman"/>
          <w:sz w:val="20"/>
        </w:rPr>
        <w:t xml:space="preserve"> </w:t>
      </w:r>
      <w:r>
        <w:rPr>
          <w:rFonts w:ascii="Times New Roman" w:hAnsi="Times New Roman"/>
          <w:i/>
          <w:sz w:val="20"/>
        </w:rPr>
        <w:t>(Topic</w:t>
      </w:r>
      <w:r>
        <w:rPr>
          <w:rFonts w:ascii="Times New Roman" w:hAnsi="Times New Roman"/>
          <w:sz w:val="20"/>
        </w:rPr>
        <w:t xml:space="preserve"> </w:t>
      </w:r>
      <w:r>
        <w:rPr>
          <w:rFonts w:ascii="Times New Roman" w:hAnsi="Times New Roman"/>
          <w:i/>
          <w:sz w:val="20"/>
        </w:rPr>
        <w:t>840)</w:t>
      </w:r>
      <w:r>
        <w:rPr>
          <w:rFonts w:ascii="Times New Roman" w:hAnsi="Times New Roman"/>
          <w:sz w:val="20"/>
        </w:rPr>
        <w:t xml:space="preserve">, issued by the Financial Accounting Standards Board on August 17, 2010, or any other proposals issued by the Financial Accounting Standards Board, in each case if such change would require treating any lease (or similar arrangement conveying the right to use) as a capital lease where such lease (or similar arrangement) would not have been required to be so treated under GAAP as in effect on December 31, 2018.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GAAP</w:t>
      </w:r>
      <w:r>
        <w:rPr>
          <w:rFonts w:ascii="Times New Roman" w:hAnsi="Times New Roman"/>
          <w:sz w:val="20"/>
        </w:rPr>
        <w:t xml:space="preserve">.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Capital Leases</w:t>
      </w:r>
      <w:r>
        <w:rPr>
          <w:rFonts w:ascii="Times New Roman" w:hAnsi="Times New Roman"/>
          <w:sz w:val="20"/>
        </w:rPr>
        <w:t xml:space="preserve">. For the avoidance of doubt, notwithstanding anything to the contrary contained in </w:t>
      </w:r>
      <w:r>
        <w:rPr>
          <w:rFonts w:ascii="Times New Roman" w:hAnsi="Times New Roman"/>
          <w:sz w:val="20"/>
          <w:u w:val="single"/>
        </w:rPr>
        <w:t>Section 1.03(a)</w:t>
      </w:r>
      <w:r>
        <w:rPr>
          <w:rFonts w:ascii="Times New Roman" w:hAnsi="Times New Roman"/>
          <w:sz w:val="20"/>
        </w:rPr>
        <w:t xml:space="preserve"> or in the definition of “Capitalized Lease,” any obligations relating to a lease that is accounted for by Borrower or any of its Subsidiaries as an operating lease in accordance with GAAP (as in effect on December 31, 2018 (including the adoption of Financial Accounting Standards Board Accounting Standards Codification 842) shall not constitute Indebtedness of Borrower or such Subsidiary and all calculations and deliverables under this Agreement or any other Loan Document shall be made or delivered, as applicable, in accordance with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Rates</w:t>
      </w:r>
      <w:r>
        <w:rPr>
          <w:rFonts w:ascii="Times New Roman" w:hAnsi="Times New Roman"/>
          <w:sz w:val="20"/>
        </w:rPr>
        <w:t xml:space="preserve">. The Administrative Agent does not warrant or accept responsibility for, and shall not have any liability with respect to (a) the continuation of, administration of, submission of, calculation of or any other matter related to ABR,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Letter of Credit Amount</w:t>
      </w:r>
      <w:r>
        <w:rPr>
          <w:rFonts w:ascii="Times New Roman" w:hAnsi="Times New Roman"/>
          <w:sz w:val="20"/>
        </w:rPr>
        <w:t xml:space="preserve">. Unless otherwise specified, all references herein to the amount of a Letter of Credit at any time shall be deemed to be the maximum face amount of such Letter of Credit after giving effect to all increases thereof contemplated by such Letter of Credit or the Application for Letter of Credit therefor (at the time specified therefor in such applicable Letter of Credit or Application for Letter of Credit and as such amount may be reduced by (a) any permanent reduction of such Letter of Credit or (b) any amount which is drawn, reimbursed and no longer available under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REVOLVING FACILITY AND BORROWINGS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Revolving 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each Lender agrees to make Loans to the Borrower from time to time on any Business Day during the Revolving Availability Period in an aggregate principal amount that will not result in (a) such Lender’s Revolving Credit Exposure exceeding such Lender’s total Commitment or (b) the total Revolving Credit Exposures exceeding the total Commitments. Within the foregoing limits and subject to the terms and conditions set forth herein, the Borrower may borrow, prepay and reborrow Loans. Loans may be ABR Loans or SOFR Loans, as further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Borrowings</w:t>
      </w:r>
      <w:r>
        <w:rPr>
          <w:rFonts w:ascii="Times New Roman" w:hAnsi="Times New Roman"/>
          <w:sz w:val="20"/>
        </w:rPr>
        <w:t xml:space="preserve">. Each Loan shall be made as part of a Borrowing consisting of Loans of the same Type made by the Lenders ratably in accordance with their respective Commitment.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Type of Loans</w:t>
      </w:r>
      <w:r>
        <w:rPr>
          <w:rFonts w:ascii="Times New Roman" w:hAnsi="Times New Roman"/>
          <w:sz w:val="20"/>
        </w:rPr>
        <w:t xml:space="preserve">. Subject to </w:t>
      </w:r>
      <w:r>
        <w:rPr>
          <w:rFonts w:ascii="Times New Roman" w:hAnsi="Times New Roman"/>
          <w:sz w:val="20"/>
          <w:u w:val="single"/>
        </w:rPr>
        <w:t>Section 2.16</w:t>
      </w:r>
      <w:r>
        <w:rPr>
          <w:rFonts w:ascii="Times New Roman" w:hAnsi="Times New Roman"/>
          <w:sz w:val="20"/>
        </w:rPr>
        <w:t xml:space="preserve">, each Borrowing shall be comprised entirely of ABR Loans or SOFR Loans as the Borrower may request in accordance herewith. Each Lender, in its sole and absolute discretion, may make any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Minimum Amounts; Limitation on Number of Borrowings</w:t>
      </w:r>
      <w:r>
        <w:rPr>
          <w:rFonts w:ascii="Times New Roman" w:hAnsi="Times New Roman"/>
          <w:sz w:val="20"/>
        </w:rPr>
        <w:t xml:space="preserve">. Each SOFR Borrowing shall be in an aggregate amount of $5,000,000 or a larger multiple of $1,000,000. Each ABR Borrowing shall be in an aggregate amount equal to $5,000,000 or a larger multiple of $1,000,000; </w:t>
      </w:r>
      <w:r>
        <w:rPr>
          <w:rFonts w:ascii="Times New Roman" w:hAnsi="Times New Roman"/>
          <w:sz w:val="20"/>
          <w:u w:val="single"/>
        </w:rPr>
        <w:t>provided</w:t>
      </w:r>
      <w:r>
        <w:rPr>
          <w:rFonts w:ascii="Times New Roman" w:hAnsi="Times New Roman"/>
          <w:sz w:val="20"/>
        </w:rPr>
        <w:t xml:space="preserve"> that an ABR Borrowing may be in an aggregate amount that is equal to the entire unused balance of the applicable Commitments. Borrowings of more than one Type may be outstanding at the same time; </w:t>
      </w:r>
      <w:r>
        <w:rPr>
          <w:rFonts w:ascii="Times New Roman" w:hAnsi="Times New Roman"/>
          <w:sz w:val="20"/>
          <w:u w:val="single"/>
        </w:rPr>
        <w:t>provided</w:t>
      </w:r>
      <w:r>
        <w:rPr>
          <w:rFonts w:ascii="Times New Roman" w:hAnsi="Times New Roman"/>
          <w:sz w:val="20"/>
        </w:rPr>
        <w:t xml:space="preserve"> that there shall not be more than a total of five (5) Revolving SOFR Borrowings outstanding at any time.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Borrowing Requests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by Borrower</w:t>
      </w:r>
      <w:r>
        <w:rPr>
          <w:rFonts w:ascii="Times New Roman" w:hAnsi="Times New Roman"/>
          <w:sz w:val="20"/>
        </w:rPr>
        <w:t xml:space="preserve">. Each Borrowing shall be made upon the Borrower’s irrevocable notice to the Administrative Agent in the form of a written Borrowing Request, appropriately completed and signed by a Responsible Officer of the Borrower, or may be given by telephone to the Administrative Agent (if promptly confirmed by such a written Borrowing Request consistent with such telephonic notice) and must be received by the Administrative Agent not later than 11:00 a.m. (New York City time) (i) in the case of a SOFR Borrowing, three (3) U.S. Government Securities Business Days prior to the date of the requested Borrowing or (ii) in the case of an ABR Borrowing, one Business Day prior to the date of the requested Borrowing.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Content of Borrowing Requests</w:t>
      </w:r>
      <w:r>
        <w:rPr>
          <w:rFonts w:ascii="Times New Roman" w:hAnsi="Times New Roman"/>
          <w:sz w:val="20"/>
        </w:rPr>
        <w:t xml:space="preserve">. Each Borrowing Request for a Borrowing pursuant to this Section shall specify the following information in compliance with </w:t>
      </w:r>
      <w:r>
        <w:rPr>
          <w:rFonts w:ascii="Times New Roman" w:hAnsi="Times New Roman"/>
          <w:sz w:val="20"/>
          <w:u w:val="single"/>
        </w:rPr>
        <w:t>Section 2.02</w:t>
      </w:r>
      <w:r>
        <w:rPr>
          <w:rFonts w:ascii="Times New Roman" w:hAnsi="Times New Roman"/>
          <w:sz w:val="20"/>
        </w:rPr>
        <w:t xml:space="preserve">: (i) the aggregate amount of the requested Borrowing; (ii) the date of such Borrowing (which shall be a Business Day); (iii) whether such Borrowing is to be an ABR Borrowing or a SOFR Borrowing; (iv) in the case of a SOFR Borrowing, the Interest Period therefor; and (v) the location and number of the Borrower’s account to which funds are to be disbursed.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by Administrative Agent to Lenders</w:t>
      </w:r>
      <w:r>
        <w:rPr>
          <w:rFonts w:ascii="Times New Roman" w:hAnsi="Times New Roman"/>
          <w:sz w:val="20"/>
        </w:rPr>
        <w:t xml:space="preserve">. Promptly following receipt of a Borrowing Request, the Administrative Agent shall advise each Lender of the details thereof and the amount of such Lender’s portion of each resulting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Failure to Elect</w:t>
      </w:r>
      <w:r>
        <w:rPr>
          <w:rFonts w:ascii="Times New Roman" w:hAnsi="Times New Roman"/>
          <w:sz w:val="20"/>
        </w:rPr>
        <w:t xml:space="preserve">. If no election as to the Type of a Borrowing is specified in the applicable Borrowing Request, then the requested Borrowing shall be an ABR Borrowing. If no Interest Period is specified with respect to any requested SOFR Borrowing, the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make the amount of each Borrowing to be made by such Lender hereunder available to the Administrative Agent in immediately available funds at the Administrative Agent’s Office not later than 12:00 noon (New York City time) on the proposed date thereof. The Administrative Agent will make all such funds so received available to the Borrower in like funds, by wire transfer of such funds in accordance with the instructions provided in the applicable Borrowing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Elections by Borrower for Borrowings</w:t>
      </w:r>
      <w:r>
        <w:rPr>
          <w:rFonts w:ascii="Times New Roman" w:hAnsi="Times New Roman"/>
          <w:sz w:val="20"/>
        </w:rPr>
        <w:t xml:space="preserve">. Subject to </w:t>
      </w:r>
      <w:r>
        <w:rPr>
          <w:rFonts w:ascii="Times New Roman" w:hAnsi="Times New Roman"/>
          <w:sz w:val="20"/>
          <w:u w:val="single"/>
        </w:rPr>
        <w:t>Section 2.02</w:t>
      </w:r>
      <w:r>
        <w:rPr>
          <w:rFonts w:ascii="Times New Roman" w:hAnsi="Times New Roman"/>
          <w:sz w:val="20"/>
        </w:rPr>
        <w:t xml:space="preserve">, the Loans comprising each Borrowing initially shall be of the Type specified in the applicable Borrowing Request and, in the case of a SOFR Borrowing, shall have the Interest Period specified in such Borrowing Request. Thereafter, the Borrower may elect to convert such Borrowing to a Borrowing of a different Type or to continue such Borrowing as a Borrowing of the same Type and, in the case of a SOFR Borrowing, may elect the Interest Period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Elections</w:t>
      </w:r>
      <w:r>
        <w:rPr>
          <w:rFonts w:ascii="Times New Roman" w:hAnsi="Times New Roman"/>
          <w:sz w:val="20"/>
        </w:rPr>
        <w:t xml:space="preserve">. Each such election pursuant to this Section shall be made upon the Borrower’s irrevocable notice to the Administrative Agent. Each such notice shall be in the form of a written Interest Election Request, appropriately completed and signed by a Responsible Officer of the Borrower, or may be given by telephone to the Administrative Agent (if promptly confirmed in writing by delivery of such a written Interest Election Request consistent with such telephonic notice) and must be received by the Administrative Agent not later than the time that a Borrowing Request would be required under </w:t>
      </w:r>
      <w:r>
        <w:rPr>
          <w:rFonts w:ascii="Times New Roman" w:hAnsi="Times New Roman"/>
          <w:sz w:val="20"/>
          <w:u w:val="single"/>
        </w:rPr>
        <w:t>Section 2.03</w:t>
      </w:r>
      <w:r>
        <w:rPr>
          <w:rFonts w:ascii="Times New Roman" w:hAnsi="Times New Roman"/>
          <w:sz w:val="20"/>
        </w:rPr>
        <w:t xml:space="preserve"> if the Borrower were requesting a Borrowing of the Type resulting from such election to be made on the effective date of such election.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Content of Interest Election Requests</w:t>
      </w:r>
      <w:r>
        <w:rPr>
          <w:rFonts w:ascii="Times New Roman" w:hAnsi="Times New Roman"/>
          <w:sz w:val="20"/>
        </w:rPr>
        <w:t xml:space="preserve">. Each Interest Election Request pursuant to this Section shall specify the following information in compliance with </w:t>
      </w:r>
      <w:r>
        <w:rPr>
          <w:rFonts w:ascii="Times New Roman" w:hAnsi="Times New Roman"/>
          <w:sz w:val="20"/>
          <w:u w:val="single"/>
        </w:rPr>
        <w:t>Section 2.02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hAnsi="Times New Roman"/>
          <w:sz w:val="20"/>
          <w:u w:val="single"/>
        </w:rPr>
        <w:t>clauses (iii)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whether the resulting Borrowing is to be an ABR Borrowing or SOFR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SOFR Borrowing, the Interest Period therefor after giving effect to such election.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by Administrative Agent to Lenders</w:t>
      </w:r>
      <w:r>
        <w:rPr>
          <w:rFonts w:ascii="Times New Roman" w:hAnsi="Times New Roman"/>
          <w:sz w:val="20"/>
        </w:rPr>
        <w:t xml:space="preserve">. Promptly following receipt of an Interest Election Request, the Administrative Agent shall advise each Lender of the details thereof and such Lender’s portion of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Failure to Elect; Events of Default</w:t>
      </w:r>
      <w:r>
        <w:rPr>
          <w:rFonts w:ascii="Times New Roman" w:hAnsi="Times New Roman"/>
          <w:sz w:val="20"/>
        </w:rPr>
        <w:t xml:space="preserve">. If the Borrower fails to deliver a timely and complete Interest Election Request with respect to a SOFR Borrowing prior to the end of the Interest Period therefor, then, unless such Revolving SOFR Borrowing is repaid as provided herein, the Borrower shall be deemed to have selected that such Revolving SOFR Borrowing shall automatically be continued as a Revolving SOFR Borrowing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such Event of Default is continuing (i) no outstanding Borrowing may be converted to or continued as a Revolving SOFR Borrowing and (ii) unless repaid as provided herein, each Revolving SOFR Borrowing shall automatically be converted to an ABR Borrowing at the end of the Interest Period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 Prepayments</w:t>
      </w:r>
      <w:r>
        <w:rPr>
          <w:rFonts w:ascii="Times New Roman" w:hAnsi="Times New Roman"/>
          <w:sz w:val="20"/>
        </w:rPr>
        <w:t xml:space="preserve">. The Borrower may, upon notice to the Administrative Agent, at any time and from time to time prepay any Borrowing in whole or in part without premium or penalty, subject to the requirements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Each such notice pursuant to this Section shall be in the form of a written Prepayment Notice, appropriately completed and signed by a Responsible Officer of the Borrower, or may be given by telephone to the Administrative Agent (if promptly confirmed by such a written Prepayment Notice consistent with such telephonic notice) and must be received by the Administrative Agent (i) in the case of prepayment of a SOFR Borrowing, not later than 11:00 a.m. (New York City time) five U.S. Government Securities Business Days before the date of prepayment or (ii) in the case of prepayment of a ABR Borrowing, not later than 11:00 a.m. (New York City time) one Business Day before the date of prepayment. Each Prepayment Notice shall specify (x) the prepayment date and (y) the principal amount of each Borrowing or portion thereof to be prepaid. Promptly following receipt of any such notice relating to a Borrowing, the Administrative Agent shall advise the applicable Lenders of the contents thereof. Each Prepayment Notice shall be irrevocable.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Amounts; Application</w:t>
      </w:r>
      <w:r>
        <w:rPr>
          <w:rFonts w:ascii="Times New Roman" w:hAnsi="Times New Roman"/>
          <w:sz w:val="20"/>
        </w:rPr>
        <w:t xml:space="preserve">. Each partial prepayment of any Borrowing shall be in an amount not less than $1,000,000. Each prepayment of a Borrowing shall be applied ratably to the Loans included in such Borrowing. Prepayments shall be accompanied by accrued and unpaid interest to the extent required by </w:t>
      </w:r>
      <w:r>
        <w:rPr>
          <w:rFonts w:ascii="Times New Roman" w:hAnsi="Times New Roman"/>
          <w:sz w:val="20"/>
          <w:u w:val="single"/>
        </w:rPr>
        <w:t>Section 2.08</w:t>
      </w:r>
      <w:r>
        <w:rPr>
          <w:rFonts w:ascii="Times New Roman" w:hAnsi="Times New Roman"/>
          <w:sz w:val="20"/>
        </w:rPr>
        <w:t xml:space="preserve">, together with any additional amounts required pursuant to </w:t>
      </w:r>
      <w:r>
        <w:rPr>
          <w:rFonts w:ascii="Times New Roman" w:hAnsi="Times New Roman"/>
          <w:sz w:val="20"/>
          <w:u w:val="single"/>
        </w:rPr>
        <w:t>Section 2.13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repay to the Administrative Agent for the ratable account of the Lenders on the Expiration Date, the aggregate principal amount of all Loans outstanding on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Interest Rates</w:t>
      </w:r>
      <w:r>
        <w:rPr>
          <w:rFonts w:ascii="Times New Roman" w:hAnsi="Times New Roman"/>
          <w:sz w:val="20"/>
        </w:rPr>
        <w:t xml:space="preserve">. Subject to </w:t>
      </w:r>
      <w:r>
        <w:rPr>
          <w:rFonts w:ascii="Times New Roman" w:hAnsi="Times New Roman"/>
          <w:sz w:val="20"/>
          <w:u w:val="single"/>
        </w:rPr>
        <w:t>paragraph (b)</w:t>
      </w:r>
      <w:r>
        <w:rPr>
          <w:rFonts w:ascii="Times New Roman" w:hAnsi="Times New Roman"/>
          <w:sz w:val="20"/>
        </w:rPr>
        <w:t xml:space="preserve"> of this Section, (i) each ABR Loan shall bear interest at a rate per annum equal to the ABR </w:t>
      </w:r>
      <w:r>
        <w:rPr>
          <w:rFonts w:ascii="Times New Roman" w:hAnsi="Times New Roman"/>
          <w:sz w:val="20"/>
          <w:u w:val="single"/>
        </w:rPr>
        <w:t>plus</w:t>
      </w:r>
      <w:r>
        <w:rPr>
          <w:rFonts w:ascii="Times New Roman" w:hAnsi="Times New Roman"/>
          <w:sz w:val="20"/>
        </w:rPr>
        <w:t xml:space="preserve"> the Applicable Rate; and (ii) each Revolving SOFR Loan shall bear interest at a rate per annum equal to the Term SOFR for the Interest Period therefor </w:t>
      </w:r>
      <w:r>
        <w:rPr>
          <w:rFonts w:ascii="Times New Roman" w:hAnsi="Times New Roman"/>
          <w:sz w:val="20"/>
          <w:u w:val="single"/>
        </w:rPr>
        <w:t>plus</w:t>
      </w:r>
      <w:r>
        <w:rPr>
          <w:rFonts w:ascii="Times New Roman" w:hAnsi="Times New Roman"/>
          <w:sz w:val="20"/>
        </w:rPr>
        <w:t xml:space="preserve">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Interest</w:t>
      </w:r>
      <w:r>
        <w:rPr>
          <w:rFonts w:ascii="Times New Roman" w:hAnsi="Times New Roman"/>
          <w:sz w:val="20"/>
        </w:rPr>
        <w:t xml:space="preserve">. If any amount payable by the Borrower under this Agreement or any other Loan Document (including principal of any Loan, interest, fees and other amount) is not paid when due, whether at stated maturity, by acceleration or otherwise, such amount shall thereafter bear interest at a rate per annum equal to the applicable Default Rate. Upon the request of the Required Lenders, while any Event of Default exists, the Borrower shall pay interest on the principal amount of all Loans outstanding hereunder at a rate per annum equal to the applicable Default Rate.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Dates</w:t>
      </w:r>
      <w:r>
        <w:rPr>
          <w:rFonts w:ascii="Times New Roman" w:hAnsi="Times New Roman"/>
          <w:sz w:val="20"/>
        </w:rPr>
        <w:t xml:space="preserve">. Accrued interest on each Loan shall be payable in arrears on each Interest Payment Date applicable thereto and at such other times as may be specified herein; </w:t>
      </w:r>
      <w:r>
        <w:rPr>
          <w:rFonts w:ascii="Times New Roman" w:hAnsi="Times New Roman"/>
          <w:sz w:val="20"/>
          <w:u w:val="single"/>
        </w:rPr>
        <w:t>provided</w:t>
      </w:r>
      <w:r>
        <w:rPr>
          <w:rFonts w:ascii="Times New Roman" w:hAnsi="Times New Roman"/>
          <w:sz w:val="20"/>
        </w:rPr>
        <w:t xml:space="preserve"> that (i) interest accrued pursuant to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2.08</w:t>
      </w:r>
      <w:r>
        <w:rPr>
          <w:rFonts w:ascii="Times New Roman" w:hAnsi="Times New Roman"/>
          <w:sz w:val="20"/>
        </w:rPr>
        <w:t xml:space="preserve"> shall be payable on demand, (ii) in the event of any repayment or prepayment of any Loan (other than a prepayment of an ABR Loan prior to the Expiration Date), accrued interest on the principal amount repaid or prepaid shall be payable on the date of such repayment or prepayment and (iii) in the event of any conversion of any SOFR Borrowing prior to the end of the Interest Period therefor, accrued interest on such Borrowing shall be payable on the effective date of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Interest Computation</w:t>
      </w:r>
      <w:r>
        <w:rPr>
          <w:rFonts w:ascii="Times New Roman" w:hAnsi="Times New Roman"/>
          <w:sz w:val="20"/>
        </w:rPr>
        <w:t xml:space="preserve">. All interest hereunder shall be computed on the basis of a year of 360 days (or in the case of interest computed by reference to the ABR at times when the ABR is based on the Base Rate, such interest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All interest hereunder on any Loan shall be computed on a daily basis based upon the outstanding principal amount of such Loan as of the applicable date of determination. The applicable ABR or Term SOFR shall be determined by the Administrative Agent, and such determination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 SOFR Conforming Changes</w:t>
      </w:r>
      <w:r>
        <w:rPr>
          <w:rFonts w:ascii="Times New Roman" w:hAnsi="Times New Roman"/>
          <w:sz w:val="20"/>
        </w:rPr>
        <w:t xml:space="preserve">.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Fee Letters</w:t>
      </w:r>
      <w:r>
        <w:rPr>
          <w:rFonts w:ascii="Times New Roman" w:hAnsi="Times New Roman"/>
          <w:sz w:val="20"/>
        </w:rPr>
        <w:t xml:space="preserve">. The Borrower shall pay the fees set forth in each Fee Letter in the time and manner set forth in the applicable Fee Letter.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Commitment Fees</w:t>
      </w:r>
      <w:r>
        <w:rPr>
          <w:rFonts w:ascii="Times New Roman" w:hAnsi="Times New Roman"/>
          <w:sz w:val="20"/>
        </w:rPr>
        <w:t>. The Borrower agrees to pay to the Administrative Agent for the account of each Lender a commitment fee (the “</w:t>
      </w:r>
      <w:r>
        <w:rPr>
          <w:rFonts w:ascii="Times New Roman" w:hAnsi="Times New Roman"/>
          <w:sz w:val="20"/>
          <w:u w:val="single"/>
        </w:rPr>
        <w:t>Commitment Fee</w:t>
      </w:r>
      <w:r>
        <w:rPr>
          <w:rFonts w:ascii="Times New Roman" w:hAnsi="Times New Roman"/>
          <w:sz w:val="20"/>
        </w:rPr>
        <w:t xml:space="preserve">”) on the average daily unused amount of the Commitment of such Lender, which shall accrue at a rate per annum equal to twenty basis points (0.20%) during the period from and including the Closing Date to but excluding the Expiration Date, and be payable in arrears on the last Business Day of each fiscal quarter, with the first payment to be made on the last Business Day of the fiscal quarter ending September 30, 2026, and on the earlier of (i) the Expiration Date, or (ii) any date on which the Commitments are cancelled under this Agreement. All fees payable under this Section shall be computed on the basis of a year of 360 days and in each case shall be payable for the actual number of days elapsed. Each determination by the Administrative Agent of a fee hereunder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Maintenance of Records</w:t>
      </w:r>
      <w:r>
        <w:rPr>
          <w:rFonts w:ascii="Times New Roman" w:hAnsi="Times New Roman"/>
          <w:sz w:val="20"/>
        </w:rPr>
        <w:t xml:space="preserve">. Each Lender shall maintain in accordance with its usual practice records evidencing the indebtedness of the Borrower to such Lender resulting from each Borrowing made by such Lender. The Administrative Agent shall maintain the Register in accordance with </w:t>
      </w:r>
      <w:r>
        <w:rPr>
          <w:rFonts w:ascii="Times New Roman" w:hAnsi="Times New Roman"/>
          <w:sz w:val="20"/>
          <w:u w:val="single"/>
        </w:rPr>
        <w:t>Section 9.04(c)</w:t>
      </w:r>
      <w:r>
        <w:rPr>
          <w:rFonts w:ascii="Times New Roman" w:hAnsi="Times New Roman"/>
          <w:sz w:val="20"/>
        </w:rPr>
        <w:t xml:space="preserve">. The entries made in the records maintained pursuant to this </w:t>
      </w:r>
      <w:r>
        <w:rPr>
          <w:rFonts w:ascii="Times New Roman" w:hAnsi="Times New Roman"/>
          <w:sz w:val="20"/>
          <w:u w:val="single"/>
        </w:rPr>
        <w:t>paragraph (a)</w:t>
      </w:r>
      <w:r>
        <w:rPr>
          <w:rFonts w:ascii="Times New Roman" w:hAnsi="Times New Roman"/>
          <w:sz w:val="20"/>
        </w:rPr>
        <w:t xml:space="preserve"> shall be </w:t>
      </w:r>
      <w:r>
        <w:rPr>
          <w:rFonts w:ascii="Times New Roman" w:hAnsi="Times New Roman"/>
          <w:sz w:val="20"/>
          <w:u w:val="single"/>
        </w:rPr>
        <w:t>prima facie</w:t>
      </w:r>
      <w:r>
        <w:rPr>
          <w:rFonts w:ascii="Times New Roman" w:hAnsi="Times New Roman"/>
          <w:sz w:val="20"/>
        </w:rPr>
        <w:t xml:space="preserve"> evidence absent manifest error of the existence and amounts of the obligations recorded therein. Any failure of any Lender or the Administrative Agent to maintain such records or make any entry therein or any error therein shall not in any manner affect the obligations of the Borrower under this Agreement and the other Loan Documents. In the event of any conflict between the records maintained by any Lender and the records maintained by the Administrative Agent in such matters, the records of the Administrative Agent shall control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Promissory Notes</w:t>
      </w:r>
      <w:r>
        <w:rPr>
          <w:rFonts w:ascii="Times New Roman" w:hAnsi="Times New Roman"/>
          <w:sz w:val="20"/>
        </w:rPr>
        <w:t xml:space="preserve">. Upon the request of any Lender made through the Administrative Agent, the Borrower shall prepare, execute and deliver to such Lender a promissory note of the Borrower payable to such Lender (or, if requested by such Lender, to such Lender and its registered assigns) in a form approved by the Administrative Agent, which shall evidence such Lender’s Loans in addition to such records.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Payments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by Borrower</w:t>
      </w:r>
      <w:r>
        <w:rPr>
          <w:rFonts w:ascii="Times New Roman" w:hAnsi="Times New Roman"/>
          <w:sz w:val="20"/>
        </w:rPr>
        <w:t xml:space="preserve">. All payments to be made by the Borrower hereunder and the other Loan Documents shall be made without condition or deduction for any counterclaim, defense, recoupment or setoff. Except as otherwise expressly provided herein, all such payments shall be made to the Administrative Agent, for the account of the respective Lenders to which such payment is owed, at the Administrative Agent’s Office in immediately available funds not later than 12:00 noon (New York City time) on the date specified herein. All amounts received by the Administrative Agent after such time on any date shall be deemed to have been received on the next succeeding Business Day and any applicable interest or fees shall continue to accrue. The Administrative Agent will promptly distribute to each Lender its ratable share (or other applicable share as provided herein) of such payment in like funds as received by wire transfer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Lender’s applicable lending office (or otherwise distribute such payment in like funds as received to the Person or Persons entitled thereto as provided herein). If any payment to be made by the Borrower shall fall due on a day that is not a Business Day, payment shall be made on the next succeeding Business Day and such extension of time shall be reflected in computing interest or fees, as the case may be; </w:t>
      </w:r>
      <w:r>
        <w:rPr>
          <w:rFonts w:ascii="Times New Roman" w:hAnsi="Times New Roman"/>
          <w:sz w:val="20"/>
          <w:u w:val="single"/>
        </w:rPr>
        <w:t>provided</w:t>
      </w:r>
      <w:r>
        <w:rPr>
          <w:rFonts w:ascii="Times New Roman" w:hAnsi="Times New Roman"/>
          <w:sz w:val="20"/>
        </w:rPr>
        <w:t xml:space="preserve"> that, if such next succeeding Business Day would fall after the Expiration Date, payment shall be made on the immediately preceding Business Day. Except as otherwise expressly provided herein, all payments hereunder or under any other Loan Document shall be made in Dollars.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Application of Insufficient Payments</w:t>
      </w:r>
      <w:r>
        <w:rPr>
          <w:rFonts w:ascii="Times New Roman" w:hAnsi="Times New Roman"/>
          <w:sz w:val="20"/>
        </w:rPr>
        <w:t xml:space="preserve">. Subject to </w:t>
      </w:r>
      <w:r>
        <w:rPr>
          <w:rFonts w:ascii="Times New Roman" w:hAnsi="Times New Roman"/>
          <w:sz w:val="20"/>
          <w:u w:val="single"/>
        </w:rPr>
        <w:t>Section 7.02</w:t>
      </w:r>
      <w:r>
        <w:rPr>
          <w:rFonts w:ascii="Times New Roman" w:hAnsi="Times New Roman"/>
          <w:sz w:val="20"/>
        </w:rPr>
        <w:t xml:space="preserve">, if at any time insufficient funds are received by and available to the Administrative Agent to pay fully all amounts of principal, interest, fees and other amounts then due hereunder, such funds shall be applied (i) first, to pay interest, fees and other amounts then due hereunder, ratably among the Lenders in accordance with the amounts of interest, fees and other amounts then due to such parties, and (ii) second, to pay principal and then due hereunder, ratably among the Lenders in accordance with the amounts of principal then due to such parties.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Presumptions by Administrative Agent</w:t>
      </w:r>
      <w:r>
        <w:rPr>
          <w:rFonts w:ascii="Times New Roman" w:hAnsi="Times New Roman"/>
          <w:sz w:val="20"/>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(but in no event shall it be obligated to),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Sharing of Payments</w:t>
      </w:r>
      <w:r>
        <w:rPr>
          <w:rFonts w:ascii="Times New Roman" w:hAnsi="Times New Roman"/>
          <w:sz w:val="20"/>
        </w:rPr>
        <w:t xml:space="preserve">.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if any such participations are purchased and all or any portion of the payment giving rise thereto is recovered, such participations shall be rescinded and the purchase price restored to the extent of such recovery, without interest;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provisions of this paragraph shall not be construed to apply to (A) any payment made by the Borrower pursuant to and in accordance with the express terms of this Agreement (including the application of funds arising from the existence of a Defaulting Lender), or (B) any payment obtained by a Lender as consideration for the assignment of or sale of a participation in any of its Loans to any assignee or participant, other than to the Borrower or any Subsidiary thereof (as to which the provisions of this paragraph shall apply). </w:t>
      </w:r>
    </w:p>
    <w:p>
      <w:pPr>
        <w:pStyle w:val="TextBody"/>
        <w:bidi w:val="0"/>
        <w:spacing w:before="240" w:after="0"/>
        <w:jc w:val="left"/>
        <w:rPr>
          <w:rFonts w:ascii="Times New Roman" w:hAnsi="Times New Roman"/>
          <w:sz w:val="20"/>
        </w:rPr>
      </w:pPr>
      <w:r>
        <w:rPr>
          <w:rFonts w:ascii="Times New Roman" w:hAnsi="Times New Roman"/>
          <w:sz w:val="20"/>
        </w:rPr>
        <w:t xml:space="preserve">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Compensation for Losses</w:t>
      </w:r>
      <w:r>
        <w:rPr>
          <w:rFonts w:ascii="Times New Roman" w:hAnsi="Times New Roman"/>
          <w:sz w:val="20"/>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w:t>
      </w:r>
      <w:r>
        <w:rPr>
          <w:rFonts w:ascii="Times New Roman" w:hAnsi="Times New Roman"/>
          <w:sz w:val="20"/>
          <w:u w:val="single"/>
        </w:rPr>
        <w:t>Section 2.18(b)</w:t>
      </w:r>
      <w:r>
        <w:rPr>
          <w:rFonts w:ascii="Times New Roman" w:hAnsi="Times New Roman"/>
          <w:sz w:val="20"/>
        </w:rPr>
        <w:t xml:space="preserve">, then, in any such event, the Borrower shall compensate each Lender for any loss, cost and expense attributable to such event, including any loss, cost or expense arising from the liquidation or redeployment of funds or from any fees payable.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Recipient to any Taxes (other than (A) Indemnified Taxes, (B) Taxes described in </w:t>
      </w:r>
      <w:r>
        <w:rPr>
          <w:rFonts w:ascii="Times New Roman" w:hAnsi="Times New Roman"/>
          <w:sz w:val="20"/>
          <w:u w:val="single"/>
        </w:rPr>
        <w:t>clauses (b)</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of the definition of Excluded Taxes and (C) Connection Income Taxes) on its loans, loan principal, letters of credit or other obligations,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any other condition, cost or expense (other than Taxes) affecting this Agreement or Loans made by such Lender or any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other Recipient of making, converting to, continuing or maintaining any Loan or of maintaining its obligation to make any such Loan, or issuing Letters of Credit, or to reduce the amount of any sum received or receivable by such Lender or other Recipient hereunder (whether of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Loans made by such Lender, or the Letters of Credit issued by any Letter of Credit Issuer,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as the case may be, such additional amount or amounts as will compensate such Lender or such Lender’s holding company for any such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setting forth in reasonable detail the amount or amounts necessary to compensate such Lender or its holding company, as the case may be, as specified in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Section and delivered to the Borrower, shall be conclusive absent manifest error. The Borrower shall pay such Lender the amount shown as due on any such certificate within 10 days after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to demand compensation pursuant to this Section shall not constitute a waiver of such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pursuant to this Section for any increased costs incurred or reductions suffered more than six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Defined Terms</w:t>
      </w:r>
      <w:r>
        <w:rPr>
          <w:rFonts w:ascii="Times New Roman" w:hAnsi="Times New Roman"/>
          <w:sz w:val="20"/>
        </w:rPr>
        <w:t xml:space="preserve">. For purposes of this Section, the term “Applicable Law” includes FATCA.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received had no such deduction or withholding been made.</w:t>
      </w:r>
      <w:r>
        <w:rPr>
          <w:rFonts w:ascii="Times New Roman" w:hAnsi="Times New Roman"/>
          <w:sz w:val="20"/>
          <w:u w:val="single"/>
        </w:rPr>
        <w:t>Payment of Other Taxes by Borrower</w:t>
      </w:r>
      <w:r>
        <w:rPr>
          <w:rFonts w:ascii="Times New Roman" w:hAnsi="Times New Roman"/>
          <w:sz w:val="20"/>
        </w:rPr>
        <w:t xml:space="preserve">. The Borrower shall timely pay to the relevant Governmental Authority in accordance with Applicable Law, or at the option of the Administrative Agent timely reimburse it for the payment of, any Other Taxes.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Borrower</w:t>
      </w:r>
      <w:r>
        <w:rPr>
          <w:rFonts w:ascii="Times New Roman" w:hAnsi="Times New Roman"/>
          <w:sz w:val="20"/>
        </w:rPr>
        <w:t xml:space="preserve">.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hAnsi="Times New Roman"/>
          <w:sz w:val="20"/>
          <w:u w:val="single"/>
        </w:rPr>
        <w:t>Section 9.04(d)</w:t>
      </w:r>
      <w:r>
        <w:rPr>
          <w:rFonts w:ascii="Times New Roman" w:hAnsi="Times New Roman"/>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sz w:val="20"/>
          <w:u w:val="single"/>
        </w:rPr>
        <w:t>paragraph (e)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Evidence of Payments</w:t>
      </w:r>
      <w:r>
        <w:rPr>
          <w:rFonts w:ascii="Times New Roman" w:hAnsi="Times New Roman"/>
          <w:sz w:val="20"/>
        </w:rPr>
        <w:t xml:space="preserve">.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anything to the contrary in the preceding two sentences, the completion, execution and submission of such documentation (other than such documentation set forth in </w:t>
      </w:r>
      <w:r>
        <w:rPr>
          <w:rFonts w:ascii="Times New Roman" w:hAnsi="Times New Roman"/>
          <w:sz w:val="20"/>
          <w:u w:val="single"/>
        </w:rPr>
        <w:t>paragraphs (g)(ii)(A)</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(ii)(D)</w:t>
      </w:r>
      <w:r>
        <w:rPr>
          <w:rFonts w:ascii="Times New Roman" w:hAnsi="Times New Roman"/>
          <w:sz w:val="20"/>
        </w:rPr>
        <w:t xml:space="preserve"> of this Section)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the Borrower is a U.S. Borrower,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(2) executed copies of IRS Form W-8ECI; </w:t>
      </w:r>
    </w:p>
    <w:p>
      <w:pPr>
        <w:pStyle w:val="TextBody"/>
        <w:bidi w:val="0"/>
        <w:spacing w:before="120" w:after="0"/>
        <w:jc w:val="left"/>
        <w:rPr>
          <w:rFonts w:ascii="Times New Roman" w:hAnsi="Times New Roman"/>
          <w:sz w:val="20"/>
        </w:rPr>
      </w:pPr>
      <w:r>
        <w:rPr>
          <w:rFonts w:ascii="Times New Roman" w:hAnsi="Times New Roman"/>
          <w:sz w:val="20"/>
        </w:rPr>
        <w:t>(3) in the case of a Foreign Lender claiming the benefits of the exemption for portfolio interest under Section 881(c) of the Code, (x) a certificate substantially in the form of Exhibit B-1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copies of IRS Form W-8BEN or IRS Form W-8BEN-E;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to the extent a Foreign Lender is not the beneficial owner, executed copies of IRS Form W-8IMY, accompanied by IRS Form W-8ECI, IRS Form W-8BEN, IRS Form W-8BEN-E, a U.S. Tax Compliance Certificate substantially in the form of Exhibit B-2 or Exhibit B-3,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B-4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hAnsi="Times New Roman"/>
          <w:sz w:val="20"/>
          <w:u w:val="single"/>
        </w:rPr>
        <w:t>clause (D)</w:t>
      </w:r>
      <w:r>
        <w:rPr>
          <w:rFonts w:ascii="Times New Roman" w:hAnsi="Times New Roman"/>
          <w:sz w:val="20"/>
        </w:rPr>
        <w:t xml:space="preserve">, “FATCA” shall include any amendments made to FATCA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sz w:val="20"/>
          <w:u w:val="single"/>
        </w:rPr>
        <w:t>paragraph (h)</w:t>
      </w:r>
      <w:r>
        <w:rPr>
          <w:rFonts w:ascii="Times New Roman" w:hAnsi="Times New Roman"/>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sz w:val="20"/>
          <w:u w:val="single"/>
        </w:rPr>
        <w:t>paragraph (h)</w:t>
      </w:r>
      <w:r>
        <w:rPr>
          <w:rFonts w:ascii="Times New Roman" w:hAnsi="Times New Roman"/>
          <w:sz w:val="20"/>
        </w:rPr>
        <w:t xml:space="preserve">, in no event will the indemnified party be required to pay any amount to an indemnifying party pursuant to this </w:t>
      </w:r>
      <w:r>
        <w:rPr>
          <w:rFonts w:ascii="Times New Roman" w:hAnsi="Times New Roman"/>
          <w:sz w:val="20"/>
          <w:u w:val="single"/>
        </w:rPr>
        <w:t>paragraph (h)</w:t>
      </w:r>
      <w:r>
        <w:rPr>
          <w:rFonts w:ascii="Times New Roman" w:hAnsi="Times New Roman"/>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Section shall survive the resignation or replacement of the Administrative Agent or any assignment of rights by, or the replacement of, a Lender, the termination of the Revolving Facility, the expiration or cancellation of all Letters of Credit and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Inability to Determine Rates</w:t>
      </w:r>
      <w:r>
        <w:rPr>
          <w:rFonts w:ascii="Times New Roman" w:hAnsi="Times New Roman"/>
          <w:sz w:val="20"/>
        </w:rPr>
        <w:t xml:space="preserve">. Subject to </w:t>
      </w:r>
      <w:r>
        <w:rPr>
          <w:rFonts w:ascii="Times New Roman" w:hAnsi="Times New Roman"/>
          <w:sz w:val="20"/>
          <w:u w:val="single"/>
        </w:rPr>
        <w:t>Section 2.19</w:t>
      </w:r>
      <w:r>
        <w:rPr>
          <w:rFonts w:ascii="Times New Roman" w:hAnsi="Times New Roman"/>
          <w:sz w:val="20"/>
        </w:rPr>
        <w:t xml:space="preserve">, if, on or prior to the first day of any Interest Period for any SOFR Loan: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determines (which determination shall be conclusive and binding absent manifest error) that “Term SOFR” cannot be determined pursuant to the definition thereof, or </w:t>
      </w:r>
    </w:p>
    <w:p>
      <w:pPr>
        <w:pStyle w:val="TextBody"/>
        <w:bidi w:val="0"/>
        <w:spacing w:before="120" w:after="0"/>
        <w:jc w:val="left"/>
        <w:rPr>
          <w:rFonts w:ascii="Times New Roman" w:hAnsi="Times New Roman"/>
          <w:sz w:val="20"/>
        </w:rPr>
      </w:pPr>
      <w:r>
        <w:rPr>
          <w:rFonts w:ascii="Times New Roman" w:hAnsi="Times New Roman"/>
          <w:sz w:val="20"/>
        </w:rPr>
        <w:t xml:space="preserve">(b) 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notice of such determination to the Administrative Agent, the Administrative Agent will promptly so notify the Borrower and each Lender. </w:t>
      </w:r>
    </w:p>
    <w:p>
      <w:pPr>
        <w:pStyle w:val="TextBody"/>
        <w:bidi w:val="0"/>
        <w:spacing w:before="240" w:after="0"/>
        <w:jc w:val="left"/>
        <w:rPr>
          <w:rFonts w:ascii="Times New Roman" w:hAnsi="Times New Roman"/>
          <w:sz w:val="20"/>
        </w:rPr>
      </w:pPr>
      <w:r>
        <w:rPr>
          <w:rFonts w:ascii="Times New Roman" w:hAnsi="Times New Roman"/>
          <w:sz w:val="20"/>
        </w:rPr>
        <w:t xml:space="preserve">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Times New Roman" w:hAnsi="Times New Roman"/>
          <w:sz w:val="20"/>
          <w:u w:val="single"/>
        </w:rPr>
        <w:t>Section 2.13</w:t>
      </w:r>
      <w:r>
        <w:rPr>
          <w:rFonts w:ascii="Times New Roman" w:hAnsi="Times New Roman"/>
          <w:sz w:val="20"/>
        </w:rPr>
        <w:t xml:space="preserve">. Subject to </w:t>
      </w:r>
      <w:r>
        <w:rPr>
          <w:rFonts w:ascii="Times New Roman" w:hAnsi="Times New Roman"/>
          <w:sz w:val="20"/>
          <w:u w:val="single"/>
        </w:rPr>
        <w:t>Section 2.19</w:t>
      </w:r>
      <w:r>
        <w:rPr>
          <w:rFonts w:ascii="Times New Roman" w:hAnsi="Times New Roman"/>
          <w:sz w:val="20"/>
        </w:rPr>
        <w:t xml:space="preserve">, if the Administrative Agent determines (which determination shall be conclusive and binding absent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manifest error) that “Term SOFR” cannot be determined pursuant to the definition thereof on any given day, the interest rate on ABR Loans shall be determined by the Administrative Agent without reference to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of the definition of “ABR” until the Administrative Agent revokes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Illegality</w:t>
      </w:r>
      <w:r>
        <w:rPr>
          <w:rFonts w:ascii="Times New Roman" w:hAnsi="Times New Roman"/>
          <w:sz w:val="20"/>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the Borrower (through the Administrative Agent) (an “</w:t>
      </w:r>
      <w:r>
        <w:rPr>
          <w:rFonts w:ascii="Times New Roman" w:hAnsi="Times New Roman"/>
          <w:sz w:val="20"/>
          <w:u w:val="single"/>
        </w:rPr>
        <w:t>Illegality Notice</w:t>
      </w:r>
      <w:r>
        <w:rPr>
          <w:rFonts w:ascii="Times New Roman" w:hAnsi="Times New Roman"/>
          <w:sz w:val="20"/>
        </w:rPr>
        <w:t xml:space="preserve">”), (a) any obligation of the Lenders to make SOFR Loans, and any right of the Borrower to continue SOFR Loans or to convert ABR Loans to SOFR Loans, shall be suspended, and (b) the interest rate on which ABR Loans shall, if necessary to avoid such illegality, be determined by the Administrative Agent without reference to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of the definition of “ABR”,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(the interest rate on which ABR Loans shall, if necessary to avoid such illegality, be determined by the Administrative Agent without reference to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of the definition of “ABR”),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the Borrower shall also pay accrued interest on the amount so prepaid or converted, together with any additional amounts required pursuant to </w:t>
      </w:r>
      <w:r>
        <w:rPr>
          <w:rFonts w:ascii="Times New Roman" w:hAnsi="Times New Roman"/>
          <w:sz w:val="20"/>
          <w:u w:val="single"/>
        </w:rPr>
        <w:t>Section 2.13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xml:space="preserve">. If any Lender requests compensation under </w:t>
      </w:r>
      <w:r>
        <w:rPr>
          <w:rFonts w:ascii="Times New Roman" w:hAnsi="Times New Roman"/>
          <w:sz w:val="20"/>
          <w:u w:val="single"/>
        </w:rPr>
        <w:t>Section 2.14</w:t>
      </w:r>
      <w:r>
        <w:rPr>
          <w:rFonts w:ascii="Times New Roman" w:hAnsi="Times New Roman"/>
          <w:sz w:val="20"/>
        </w:rPr>
        <w:t xml:space="preserve">, requires the Borrower to pay any Indemnified Taxes or additional amounts to any Lender or any Governmental Authority for the account of any Lender pursuant to </w:t>
      </w:r>
      <w:r>
        <w:rPr>
          <w:rFonts w:ascii="Times New Roman" w:hAnsi="Times New Roman"/>
          <w:sz w:val="20"/>
          <w:u w:val="single"/>
        </w:rPr>
        <w:t>Section 2.15</w:t>
      </w:r>
      <w:r>
        <w:rPr>
          <w:rFonts w:ascii="Times New Roman" w:hAnsi="Times New Roman"/>
          <w:sz w:val="20"/>
        </w:rPr>
        <w:t xml:space="preserve"> or gives a notice under </w:t>
      </w:r>
      <w:r>
        <w:rPr>
          <w:rFonts w:ascii="Times New Roman" w:hAnsi="Times New Roman"/>
          <w:sz w:val="20"/>
          <w:u w:val="single"/>
        </w:rPr>
        <w:t>Section 2.17</w:t>
      </w:r>
      <w:r>
        <w:rPr>
          <w:rFonts w:ascii="Times New Roman" w:hAnsi="Times New Roman"/>
          <w:sz w:val="20"/>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the need for such notice under </w:t>
      </w:r>
      <w:r>
        <w:rPr>
          <w:rFonts w:ascii="Times New Roman" w:hAnsi="Times New Roman"/>
          <w:sz w:val="20"/>
          <w:u w:val="single"/>
        </w:rPr>
        <w:t>Section 2.17</w:t>
      </w:r>
      <w:r>
        <w:rPr>
          <w:rFonts w:ascii="Times New Roman" w:hAnsi="Times New Roman"/>
          <w:sz w:val="20"/>
        </w:rPr>
        <w:t xml:space="preserve"> or would eliminate or reduce amounts payable pursuant to </w:t>
      </w:r>
      <w:r>
        <w:rPr>
          <w:rFonts w:ascii="Times New Roman" w:hAnsi="Times New Roman"/>
          <w:sz w:val="20"/>
          <w:u w:val="single"/>
        </w:rPr>
        <w:t>Section 2.14</w:t>
      </w:r>
      <w:r>
        <w:rPr>
          <w:rFonts w:ascii="Times New Roman" w:hAnsi="Times New Roman"/>
          <w:sz w:val="20"/>
        </w:rPr>
        <w:t xml:space="preserve"> or </w:t>
      </w:r>
      <w:r>
        <w:rPr>
          <w:rFonts w:ascii="Times New Roman" w:hAnsi="Times New Roman"/>
          <w:sz w:val="20"/>
          <w:u w:val="single"/>
        </w:rPr>
        <w:t>2.15</w:t>
      </w:r>
      <w:r>
        <w:rPr>
          <w:rFonts w:ascii="Times New Roman" w:hAnsi="Times New Roman"/>
          <w:sz w:val="20"/>
        </w:rPr>
        <w:t xml:space="preserve">,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Lenders</w:t>
      </w:r>
      <w:r>
        <w:rPr>
          <w:rFonts w:ascii="Times New Roman" w:hAnsi="Times New Roman"/>
          <w:sz w:val="20"/>
        </w:rPr>
        <w:t xml:space="preserve">. If any Lender requests compensation under </w:t>
      </w:r>
      <w:r>
        <w:rPr>
          <w:rFonts w:ascii="Times New Roman" w:hAnsi="Times New Roman"/>
          <w:sz w:val="20"/>
          <w:u w:val="single"/>
        </w:rPr>
        <w:t>Section 2.14</w:t>
      </w:r>
      <w:r>
        <w:rPr>
          <w:rFonts w:ascii="Times New Roman" w:hAnsi="Times New Roman"/>
          <w:sz w:val="20"/>
        </w:rPr>
        <w:t xml:space="preserve"> or gives a notice under </w:t>
      </w:r>
      <w:r>
        <w:rPr>
          <w:rFonts w:ascii="Times New Roman" w:hAnsi="Times New Roman"/>
          <w:sz w:val="20"/>
          <w:u w:val="single"/>
        </w:rPr>
        <w:t>Section 2.17</w:t>
      </w:r>
      <w:r>
        <w:rPr>
          <w:rFonts w:ascii="Times New Roman" w:hAnsi="Times New Roman"/>
          <w:sz w:val="20"/>
        </w:rPr>
        <w:t xml:space="preserve">, or if the Borrower is required to pay any Indemnified Taxes or additional amounts to any Lender or any Governmental Authority for the account of any Lender pursuant to </w:t>
      </w:r>
      <w:r>
        <w:rPr>
          <w:rFonts w:ascii="Times New Roman" w:hAnsi="Times New Roman"/>
          <w:sz w:val="20"/>
          <w:u w:val="single"/>
        </w:rPr>
        <w:t>Section 2.15</w:t>
      </w:r>
      <w:r>
        <w:rPr>
          <w:rFonts w:ascii="Times New Roman" w:hAnsi="Times New Roman"/>
          <w:sz w:val="20"/>
        </w:rPr>
        <w:t xml:space="preserve"> and, in each case, such Lender has declined or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unable to designate a different lending office in accordance with </w:t>
      </w:r>
      <w:r>
        <w:rPr>
          <w:rFonts w:ascii="Times New Roman" w:hAnsi="Times New Roman"/>
          <w:sz w:val="20"/>
          <w:u w:val="single"/>
        </w:rPr>
        <w:t>paragraph (a)</w:t>
      </w:r>
      <w:r>
        <w:rPr>
          <w:rFonts w:ascii="Times New Roman" w:hAnsi="Times New Roman"/>
          <w:sz w:val="20"/>
        </w:rPr>
        <w:t xml:space="preserve"> of this Section,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sz w:val="20"/>
          <w:u w:val="single"/>
        </w:rPr>
        <w:t>Section 9.04</w:t>
      </w:r>
      <w:r>
        <w:rPr>
          <w:rFonts w:ascii="Times New Roman" w:hAnsi="Times New Roman"/>
          <w:sz w:val="20"/>
        </w:rPr>
        <w:t xml:space="preserve">), all of its interests, rights (other than its existing rights to payments pursuant to </w:t>
      </w:r>
      <w:r>
        <w:rPr>
          <w:rFonts w:ascii="Times New Roman" w:hAnsi="Times New Roman"/>
          <w:sz w:val="20"/>
          <w:u w:val="single"/>
        </w:rPr>
        <w:t>Section 2.14</w:t>
      </w:r>
      <w:r>
        <w:rPr>
          <w:rFonts w:ascii="Times New Roman" w:hAnsi="Times New Roman"/>
          <w:sz w:val="20"/>
        </w:rPr>
        <w:t xml:space="preserve"> or </w:t>
      </w:r>
      <w:r>
        <w:rPr>
          <w:rFonts w:ascii="Times New Roman" w:hAnsi="Times New Roman"/>
          <w:sz w:val="20"/>
          <w:u w:val="single"/>
        </w:rPr>
        <w:t>Section 2.15</w:t>
      </w:r>
      <w:r>
        <w:rPr>
          <w:rFonts w:ascii="Times New Roman" w:hAnsi="Times New Roman"/>
          <w:sz w:val="20"/>
        </w:rPr>
        <w:t xml:space="preserve">) and obligations under this Agreement and the related Loan Documents to an Eligible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shall have paid to the Administrative Agent the assignment fee (if any) specified in </w:t>
      </w:r>
      <w:r>
        <w:rPr>
          <w:rFonts w:ascii="Times New Roman" w:hAnsi="Times New Roman"/>
          <w:sz w:val="20"/>
          <w:u w:val="single"/>
        </w:rPr>
        <w:t>Section 9.04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hAnsi="Times New Roman"/>
          <w:sz w:val="20"/>
          <w:u w:val="single"/>
        </w:rPr>
        <w:t>Section 2.13</w:t>
      </w:r>
      <w:r>
        <w:rPr>
          <w:rFonts w:ascii="Times New Roman" w:hAnsi="Times New Roman"/>
          <w:sz w:val="20"/>
        </w:rPr>
        <w:t xml:space="preserve">) from the assignee (to the extent of such outstanding principal and accrued interest and fees) or the Borrower (in the case of all other amounts);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any such assignment resulting from a claim for compensation under </w:t>
      </w:r>
      <w:r>
        <w:rPr>
          <w:rFonts w:ascii="Times New Roman" w:hAnsi="Times New Roman"/>
          <w:sz w:val="20"/>
          <w:u w:val="single"/>
        </w:rPr>
        <w:t>Section 2.14</w:t>
      </w:r>
      <w:r>
        <w:rPr>
          <w:rFonts w:ascii="Times New Roman" w:hAnsi="Times New Roman"/>
          <w:sz w:val="20"/>
        </w:rPr>
        <w:t xml:space="preserve"> or payments required to be made pursuant to </w:t>
      </w:r>
      <w:r>
        <w:rPr>
          <w:rFonts w:ascii="Times New Roman" w:hAnsi="Times New Roman"/>
          <w:sz w:val="20"/>
          <w:u w:val="single"/>
        </w:rPr>
        <w:t>Section 2.15</w:t>
      </w:r>
      <w:r>
        <w:rPr>
          <w:rFonts w:ascii="Times New Roman" w:hAnsi="Times New Roman"/>
          <w:sz w:val="20"/>
        </w:rPr>
        <w:t xml:space="preserve">, such assignment will result in a reduction in such compensation or payments thereafter; </w:t>
      </w:r>
    </w:p>
    <w:p>
      <w:pPr>
        <w:pStyle w:val="TextBody"/>
        <w:bidi w:val="0"/>
        <w:spacing w:before="120" w:after="0"/>
        <w:jc w:val="left"/>
        <w:rPr>
          <w:rFonts w:ascii="Times New Roman" w:hAnsi="Times New Roman"/>
          <w:sz w:val="20"/>
        </w:rPr>
      </w:pPr>
      <w:r>
        <w:rPr>
          <w:rFonts w:ascii="Times New Roman" w:hAnsi="Times New Roman"/>
          <w:sz w:val="20"/>
        </w:rPr>
        <w:t xml:space="preserve">(iv) such assignment does not conflict with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any assignment resulting from a Lender becoming a Non-Consenting Lender, the applicable assignee shall have consented to the applicable amendment, waiver or consent.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not be required to make any such assignment or delegation if, prior thereto, as a result of a waiver by such Lender or otherwise, the circumstances entitling the Borrower to require such assignment and delegation cease to apply.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Section to the contrary, the Lender (or its Affiliate) that acts as the Administrative Agent may not be replaced hereunder except in accordance with the terms of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w:t>
      </w:r>
      <w:r>
        <w:rPr>
          <w:rFonts w:ascii="Times New Roman" w:hAnsi="Times New Roman"/>
          <w:sz w:val="20"/>
          <w:u w:val="single"/>
        </w:rPr>
        <w:t>clause</w:t>
      </w:r>
      <w:r>
        <w:rPr>
          <w:rFonts w:ascii="Times New Roman" w:hAnsi="Times New Roman"/>
          <w:sz w:val="20"/>
        </w:rPr>
        <w:t xml:space="preserv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hAnsi="Times New Roman"/>
          <w:sz w:val="20"/>
          <w:u w:val="single"/>
        </w:rPr>
        <w:t>clause</w:t>
      </w:r>
      <w:r>
        <w:rPr>
          <w:rFonts w:ascii="Times New Roman" w:hAnsi="Times New Roman"/>
          <w:sz w:val="20"/>
        </w:rPr>
        <w:t xml:space="preserve">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hAnsi="Times New Roman"/>
          <w:sz w:val="20"/>
          <w:u w:val="single"/>
        </w:rPr>
        <w:t>Section 2.19(d)</w:t>
      </w:r>
      <w:r>
        <w:rPr>
          <w:rFonts w:ascii="Times New Roman" w:hAnsi="Times New Roman"/>
          <w:sz w:val="2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hAnsi="Times New Roman"/>
          <w:sz w:val="20"/>
          <w:u w:val="single"/>
        </w:rPr>
        <w:t>Section 2.19</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sz w:val="20"/>
          <w:u w:val="single"/>
        </w:rPr>
        <w:t>Section 2.19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ABR based upon the then-current Benchmark or such tenor for such Benchmark, as applicable, will not be used in any determination of ABR.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Defaulting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Defaulting Lender Adjustments</w:t>
      </w:r>
      <w:r>
        <w:rPr>
          <w:rFonts w:ascii="Times New Roman" w:hAnsi="Times New Roman"/>
          <w:sz w:val="20"/>
        </w:rPr>
        <w:t xml:space="preserve">. 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 of Required Lenders and </w:t>
      </w:r>
      <w:r>
        <w:rPr>
          <w:rFonts w:ascii="Times New Roman" w:hAnsi="Times New Roman"/>
          <w:sz w:val="20"/>
          <w:u w:val="single"/>
        </w:rPr>
        <w:t>Section 9.02(b)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Article VII</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9.08</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sz w:val="20"/>
        </w:rPr>
        <w:t>third</w:t>
      </w:r>
      <w:r>
        <w:rPr>
          <w:rFonts w:ascii="Times New Roman" w:hAnsi="Times New Roman"/>
          <w:sz w:val="20"/>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hAnsi="Times New Roman"/>
          <w:i/>
          <w:sz w:val="20"/>
        </w:rPr>
        <w:t>fourth</w:t>
      </w:r>
      <w:r>
        <w:rPr>
          <w:rFonts w:ascii="Times New Roman" w:hAnsi="Times New Roman"/>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i/>
          <w:sz w:val="20"/>
        </w:rPr>
        <w:t>fifth</w:t>
      </w:r>
      <w:r>
        <w:rPr>
          <w:rFonts w:ascii="Times New Roman" w:hAnsi="Times New Roman"/>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sz w:val="20"/>
        </w:rPr>
        <w:t>sixth</w:t>
      </w:r>
      <w:r>
        <w:rPr>
          <w:rFonts w:ascii="Times New Roman" w:hAnsi="Times New Roman"/>
          <w:sz w:val="20"/>
        </w:rPr>
        <w:t xml:space="preserve">, to such Defaulting Lender or as otherwise directed by a court of competent jurisdiction; provided that if (x) such payment is a payment of the principal amount of any Loans in respect of which such Defaulting Lender has not fully funded its appropriate share, and (y) such Loans were made at a time when the conditions set forth in </w:t>
      </w:r>
      <w:r>
        <w:rPr>
          <w:rFonts w:ascii="Times New Roman" w:hAnsi="Times New Roman"/>
          <w:sz w:val="20"/>
          <w:u w:val="single"/>
        </w:rPr>
        <w:t>Section 4.02</w:t>
      </w:r>
      <w:r>
        <w:rPr>
          <w:rFonts w:ascii="Times New Roman" w:hAnsi="Times New Roman"/>
          <w:sz w:val="20"/>
        </w:rPr>
        <w:t xml:space="preserve"> were satisfied or waived, such payment shall be applied solely to pay the Loans of all applicable Non-Defaulting Lenders on a pro rata basis prior to being applied to the payment of any Loans of such Defaulting Lender until such time as all Loans are held by the applicable Lenders pro rata in accordance with the applicable Commitments without giving effect to </w:t>
      </w:r>
      <w:r>
        <w:rPr>
          <w:rFonts w:ascii="Times New Roman" w:hAnsi="Times New Roman"/>
          <w:sz w:val="20"/>
          <w:u w:val="single"/>
        </w:rPr>
        <w:t>clause (iv)</w:t>
      </w:r>
      <w:r>
        <w:rPr>
          <w:rFonts w:ascii="Times New Roman" w:hAnsi="Times New Roman"/>
          <w:sz w:val="20"/>
        </w:rPr>
        <w:t xml:space="preserve"> below.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Commitment Fees</w:t>
      </w:r>
      <w:r>
        <w:rPr>
          <w:rFonts w:ascii="Times New Roman" w:hAnsi="Times New Roman"/>
          <w:sz w:val="20"/>
        </w:rPr>
        <w:t xml:space="preserve">. No Defaulting Lender shall be entitled to receive any Commitment Fee for any period during which that Lender is a Defaulting Lender (and the Borrower shall not be required to pay any such fee that otherwise would have been required to have been paid to that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 Commitments,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Letter of Credit Commitment</w:t>
      </w:r>
      <w:r>
        <w:rPr>
          <w:rFonts w:ascii="Times New Roman" w:hAnsi="Times New Roman"/>
          <w:sz w:val="20"/>
        </w:rPr>
        <w:t xml:space="preserve">. Subject to the terms and conditions hereof, on any Business Day during the Revolving Availability Period, any Letter of Credit Issuer may issue (either alone or through one or more branches) Letters of Credit in such aggregate face amounts in Dollars as such Letter of Credit Issuer may approve from time to time in its sole discretion;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(i) on the date of issuance, after giving effect to the issuance of any such Letter of Credit, (A) the Letter of Credit Liability will not exceed the Letter of Credit Sublimit, (B) the aggregate Letter of Credit Liability attributable to Letters of Credit issued by the applicable Letter of Credit Issuer will not exceed its L/C Commitment and (C) the aggregate outstanding principal amount of all Loans and the Letter of Credit Liability will not exceed the aggregate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expiry date of each Letter of Credit shall not be later than the earlier of (A) twenty-four months after the date of issuance without the applicable Letter of Credit Issuer’s consent, in its sole discretion and (B) the date ninety (90) days prior to the Expiration Date, provided, however, that (1) the Borrower may request, and the applicable Letter of Credit Issuer may issue, a Letter of Credit that has extension provisions for an automatic extension for twelve months from the initial expiry date thereof or any future expiry date, so long as such Letter of Credit permits the applicable Letter of Credit Issuer to elect not to extend the Letter of Credit for any such additional period by written notice to the Borrower and beneficiary at least sixty (60) days prior to the relevant expiry date, and (2) the applicable Letter of Credit Issuer may issue one or more Letters of Credit with expiry dates beyond the Expiration Date (whether the initial expiry date or a future expiry date as a result of an automatic extension pursuant to </w:t>
      </w:r>
      <w:r>
        <w:rPr>
          <w:rFonts w:ascii="Times New Roman" w:hAnsi="Times New Roman"/>
          <w:b/>
          <w:i/>
          <w:sz w:val="20"/>
          <w:u w:val="single"/>
        </w:rPr>
        <w:t>clause (1)</w:t>
      </w:r>
      <w:r>
        <w:rPr>
          <w:rFonts w:ascii="Times New Roman" w:hAnsi="Times New Roman"/>
          <w:sz w:val="20"/>
        </w:rPr>
        <w:t xml:space="preserve"> above), so long as the Borrower obtains the applicable Letter of Credit Issuer’s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in its sole discretion. With respect to any Letter of Credit that by its terms expires after the Expiration Date, the Borrower hereby agrees that it shall provide to the Administrative Agent cash collateral in an amount equal to 100% of the then outstanding amount of each such Letter of Credit by the date that is not later than five (5) Business Days before the Expiration Date. If the Borrower has done so, then, subject to the compliance by the Borrower with all of its other obligations hereunder, this Agreement shall terminate on the Expiration Date (including the obligation of any L/C Participant hereunder to purchase a participation interest in amounts due with respect to Letter of Credit Drawings in accordance with </w:t>
      </w:r>
      <w:r>
        <w:rPr>
          <w:rFonts w:ascii="Times New Roman" w:hAnsi="Times New Roman"/>
          <w:sz w:val="20"/>
          <w:u w:val="single"/>
        </w:rPr>
        <w:t>Section 2.21(e)</w:t>
      </w:r>
      <w:r>
        <w:rPr>
          <w:rFonts w:ascii="Times New Roman" w:hAnsi="Times New Roman"/>
          <w:sz w:val="20"/>
        </w:rPr>
        <w:t xml:space="preserve"> hereof), and the Administrative Agent shall, on such date, deliver to the applicable Letter of Credit Issuer the amount of such cash collateral, and, from and after such date, the rights of the Borrower and the relevant Letter of Credit Issuer shall be governed by a reimbursement agreement, a cash collateral pledge agreement with respect to such cash collateral, and such other agreements as the relevant Letter of Credit Issuer may require; and </w:t>
      </w:r>
    </w:p>
    <w:p>
      <w:pPr>
        <w:pStyle w:val="TextBody"/>
        <w:bidi w:val="0"/>
        <w:spacing w:before="120" w:after="0"/>
        <w:jc w:val="left"/>
        <w:rPr>
          <w:rFonts w:ascii="Times New Roman" w:hAnsi="Times New Roman"/>
          <w:sz w:val="20"/>
        </w:rPr>
      </w:pPr>
      <w:r>
        <w:rPr>
          <w:rFonts w:ascii="Times New Roman" w:hAnsi="Times New Roman"/>
          <w:sz w:val="20"/>
        </w:rPr>
        <w:t xml:space="preserve">(iii) no Letter of Credit Issuer shall be under any obligation to issue any Letter of Credit if (A) any order, judgment or decree of any Governmental Authority or arbitrator shall by its terms purport to enjoin or restrain such Letter of Credit Issuer from issuing such Letter of Credit, or any Law applicable to such Letter of Credit Issuer or any request or directive (whether or not having the force of law) from any Governmental Authority with jurisdiction over such Letter of Credit Issuer shall prohibit, or request that such Letter of Credit Issuer refrain from, the issuance of letters of credit generally or such Letter of Credit in particular or shall impose upon such Letter of Credit Issuer with respect to such Letter of Credit any restriction, reserve or capital requirement (for which such Letter of Credit Issuer is not otherwise compensated hereunder) or shall impose upon such Letter of Credit Issuer any unreimbursed loss, cost or expense which such Letter of Credit Issuer in good faith deems material to it and for which such Letter of Credit Issuer is not reimbursed hereunder, (B) the Borrower has not provided the information necessary for such Letter of Credit Issuer to complete the form of Letter of Credit, (C) the issuance of such Letter of Credit would violate applicable Laws, (D) the issuance of such Letter of Credit would violate one or more policies of such Letter of Credit Issuer applicable to letters of credit generally or (E) except as otherwise agreed by such Letter of Credit Issuer, such Letter of Credit is in an initial stated amount less than $100,000.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the end of each calendar month, each Letter of Credit Issuer shall deliver (with a copy to the Administrative Agent) to each applicable L/C Participant a notice describing the aggregate amount of all Letters of Credit issued by it and outstanding at the end of such month. Upon the written request of any L/C Participant from time to time, each respective Letter of Credit Issuer, as applicable, shall deliver any other information reasonably requested by such L/C Participant with respect to each Letter of Credit issued by such Letter of Credit Issuer then outstanding. Notwithstanding anything to the contrary herein, if any Letter of Credit Issuer is the sole Lender with an interest in a Letter of Credit issued by it, such Letter of Credit Issuer shall not be required to make any payment to the Administrative Agent solely for its own benefit that would otherwise be required under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Request for Letter of Credit</w:t>
      </w:r>
      <w:r>
        <w:rPr>
          <w:rFonts w:ascii="Times New Roman" w:hAnsi="Times New Roman"/>
          <w:sz w:val="20"/>
        </w:rPr>
        <w:t>. Each request for a Letter of Credit (a “</w:t>
      </w:r>
      <w:r>
        <w:rPr>
          <w:rFonts w:ascii="Times New Roman" w:hAnsi="Times New Roman"/>
          <w:sz w:val="20"/>
          <w:u w:val="single"/>
        </w:rPr>
        <w:t>Request for</w:t>
      </w:r>
      <w:r>
        <w:rPr>
          <w:rFonts w:ascii="Times New Roman" w:hAnsi="Times New Roman"/>
          <w:sz w:val="20"/>
        </w:rPr>
        <w:t xml:space="preserve"> </w:t>
      </w:r>
      <w:r>
        <w:rPr>
          <w:rFonts w:ascii="Times New Roman" w:hAnsi="Times New Roman"/>
          <w:sz w:val="20"/>
          <w:u w:val="single"/>
        </w:rPr>
        <w:t>Letter of Credit</w:t>
      </w:r>
      <w:r>
        <w:rPr>
          <w:rFonts w:ascii="Times New Roman" w:hAnsi="Times New Roman"/>
          <w:sz w:val="20"/>
        </w:rPr>
        <w:t xml:space="preserve">”) shall be submitted to the Administrative Agent and the applicable Letter of Credit Issuer by the Borrower, substantially in the form attached hereto as </w:t>
      </w:r>
      <w:r>
        <w:rPr>
          <w:rFonts w:ascii="Times New Roman" w:hAnsi="Times New Roman"/>
          <w:sz w:val="20"/>
          <w:u w:val="single"/>
        </w:rPr>
        <w:t>Exhibit G</w:t>
      </w:r>
      <w:r>
        <w:rPr>
          <w:rFonts w:ascii="Times New Roman" w:hAnsi="Times New Roman"/>
          <w:sz w:val="20"/>
        </w:rPr>
        <w:t xml:space="preserve"> or, with respect to any Letter of Credit Issuer other than HSBC, in such other form as may be reasonably acceptable to the applicable Letter of Credit Issuer, with blanks appropriately completed in conformity herewith, on or before 1:00 p.m. (New York City time) at least three (3) Business Days (or such shorter period as the applicable Letter of Credit Issuer may agree in a particular instance in its sole discretion) prior to the requested date of issuance of such Letter of Credit, including a confirmation that such Letter of Credit will be secured (either directly or indirectly) by a first priority, exclusive security interest and Lien (subject to Liens expressly permitted by </w:t>
      </w:r>
      <w:r>
        <w:rPr>
          <w:rFonts w:ascii="Times New Roman" w:hAnsi="Times New Roman"/>
          <w:sz w:val="20"/>
          <w:u w:val="single"/>
        </w:rPr>
        <w:t>Section 6.02</w:t>
      </w:r>
      <w:r>
        <w:rPr>
          <w:rFonts w:ascii="Times New Roman" w:hAnsi="Times New Roman"/>
          <w:sz w:val="20"/>
        </w:rPr>
        <w:t xml:space="preserve">), granted under the Security Documents, in and on the Collateral. No Request for Letter of Credit shall be valid hereunder for any purpose unless it shall have been accompanied or preceded by the information and other documents required to be delivered in accordance with this </w:t>
      </w:r>
      <w:r>
        <w:rPr>
          <w:rFonts w:ascii="Times New Roman" w:hAnsi="Times New Roman"/>
          <w:sz w:val="20"/>
          <w:u w:val="single"/>
        </w:rPr>
        <w:t>Section 2.21(b)</w:t>
      </w:r>
      <w:r>
        <w:rPr>
          <w:rFonts w:ascii="Times New Roman" w:hAnsi="Times New Roman"/>
          <w:sz w:val="20"/>
        </w:rPr>
        <w:t xml:space="preserve">. Each Request for Letter of Credit submitted by the Borrower shall be deemed to constitute a representation and warranty to the applicable Letter of Credit Issuer and Lenders that the conditions specified in </w:t>
      </w:r>
      <w:r>
        <w:rPr>
          <w:rFonts w:ascii="Times New Roman" w:hAnsi="Times New Roman"/>
          <w:sz w:val="20"/>
          <w:u w:val="single"/>
        </w:rPr>
        <w:t>Section 4.02</w:t>
      </w:r>
      <w:r>
        <w:rPr>
          <w:rFonts w:ascii="Times New Roman" w:hAnsi="Times New Roman"/>
          <w:sz w:val="20"/>
        </w:rPr>
        <w:t xml:space="preserve"> have been satisfied on and as of the date of the applicable issuance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Further Information</w:t>
      </w:r>
      <w:r>
        <w:rPr>
          <w:rFonts w:ascii="Times New Roman" w:hAnsi="Times New Roman"/>
          <w:sz w:val="20"/>
        </w:rPr>
        <w:t xml:space="preserve">. Each Request for Letter of Credit shall be accompanied or preceded by: (i) an Application for Letter of Credit and (ii) such documents as are required to satisfy any applicable conditions precedent as provided in </w:t>
      </w:r>
      <w:r>
        <w:rPr>
          <w:rFonts w:ascii="Times New Roman" w:hAnsi="Times New Roman"/>
          <w:sz w:val="20"/>
          <w:u w:val="single"/>
        </w:rPr>
        <w:t>Sections 4.01</w:t>
      </w:r>
      <w:r>
        <w:rPr>
          <w:rFonts w:ascii="Times New Roman" w:hAnsi="Times New Roman"/>
          <w:sz w:val="20"/>
        </w:rPr>
        <w:t xml:space="preserve"> (with respect to the initial advance under this Agreement) and </w:t>
      </w:r>
      <w:r>
        <w:rPr>
          <w:rFonts w:ascii="Times New Roman" w:hAnsi="Times New Roman"/>
          <w:sz w:val="20"/>
          <w:u w:val="single"/>
        </w:rPr>
        <w:t>4.02</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Request for Letter of Credit Irrevocable</w:t>
      </w:r>
      <w:r>
        <w:rPr>
          <w:rFonts w:ascii="Times New Roman" w:hAnsi="Times New Roman"/>
          <w:sz w:val="20"/>
        </w:rPr>
        <w:t xml:space="preserve">. Each Request for Letter of Credit completed and signed by the Borrower in accordance with this </w:t>
      </w:r>
      <w:r>
        <w:rPr>
          <w:rFonts w:ascii="Times New Roman" w:hAnsi="Times New Roman"/>
          <w:sz w:val="20"/>
          <w:u w:val="single"/>
        </w:rPr>
        <w:t>Section 2.21</w:t>
      </w:r>
      <w:r>
        <w:rPr>
          <w:rFonts w:ascii="Times New Roman" w:hAnsi="Times New Roman"/>
          <w:sz w:val="20"/>
        </w:rPr>
        <w:t xml:space="preserve"> shall be irrevocable and binding upon the Borrower, and the Borrower shall indemnify the applicable Letter of Credit Issuer against any loss or expense incurred by the applicable Letter of Credit Issuer, either directly or indirectly, as a result of any failure by the Borrower to complete such Letter of Credit issuance or any failure by the specified beneficiary of such Letter of Credit to accept such Letter of Credit, except to the extent such loss or expense is due to the gross negligence or willful misconduct of such Letter of Credit Issuer, as determined by a court of competent jurisdiction by a final and nonappealable judgment. A certificate of the applicable Letter of Credit Issuer setting forth the amount of any such cost, loss or expense, and the basis for the determination thereof and the calculation thereof, shall be delivered to the Borrower and shall, in the absence of a manifest error, be conclusive and binding.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Letter of Credit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Letter of Credit Issuer irrevocably agrees to grant and hereby grants to each L/C Participant, and, to induce each Letter of Credit Issuer to issue Letters of Credit hereunder, each L/C Participant irrevocably agrees to accept and purchase and hereby accepts and purchases from each Letter of Credit Issuer, on the terms and conditions hereinafter stated, for such L/C Participant’s own account and risk an undivided interest equal to such L/C Participant’s Applicable Percentage in each Letter of Credit Issuer’s obligations and rights under and in respect of each Letter of Credit issued by it hereunder and the amount of each draft paid by such Letter of Credit Issuer thereunder. Each L/C Participant unconditionally and irrevocably agrees with each Letter of Credit Issuer that, if a draft is paid under any Letter of Credit issued by such Letter of Credit Issuer for which such Letter of Credit Issuer is not reimbursed in full by the Borrower through a Loan or otherwise in accordance with the terms of this Agreement, such L/C Participant shall pay to the Administrative Agent, for the benefit of the Lenders, upon demand at the Administrative Agent’s address for notices specified herein an amount equal to such L/C Participant’s Applicable Percentage of the amount of such draft, or any part thereof, which is not so reimbursed.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becoming aware of any amount required to be paid by any L/C Participant to any Letter of Credit Issuer pursuant to </w:t>
      </w:r>
      <w:r>
        <w:rPr>
          <w:rFonts w:ascii="Times New Roman" w:hAnsi="Times New Roman"/>
          <w:sz w:val="20"/>
          <w:u w:val="single"/>
        </w:rPr>
        <w:t>Section 2.21(e)(i)</w:t>
      </w:r>
      <w:r>
        <w:rPr>
          <w:rFonts w:ascii="Times New Roman" w:hAnsi="Times New Roman"/>
          <w:sz w:val="20"/>
        </w:rPr>
        <w:t xml:space="preserve"> in respect of any unreimbursed portion of any payment made by such Letter of Credit Issuer under any Letter of Credit issued by it, such Letter of Credit Issuer shall notify the Administrative Agent of such unreimbursed amount and the Administrative Agent shall notify each L/C Participant (with a copy to the applicable Letter of Credit Issuer) of the amount and due date of such required payment and such L/C Participant shall pay to the Administrative Agent (which, in turn shall pay such Letter of Credit Issuer) the amount specified on the applicable due date. If any such amount is paid by L/C Participant to such Letter of Credit Issuer after the date such payment is due from such L/C Participant, such L/C Participant shall pay to the Administrative Agent, which in turn shall pay such Letter of Credit Issuer on demand, in addition to such amount, the product of (i) such amount, </w:t>
      </w:r>
      <w:r>
        <w:rPr>
          <w:rFonts w:ascii="Times New Roman" w:hAnsi="Times New Roman"/>
          <w:sz w:val="20"/>
          <w:u w:val="single"/>
        </w:rPr>
        <w:t>times</w:t>
      </w:r>
      <w:r>
        <w:rPr>
          <w:rFonts w:ascii="Times New Roman" w:hAnsi="Times New Roman"/>
          <w:sz w:val="20"/>
        </w:rPr>
        <w:t xml:space="preserve"> (ii) the Base Rate as determined by the Administrative Agent during the period from and including the date such payment is due to the date on which such payment is immediately available to such Letter of Credit Issuer, </w:t>
      </w:r>
      <w:r>
        <w:rPr>
          <w:rFonts w:ascii="Times New Roman" w:hAnsi="Times New Roman"/>
          <w:sz w:val="20"/>
          <w:u w:val="single"/>
        </w:rPr>
        <w:t>times</w:t>
      </w:r>
      <w:r>
        <w:rPr>
          <w:rFonts w:ascii="Times New Roman" w:hAnsi="Times New Roman"/>
          <w:sz w:val="20"/>
        </w:rPr>
        <w:t xml:space="preserve"> (iii) a fraction the numerator of which is the number of days that elapse during such period and the denominator of which is 360, plus any administrative, processing or similar fees customarily charged by such Letter of Credit Issuer in connection with the foregoing. A certificate of such Letter of Credit Issuer with respect to any amounts owing under this Section shall be conclusive in the absence of manifest error. With respect to payment to such Letter of Credit Issuer of the unreimbursed amounts described in this Section, if the L/C Participants receive notice that any such payment is due (A) prior to 1:00 p.m. (New York City time) on any Business Day, such payment shall be due that Business Day, and (B) after 1:00 p.m. (New York City time) on any Business Day, such payment shall be due on the following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Whenever, at any time after any Letter of Credit Issuer has made payment under any Letter of Credit issued by it and has received from any L/C Participant its Applicable Percentage of such payment in accordance with this Section, such Letter of Credit Issuer receives any payment related to such Letter of Credit (whether directly from the Administrative Agent or otherwise), or any payment of interest on account thereof, such Letter of Credit Issuer will distribute to such L/C Participant its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thereof; </w:t>
      </w:r>
      <w:r>
        <w:rPr>
          <w:rFonts w:ascii="Times New Roman" w:hAnsi="Times New Roman"/>
          <w:sz w:val="20"/>
          <w:u w:val="single"/>
        </w:rPr>
        <w:t>provided</w:t>
      </w:r>
      <w:r>
        <w:rPr>
          <w:rFonts w:ascii="Times New Roman" w:hAnsi="Times New Roman"/>
          <w:sz w:val="20"/>
        </w:rPr>
        <w:t xml:space="preserve">, that in the event that any such payment received by such Letter of Credit Issuer shall be required to be returned by such Letter of Credit Issuer, such L/C Participant shall return to the Administrative Agent, which shall in turn pay to such Letter of Credit Issuer, the portion thereof previously distributed by such Letter of Credit Issuer to it. </w:t>
      </w:r>
    </w:p>
    <w:p>
      <w:pPr>
        <w:pStyle w:val="TextBody"/>
        <w:bidi w:val="0"/>
        <w:spacing w:before="120" w:after="0"/>
        <w:jc w:val="left"/>
        <w:rPr>
          <w:rFonts w:ascii="Times New Roman" w:hAnsi="Times New Roman"/>
          <w:sz w:val="20"/>
        </w:rPr>
      </w:pPr>
      <w:r>
        <w:rPr>
          <w:rFonts w:ascii="Times New Roman" w:hAnsi="Times New Roman"/>
          <w:sz w:val="20"/>
        </w:rPr>
        <w:t xml:space="preserve">(iv) Each L/C Participant’s obligation to make the Loans and to purchase participating interests pursuant to this </w:t>
      </w:r>
      <w:r>
        <w:rPr>
          <w:rFonts w:ascii="Times New Roman" w:hAnsi="Times New Roman"/>
          <w:sz w:val="20"/>
          <w:u w:val="single"/>
        </w:rPr>
        <w:t>Section 2.21(e)</w:t>
      </w:r>
      <w:r>
        <w:rPr>
          <w:rFonts w:ascii="Times New Roman" w:hAnsi="Times New Roman"/>
          <w:sz w:val="20"/>
        </w:rPr>
        <w:t xml:space="preserve"> or </w:t>
      </w:r>
      <w:r>
        <w:rPr>
          <w:rFonts w:ascii="Times New Roman" w:hAnsi="Times New Roman"/>
          <w:sz w:val="20"/>
          <w:u w:val="single"/>
        </w:rPr>
        <w:t>Section 2.21(f)</w:t>
      </w:r>
      <w:r>
        <w:rPr>
          <w:rFonts w:ascii="Times New Roman" w:hAnsi="Times New Roman"/>
          <w:sz w:val="20"/>
        </w:rPr>
        <w:t xml:space="preserve">, as applicable, shall be absolute and unconditional and shall not be affected by any circumstance, including (i) any setoff, counterclaim, recoupment, defense or other right that such Lender or the Borrower may have against the applicable Letter of Credit Issuer, the Borrower or any other Person for any reason whatsoever, (ii) the occurrence or continuance of a Default or an Event of Default or the failure to satisfy any of the other conditions specified in </w:t>
      </w:r>
      <w:r>
        <w:rPr>
          <w:rFonts w:ascii="Times New Roman" w:hAnsi="Times New Roman"/>
          <w:sz w:val="20"/>
          <w:u w:val="single"/>
        </w:rPr>
        <w:t>Article IV</w:t>
      </w:r>
      <w:r>
        <w:rPr>
          <w:rFonts w:ascii="Times New Roman" w:hAnsi="Times New Roman"/>
          <w:sz w:val="20"/>
        </w:rPr>
        <w:t xml:space="preserve">, (iii) any adverse change in the condition (financial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of the Borrower, (iv) any breach of this Agreement or any other Loan Document by the Borrower, any other Credit Party or any other Revolving Credit Lender, (v) any adverse change in the relevant exchange rates or in the relevant currency markets generally or (vi) any other circumstance, happening or event whatsoever, whether or not similar to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Reimbursement</w:t>
      </w:r>
      <w:r>
        <w:rPr>
          <w:rFonts w:ascii="Times New Roman" w:hAnsi="Times New Roman"/>
          <w:sz w:val="20"/>
        </w:rPr>
        <w:t xml:space="preserve">. In the event of any drawing under any Letter of Credit, the Borrower agrees to reimburse (either with the proceeds of a Loan as provided for in this Section or with funds from other sources) the applicable Letter of Credit Issuer by paying to the Administrative Agent the amount of such drawing on the Business Day that the Borrower receives notice of such drawing, for the amount of (x) such draft so paid and (y) any amounts referred to in </w:t>
      </w:r>
      <w:r>
        <w:rPr>
          <w:rFonts w:ascii="Times New Roman" w:hAnsi="Times New Roman"/>
          <w:sz w:val="20"/>
          <w:u w:val="single"/>
        </w:rPr>
        <w:t>Section 2.22</w:t>
      </w:r>
      <w:r>
        <w:rPr>
          <w:rFonts w:ascii="Times New Roman" w:hAnsi="Times New Roman"/>
          <w:sz w:val="20"/>
        </w:rPr>
        <w:t xml:space="preserve"> incurred by such Letter of Credit Issuer in connection with such payment. Unless the Borrower shall immediately notify the Administrative Agent and such Letter of Credit Issuer that the Borrower intends to reimburse such Letter of Credit Issuer for such drawing from other sources or funds, the Borrower shall be deemed to have timely given a Borrowing Request to the Administrative Agent requesting that the Lenders make a Loan on the applicable repayment date in the amount of (i) such draft so paid and (ii) any amounts referred to in </w:t>
      </w:r>
      <w:r>
        <w:rPr>
          <w:rFonts w:ascii="Times New Roman" w:hAnsi="Times New Roman"/>
          <w:sz w:val="20"/>
          <w:u w:val="single"/>
        </w:rPr>
        <w:t>Section 2.22</w:t>
      </w:r>
      <w:r>
        <w:rPr>
          <w:rFonts w:ascii="Times New Roman" w:hAnsi="Times New Roman"/>
          <w:sz w:val="20"/>
        </w:rPr>
        <w:t xml:space="preserve"> incurred by such Letter of Credit Issuer in connection with such payment, and, subject always to the limits in </w:t>
      </w:r>
      <w:r>
        <w:rPr>
          <w:rFonts w:ascii="Times New Roman" w:hAnsi="Times New Roman"/>
          <w:sz w:val="20"/>
          <w:u w:val="single"/>
        </w:rPr>
        <w:t>Section 2.01(a)</w:t>
      </w:r>
      <w:r>
        <w:rPr>
          <w:rFonts w:ascii="Times New Roman" w:hAnsi="Times New Roman"/>
          <w:sz w:val="20"/>
        </w:rPr>
        <w:t xml:space="preserve"> and the condition precedent in </w:t>
      </w:r>
      <w:r>
        <w:rPr>
          <w:rFonts w:ascii="Times New Roman" w:hAnsi="Times New Roman"/>
          <w:sz w:val="20"/>
          <w:u w:val="single"/>
        </w:rPr>
        <w:t>Section 4.02(c)</w:t>
      </w:r>
      <w:r>
        <w:rPr>
          <w:rFonts w:ascii="Times New Roman" w:hAnsi="Times New Roman"/>
          <w:sz w:val="20"/>
        </w:rPr>
        <w:t xml:space="preserve">, the Lenders shall make a Loan in such amount, the proceeds of which shall be applied by the Administrative Agent to reimburse such Letter of Credit Issuer for the amount of the related drawing and such fees and expenses. Each Lender acknowledges and agrees that its obligation to fund a Loan in accordance with this Section to reimburse such Letter of Credit Issuer for any draft paid under a Letter of Credit issued by it is absolute and unconditional and shall not be affected by any circumstance whatsoever. If the Borrower has elected to pay the amount of such drawing with funds from other sources and shall fail to reimburse such Letter of Credit Issuer as provided above, or if the amount of such drawing is not fully refunded through an ABR Loan as provided above, the unreimbursed amount of such drawing shall bear interest at the rate which would be payable on any outstanding ABR Loans which were then overdue from the date such amounts become payable (whether at stated maturity, by acceleration or otherwise) until paid in full. The Borrower shall, upon demand from the Administrative Agent, any Letter of Credit Issuer or L/C Participant, pay to the Administrative Agent, on behalf of the applicable Letter of Credit Issuer or L/C Participants, the amount of (i) any loss or cost or increased cost incurred by the Administrative Agent, such Letter of Credit Issuer or L/C Participant and (ii) any reduction in any amount payable to or in the effective return on the capital to the Administrative Agent, such Letter of Credit Issuer or L/C Participant. A certificate of such Letter of Credit Issuer setting forth in reasonable detail the basis for determining such additional amount or amounts necessary to compensate such Letter of Credit Issuer shall be conclusively presumed to be correct save for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Obligations Absolute</w:t>
      </w:r>
      <w:r>
        <w:rPr>
          <w:rFonts w:ascii="Times New Roman" w:hAnsi="Times New Roman"/>
          <w:sz w:val="20"/>
        </w:rPr>
        <w:t xml:space="preserve">. The obligation of the Borrower to reimburse the applicable Letter of Credit Issuer for each drawing under each Letter of Credit and to repay each Letter of Credit Disbursement by paying the Administrative Agent shall be absolute, unconditional and irrevocable, and shall be paid strictly in accordance with the terms of this Agreement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such Letter of Credit or any term or provision thereof, any Loan Document, or any other agreement or instrument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existence of any claim, counterclaim, setoff, defense or other right that the Borrower may have at any time against any beneficiary or any transferee of such Letter of Credit (or any Person for whom any such beneficiary or any such transferee may be acting), the applicable Letter of Credit Issuer or any other Person, whether in connection with this Agreement, the transactions contemplated hereby or by such Letter of Credit or any agreement or instrument relating thereto, or any unrelated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(iv) any payment by the applicable Letter of Credit Issuer under such Letter of Credit against presentation of a draft or certificate that does not comply strictly with the terms of such Letter of Credit; or any payment made by the applicable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arising in connection with any proceeding under any Debtor Relief Law; </w:t>
      </w:r>
    </w:p>
    <w:p>
      <w:pPr>
        <w:pStyle w:val="TextBody"/>
        <w:bidi w:val="0"/>
        <w:spacing w:before="120" w:after="0"/>
        <w:jc w:val="left"/>
        <w:rPr>
          <w:rFonts w:ascii="Times New Roman" w:hAnsi="Times New Roman"/>
          <w:sz w:val="20"/>
        </w:rPr>
      </w:pPr>
      <w:r>
        <w:rPr>
          <w:rFonts w:ascii="Times New Roman" w:hAnsi="Times New Roman"/>
          <w:sz w:val="20"/>
        </w:rPr>
        <w:t xml:space="preserve">(v) any exchange, release or nonperfection of any collateral, or any release or amendment or waiver of or consent to departure from any guarantee, for all or any of the Obligations of the Borrower in respect of such Letter of Credit; or </w:t>
      </w:r>
    </w:p>
    <w:p>
      <w:pPr>
        <w:pStyle w:val="TextBody"/>
        <w:bidi w:val="0"/>
        <w:spacing w:before="120" w:after="0"/>
        <w:jc w:val="left"/>
        <w:rPr>
          <w:rFonts w:ascii="Times New Roman" w:hAnsi="Times New Roman"/>
          <w:sz w:val="20"/>
        </w:rPr>
      </w:pPr>
      <w:r>
        <w:rPr>
          <w:rFonts w:ascii="Times New Roman" w:hAnsi="Times New Roman"/>
          <w:sz w:val="20"/>
        </w:rPr>
        <w:t xml:space="preserve">(vi) any other circumstance or happening whatsoever, whether or not similar to any of the foregoing, including any other circumstance that might otherwise constitute a defense available to, or a discharge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Applicability of ISP98</w:t>
      </w:r>
      <w:r>
        <w:rPr>
          <w:rFonts w:ascii="Times New Roman" w:hAnsi="Times New Roman"/>
          <w:sz w:val="20"/>
        </w:rPr>
        <w:t xml:space="preserve">. Unless otherwise expressly agreed by the applicable Letter of Credit Issuer and the Borrower when a Letter of Credit is issued, the rules of the “International Standby Practices 1998” published by the Institute of International Banking Law &amp; Practice (or such later version thereof as may be in effect at the time of issuance) shall apply to each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Borrower Inspection</w:t>
      </w:r>
      <w:r>
        <w:rPr>
          <w:rFonts w:ascii="Times New Roman" w:hAnsi="Times New Roman"/>
          <w:sz w:val="20"/>
        </w:rPr>
        <w:t xml:space="preserve">. The Borrower shall have the right to examine any Letter of Credit (or amendment thereto) prior to the issuance thereof and shall promptly notify the applicable Letter of Credit Issuer of any claim of noncompliance with the Borrower’s instructions, irregularity or any other comments thereto. The Borrower shall be conclusively deemed to have waived any such claim against the applicable Letter of Credit Issuer and its correspondents unless such notice is given as aforesaid.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Role of Letter of Credit Issuer</w:t>
      </w:r>
      <w:r>
        <w:rPr>
          <w:rFonts w:ascii="Times New Roman" w:hAnsi="Times New Roman"/>
          <w:sz w:val="20"/>
        </w:rPr>
        <w:t xml:space="preserve">. The Borrower agrees that, in paying any drawing under a Letter of Credit, the applicable Letter of Credit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The Borrower hereby assumes all risks of the acts or omissions of any beneficiary or transferee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its use of any Letter of Credit;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assumption is not intended to, and shall not, preclude the Borrower from pursuing such rights and remedies as it may have against the beneficiary or transferee at law or under any other agreement. In furtherance and not in limitation of the foregoing, the applicable Letter of Credit Issuer may accept documents that appear on their face to be in order, without responsibility for further investigation, and the applicable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Acceleration of Undrawn Amounts</w:t>
      </w:r>
      <w:r>
        <w:rPr>
          <w:rFonts w:ascii="Times New Roman" w:hAnsi="Times New Roman"/>
          <w:sz w:val="20"/>
        </w:rPr>
        <w:t xml:space="preserve">. Should the applicable Letter of Credit Issuer demand payment of the Obligations hereunder prior to or upon the occurrence of the Expiration Date pursuant to </w:t>
      </w:r>
      <w:r>
        <w:rPr>
          <w:rFonts w:ascii="Times New Roman" w:hAnsi="Times New Roman"/>
          <w:sz w:val="20"/>
          <w:u w:val="single"/>
        </w:rPr>
        <w:t>Article VII</w:t>
      </w:r>
      <w:r>
        <w:rPr>
          <w:rFonts w:ascii="Times New Roman" w:hAnsi="Times New Roman"/>
          <w:sz w:val="20"/>
        </w:rPr>
        <w:t xml:space="preserve"> hereof, the applicable Letter of Credit Issuer, by written notice to the Borrower, may declare the outstanding Letter of Credit Liability to be forthwith due and payable, without presentment, demand, protest or any other notice of any kind, all of which are hereby waived, and demand that the Borrower cash collateralize, as security for its Obligations, an amount equal to 100% of the aggregate undrawn stated amount of all Letters of Credit issued for the account of the Borrower and outstanding at the time such notice is given plus an amount equal to the Applicable Rate calculated with respect to such amount for a period of one year. Unless otherwise required by Law, upon the full and final payment of the outstanding Obligations and expiry or termination of all Letters of Credit, the Administrative Agent shall return to the Borrower any amounts remaining in the applicable cash collateral account.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Notices by Letter of Credit Issuers Other than the Administrative Agent</w:t>
      </w:r>
      <w:r>
        <w:rPr>
          <w:rFonts w:ascii="Times New Roman" w:hAnsi="Times New Roman"/>
          <w:sz w:val="20"/>
        </w:rPr>
        <w:t xml:space="preserve">. Any Letter of Credit Issuer that is not the Administrative Agent shall promptly notify the Administrative Agent of the issuance of any Letter of Credit and provide a copy of the issued Letter of Credit to the Administrative Agent (as well as any renewals, amendments or cancellations).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Letter of Credit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pay to the Administrative Agent, for the benefit of the Lenders, in consideration of the issuance of each Letter of Credit for the account of the Borrower, a non-refundable fee equal to the Applicable Rate on the daily amount available to be drawn under such Letter of Credit. Such fee shall be: (i) due and payable in quarterly installments in arrears on the first Business Day of each calendar quarter for the preceding calendar quarter, commencing on the first such date to occur after the issuance of any Letter of Credit, on the Expiration Date, and thereafter (if applicable) on demand; (ii) computed quarterly in arrears; and (iii) payable in Dollars. For purposes of computing the daily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Notwithstanding anything to the contrary contained herein, upon the request of the applicable Letter of Credit Issuer, while any Event of Default exists, such fee shall accrue at the Default Rate.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pay the applicable Letter of Credit Issuer for its benefit an issuance fee of $200 per requested issuance or amendment of a Letter of Credit, such amount to be increased at the reasonable discretion of the applicable Letter of Credit Issuer to offset any out-of-pocket expenses actually incurred by the applicable Letter of Credit Issuer in connection with any non-standard Letters of Credit or Letters of Credit issued by a branch office outside the United States and that are customarily charged by the applicable Letter of Credit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represents and warrants to the Administrative Agent and the Lenders that: </w:t>
      </w:r>
    </w:p>
    <w:p>
      <w:pPr>
        <w:pStyle w:val="TextBody"/>
        <w:bidi w:val="0"/>
        <w:spacing w:before="12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Existence, Qualification and Power</w:t>
      </w:r>
      <w:r>
        <w:rPr>
          <w:rFonts w:ascii="Times New Roman" w:hAnsi="Times New Roman"/>
          <w:sz w:val="20"/>
        </w:rPr>
        <w:t xml:space="preserve">. The Borrower and each Subsidiary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hAnsi="Times New Roman"/>
          <w:sz w:val="20"/>
          <w:u w:val="single"/>
        </w:rPr>
        <w:t>clause (a)</w:t>
      </w:r>
      <w:r>
        <w:rPr>
          <w:rFonts w:ascii="Times New Roman" w:hAnsi="Times New Roman"/>
          <w:sz w:val="20"/>
        </w:rPr>
        <w:t xml:space="preserve"> (other than with respect to the Borrower), </w:t>
      </w:r>
      <w:r>
        <w:rPr>
          <w:rFonts w:ascii="Times New Roman" w:hAnsi="Times New Roman"/>
          <w:sz w:val="20"/>
          <w:u w:val="single"/>
        </w:rPr>
        <w:t>(b)(i)</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to the extent that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No Contravention</w:t>
      </w:r>
      <w:r>
        <w:rPr>
          <w:rFonts w:ascii="Times New Roman" w:hAnsi="Times New Roman"/>
          <w:sz w:val="20"/>
        </w:rPr>
        <w:t xml:space="preserve">. The execution, delivery and performance by the Borrower of each Loan Document to which it is party have been duly authorized by all necessary corporate or other organizational action, and do not and will not (a) contravene the terms of its Organizational Documents, (b) conflict with or result in any breach or contravention of, or the creation of any Lien under, or require any payment to be made under (i) any Contractual Obligation to which the Borrower is a party or affecting the Borrower or the properties of the Borrower or any Subsidiary or (ii) any order, injunction, writ or decree of any Governmental Authority or any arbitral award to which the Borrower or any Subsidiary or its property is subject or (c) violate any Applicable Law, except, in the case of the preceding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any conflict, breach, contravention, creation or violation, in any case, that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Authorization; Other Consents</w:t>
      </w:r>
      <w:r>
        <w:rPr>
          <w:rFonts w:ascii="Times New Roman" w:hAnsi="Times New Roman"/>
          <w:sz w:val="20"/>
        </w:rPr>
        <w:t xml:space="preserve">. No approval, consent, exemption, authorization, or other action by, or notice to, or filing with, any Governmental Authority or any other Person is necessary or required in connection with the execution, delivery or performance by, or enforcement against, the Borrower of this Agreement or any other Loan Document, except for such approvals, consents, exemptions, authorizations, actions or notices that (a) have been duly obtained, taken or made and in full force and effect, (b) with respect to the Collateral, to be made or otherwise delivered to the Administrative Agent for filing and/or recordation.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Execution and Delivery; Binding Effect</w:t>
      </w:r>
      <w:r>
        <w:rPr>
          <w:rFonts w:ascii="Times New Roman" w:hAnsi="Times New Roman"/>
          <w:sz w:val="20"/>
        </w:rPr>
        <w:t xml:space="preserve">.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Financial Statements; No 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Financial Statements</w:t>
      </w:r>
      <w:r>
        <w:rPr>
          <w:rFonts w:ascii="Times New Roman" w:hAnsi="Times New Roman"/>
          <w:sz w:val="20"/>
        </w:rPr>
        <w:t xml:space="preserve">. The Audited Financial Statements, as delivered pursuant to </w:t>
      </w:r>
      <w:r>
        <w:rPr>
          <w:rFonts w:ascii="Times New Roman" w:hAnsi="Times New Roman"/>
          <w:sz w:val="20"/>
          <w:u w:val="single"/>
        </w:rPr>
        <w:t>Section 5.01(a)</w:t>
      </w:r>
      <w:r>
        <w:rPr>
          <w:rFonts w:ascii="Times New Roman" w:hAnsi="Times New Roman"/>
          <w:sz w:val="20"/>
        </w:rPr>
        <w:t xml:space="preserve"> from time to time were prepared in accordance with GAAP consistently applied throughout the period covered thereby, except as otherwise expressly noted therein, and fairly present in all material respects the financial condition of the Borrower and its Subsidiaries as of the date thereof and their results of operations and cash flows for the period covered thereby in accordance with GAAP consistently applied throughout the period covered thereby, except as otherwise expressly noted therein. The unaudited consolidated balance sheet of the Borrower and its Subsidiaries and the related consolidated statements of income or operations, shareholders’ equity and cash flows for the fiscal quarter ended on December 31, 2025 were prepared in accordance with GAAP consistently applied throughout the period covered thereby, except as otherwise expressly noted therein, and fairly present in all material respects the financial condition of the Borrower and its Subsidiaries as of the date thereof and their results of operations and cash flows for the period covered thereby, subject to the absence of notes and to normal year-end audit adjustments.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Material Adverse Change</w:t>
      </w:r>
      <w:r>
        <w:rPr>
          <w:rFonts w:ascii="Times New Roman" w:hAnsi="Times New Roman"/>
          <w:sz w:val="20"/>
        </w:rPr>
        <w:t xml:space="preserve">. Since the date of the most recent Audited Financial Statements, there has been no event or circumstance that, either individually or in the aggregate,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w:t>
      </w:r>
      <w:r>
        <w:rPr>
          <w:rFonts w:ascii="Times New Roman" w:hAnsi="Times New Roman"/>
          <w:sz w:val="20"/>
        </w:rPr>
        <w:t xml:space="preserve">. There are no actions, suits, proceedings, claims, disputes or investigations pending or, to the knowledge of the Borrower, threatened in writing, at Law, in equity, in arbitration or before any Governmental Authority, by or against the Borrower or any Subsidiary or against any of their properties or revenues that (a) except as specifically disclosed in </w:t>
      </w:r>
      <w:r>
        <w:rPr>
          <w:rFonts w:ascii="Times New Roman" w:hAnsi="Times New Roman"/>
          <w:sz w:val="20"/>
          <w:u w:val="single"/>
        </w:rPr>
        <w:t>Schedule 3.06</w:t>
      </w:r>
      <w:r>
        <w:rPr>
          <w:rFonts w:ascii="Times New Roman" w:hAnsi="Times New Roman"/>
          <w:sz w:val="20"/>
        </w:rPr>
        <w:t xml:space="preserve">, either individually or in the aggregate could reasonably be expected to have a Material Adverse Effect or (b) purport to affect or pertain to this Agreement or any other Loan Document or any of the transactions contemplated hereby. There has been no change in the status, or financial effect on the Borrower or any Subsidiary, of the matters disclosed in </w:t>
      </w:r>
      <w:r>
        <w:rPr>
          <w:rFonts w:ascii="Times New Roman" w:hAnsi="Times New Roman"/>
          <w:sz w:val="20"/>
          <w:u w:val="single"/>
        </w:rPr>
        <w:t>Schedule 3.06</w:t>
      </w:r>
      <w:r>
        <w:rPr>
          <w:rFonts w:ascii="Times New Roman" w:hAnsi="Times New Roman"/>
          <w:sz w:val="20"/>
        </w:rPr>
        <w:t xml:space="preserve"> that, either individually or in the aggregate, has increased or could reasonably be expected to increase the likelihood that such matter(s) could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No Material Adverse Effect; No Default</w:t>
      </w:r>
      <w:r>
        <w:rPr>
          <w:rFonts w:ascii="Times New Roman" w:hAnsi="Times New Roman"/>
          <w:sz w:val="20"/>
        </w:rPr>
        <w:t xml:space="preserve">. Neither the Borrower nor any Subsidiary thereof is in default under or with respect to any Contractual Obligation that, either individually or in the aggregate, could reasonably be expected to have a Material Adverse Effect. No Default has occurred and is continuing or would result from the consummation of the transactions contemplated by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Ownership of Properties</w:t>
      </w:r>
      <w:r>
        <w:rPr>
          <w:rFonts w:ascii="Times New Roman" w:hAnsi="Times New Roman"/>
          <w:sz w:val="20"/>
        </w:rPr>
        <w:t xml:space="preserve">. Each of the Borrower and its Subsidiaries has good record and marketable title in fee simple to, or valid leasehold interests in, all real property necessary or used in the ordinary conduct of its business, except for such defects in title that, either individually or in the aggregate, could not reasonably be expected to have a Material Adverse Effect. All such property is free and clear of Liens, other than Liens expressly permitted by </w:t>
      </w:r>
      <w:r>
        <w:rPr>
          <w:rFonts w:ascii="Times New Roman" w:hAnsi="Times New Roman"/>
          <w:sz w:val="20"/>
          <w:u w:val="single"/>
        </w:rPr>
        <w:t>Section 6.02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Intellectual Property</w:t>
      </w:r>
      <w:r>
        <w:rPr>
          <w:rFonts w:ascii="Times New Roman" w:hAnsi="Times New Roman"/>
          <w:sz w:val="20"/>
        </w:rPr>
        <w:t xml:space="preserve">. Each of the Borrower and its Subsidiaries owns, licenses or possesses the right to use all of the trademarks, service marks, trade names, copyrights, patents, and other Intellectual Property Rights that are reasonably necessary for the operation of their respective businesses, as currently conducted, and the use thereof by the Borrower and its Subsidiaries does not infringe or otherwise violate the rights of any other Person, except to the extent that such failure to own, license or possess, or such infringement or violation, either individually or in the aggregate, could not reasonably be expected to have a Material Adverse Effect. To the knowledge of the Borrower, the conduct of the business of the Borrower or any Subsidiary as currently conducted does not infringe upon or violate any rights held by any other Person, except to the extent that such infringement or violation, either individually or in the aggregate, could not reasonably be expected to have a Material Adverse Effect. No claim or litigation regarding any of the foregoing is pending or, to the knowledge of the Borrower, threatened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Taxes</w:t>
      </w:r>
      <w:r>
        <w:rPr>
          <w:rFonts w:ascii="Times New Roman" w:hAnsi="Times New Roman"/>
          <w:sz w:val="20"/>
        </w:rPr>
        <w:t xml:space="preserve">. The Borrower and its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Disclosure</w:t>
      </w:r>
      <w:r>
        <w:rPr>
          <w:rFonts w:ascii="Times New Roman" w:hAnsi="Times New Roman"/>
          <w:sz w:val="20"/>
        </w:rPr>
        <w:t xml:space="preserve">. The Borrower has disclosed to the Administrative Agent and the Lenders all agreements, instruments and corporate or other restrictions to which the Borrower or any of its Subsidiaries is subject, and all other matters known to it, that, either individually or in the aggregate, could reasonably be expected to have a Material Adverse Effect. The reports, financial statements, certificates and other written information (other than projected or pro forma financial information and information of a general economic or industry nature) furnished by or on behalf of the Borrower to any Agent or any Lender in connection with the transactions contemplated hereby and the negotiation of this Agreement or delivered hereunder or under any other Loan Document (as modified or supplemented by other information so furnished), taken as a whole, do not contain any material misstatement of fact or omit to state any material fact necessary to make the statements therein (when taken as a whole),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with respect to projected or pro forma financial information, the Borrower represents only that such information was prepared in good faith based upon assumptions believed to be reasonable at the time of preparation and delivery (it being understood that such projected information may vary from actual results and that such variances may be material). As of the Closing Date, the information included in the Beneficial Ownership Certification delivered pursuant to </w:t>
      </w:r>
      <w:r>
        <w:rPr>
          <w:rFonts w:ascii="Times New Roman" w:hAnsi="Times New Roman"/>
          <w:sz w:val="20"/>
          <w:u w:val="single"/>
        </w:rPr>
        <w:t>Section 4.01(d)</w:t>
      </w:r>
      <w:r>
        <w:rPr>
          <w:rFonts w:ascii="Times New Roman" w:hAnsi="Times New Roman"/>
          <w:sz w:val="20"/>
        </w:rPr>
        <w:t xml:space="preserve"> is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Compliance with Laws</w:t>
      </w:r>
      <w:r>
        <w:rPr>
          <w:rFonts w:ascii="Times New Roman" w:hAnsi="Times New Roman"/>
          <w:sz w:val="20"/>
        </w:rPr>
        <w:t xml:space="preserve">. Each of the Borrower and its Subsidiaries is in compliance with the requirements of all Applicable Laws and all orders, writs, injunctions and decrees applicable to it or to its properties, except in such instances in which (a) such requirement of Applicable Law or order, writ, injunction or decree is being contested in good faith by appropriate proceedings diligently conducted or (b) the failure to so comply, either individually or in the aggregate,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ERISA Compliance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Except as could not reasonably be expected, either individually or in the aggregate, to have a Material Adverse Effect, (i) each Plan is in compliance with the applicable provisions of ERISA, the Code and other federal or state Applicable Laws and (ii) each Plan that is intended to be a qualified plan under Section 401(a) of the Code has received a favorable determination letter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the Borrower, nothing has occurred that would prevent or cause the loss of such tax-qualified status. </w:t>
      </w:r>
    </w:p>
    <w:p>
      <w:pPr>
        <w:pStyle w:val="TextBody"/>
        <w:bidi w:val="0"/>
        <w:spacing w:before="120" w:after="0"/>
        <w:jc w:val="left"/>
        <w:rPr>
          <w:rFonts w:ascii="Times New Roman" w:hAnsi="Times New Roman"/>
          <w:sz w:val="20"/>
        </w:rPr>
      </w:pPr>
      <w:r>
        <w:rPr>
          <w:rFonts w:ascii="Times New Roman" w:hAnsi="Times New Roman"/>
          <w:sz w:val="20"/>
        </w:rPr>
        <w:t xml:space="preserve">(b) There are no pending or, to the knowledge of the Borrower, threatened or contemplated claims, actions or lawsuits, or action by any Governmental Authority, with respect to any Plan that, either individually or in the aggregate, could reasonably be expected to have a Material Adverse Effect. There has been no prohibited transaction or violation of the fiduciary responsibility rules with respect to any Plan that, either individually or in the aggregate, has had or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No ERISA Event has occurred that has had or could reasonably be expected to have a Material Adverse Effect, and neither the Borrower nor any ERISA Affiliate is aware of any fact, event or circumstance that, either individually or in the aggregate, could reasonably be expected to constitute or result in an ERISA Event with respect to any Pension Plan that, either individually or in the aggregate, has had or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The present value of all accrued benefit liabilities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an amount that could reasonably be expected to have a Material Adverse Effect. As of the most recent valuation date for each Multiemployer Plan, the potential liability of the Borrower or any ERISA Affiliate for a complete withdrawal from such Multiemployer Plan (within the meaning of Section 4203 or Section 4205 of ERISA), when aggregated with such potential liability for a complete withdrawal from all Multiemployer Plans,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applicable, each Foreign Plan has been maintained in compliance with its terms and with the requirements of any and all applicable requirements of Applicable Law and has been maintained, where required, in good standing with applicable regulatory authorities, except to the extent that the failure to maintain compliance or good standing could not reasonably be expected, either individually or in the aggregate, to have a Material Adverse Effect. Neither the Borrower nor any Subsidiary has incurred any material obligation in connection with the termination of or withdrawal from any Foreign Plan that could reasonably be expected to have a Material Adverse Effect. The present value of the accrued benefit liabilities (whether or not vested) under each Foreign Plan that is funded, determined as of the end of the most recently ended fiscal year of the Borrower or Subsidiary, as applicable, on the basis of actuarial assumptions, each of which is reasonable, did not exceed the current value of the property of such Foreign Plan by a material amount, and for each Foreign Plan that is not funded, the obligations of such Foreign Plan are properly accrued, except to the extent that any of the foregoing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Environmental Matters</w:t>
      </w:r>
      <w:r>
        <w:rPr>
          <w:rFonts w:ascii="Times New Roman" w:hAnsi="Times New Roman"/>
          <w:sz w:val="20"/>
        </w:rPr>
        <w:t xml:space="preserve">. Except with respect to any matters that, either individually or in the aggregate, could not reasonably be expected to have a Material Adverse Effect, neither the Borrower nor any Subsidiary (a) has failed to comply with any applicable Environmental Law or to obtain, maintain or comply with any permit, license or other approval required under any applicable Environmental Law, (b) knows of any reasonable basis for any permit, license or other approval required under any Environmental Law to be revoked, canceled, limited, terminated, modified, appealed or otherwise challenged, (c) has become subject to any Environmental Liability, (d) has received written notice of any claim, complaint, proceeding, investigation or inquiry with respect to any Environmental Liability (and no such claim, complaint, proceeding, investigation or inquiry is pending or, to the knowledge of the Borrower, is threatened or contemplated or (e) knows of any facts, events or circumstances that would reasonably be expected to give rise to any Environmental Liability of the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Margin Regulations</w:t>
      </w:r>
      <w:r>
        <w:rPr>
          <w:rFonts w:ascii="Times New Roman" w:hAnsi="Times New Roman"/>
          <w:sz w:val="20"/>
        </w:rPr>
        <w:t xml:space="preserve">. The Borrower is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to buy or carry any Margin Stock. Following the application of the proceeds of each Borrowing or drawing under each Letter of Credit, not more than 25% of the value of the assets (either of the Borrower only or of the Borrower and its Subsidiaries on a consolidated basis) will be Margin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Investment Company Act and Federal Power Act</w:t>
      </w:r>
      <w:r>
        <w:rPr>
          <w:rFonts w:ascii="Times New Roman" w:hAnsi="Times New Roman"/>
          <w:sz w:val="20"/>
        </w:rPr>
        <w:t xml:space="preserve">. Neither the Borrower nor any of its Subsidiaries is an “investment company” as defined in, or subject to regulation under, the Investment Company Act of 1940. Neither the Borrower nor any of its Subsidiaries is subject to regulation under the Federal Power Act or any other Law which may limit its ability to guarantee or incur Indebtedness or which may otherwise render all or any portion of the Obligations unenforceable.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Sanctions; Anti-Corruption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None of the Borrower, any of its Subsidiaries or, to the knowledge of the Borrower, any director, officer, employee, agent, or affiliate of the Borrower or any of its Subsidiaries is (x) an individual or entity (“</w:t>
      </w:r>
      <w:r>
        <w:rPr>
          <w:rFonts w:ascii="Times New Roman" w:hAnsi="Times New Roman"/>
          <w:sz w:val="20"/>
          <w:u w:val="single"/>
        </w:rPr>
        <w:t>person</w:t>
      </w:r>
      <w:r>
        <w:rPr>
          <w:rFonts w:ascii="Times New Roman" w:hAnsi="Times New Roman"/>
          <w:sz w:val="20"/>
        </w:rPr>
        <w:t>”) that is, or is owned 50 percent or more, individually or in the aggregate, directly or indirectly, or controlled by persons that are: (i) the subject of any sanctions administered or enforced by the U.S. Department of the Treasury’s Office of Foreign Assets Control (“</w:t>
      </w:r>
      <w:r>
        <w:rPr>
          <w:rFonts w:ascii="Times New Roman" w:hAnsi="Times New Roman"/>
          <w:sz w:val="20"/>
          <w:u w:val="single"/>
        </w:rPr>
        <w:t>OFAC</w:t>
      </w:r>
      <w:r>
        <w:rPr>
          <w:rFonts w:ascii="Times New Roman" w:hAnsi="Times New Roman"/>
          <w:sz w:val="20"/>
        </w:rPr>
        <w:t>”), the U.S. Department of State, the United Nations Security Council, the European Union, His Majesty’s Treasury, the Hong Kong Monetary Authority, the Australian Department of Foreign Affairs and Trade, or other relevant sanctions authority (collectively, “</w:t>
      </w:r>
      <w:r>
        <w:rPr>
          <w:rFonts w:ascii="Times New Roman" w:hAnsi="Times New Roman"/>
          <w:sz w:val="20"/>
          <w:u w:val="single"/>
        </w:rPr>
        <w:t>Sanctions</w:t>
      </w:r>
      <w:r>
        <w:rPr>
          <w:rFonts w:ascii="Times New Roman" w:hAnsi="Times New Roman"/>
          <w:sz w:val="20"/>
        </w:rPr>
        <w:t xml:space="preserve">”), or (ii) located, organized or resident in a country or territory that is the subject of Sanctions (including, currently, Crimea, the so-called Luhansk People’s Republic, the so-called Donetsk People’s Republic, Cuba, Iran, North Korea and Syria) and (y) has received notice of or is aware of any claim, action, suit, proceeding or investigation against the Borrower or its Subsidiaries with respect to Sanctions by any relevant sanctions authority. </w:t>
      </w:r>
    </w:p>
    <w:p>
      <w:pPr>
        <w:pStyle w:val="TextBody"/>
        <w:bidi w:val="0"/>
        <w:spacing w:before="120" w:after="0"/>
        <w:jc w:val="left"/>
        <w:rPr>
          <w:rFonts w:ascii="Times New Roman" w:hAnsi="Times New Roman"/>
          <w:sz w:val="20"/>
        </w:rPr>
      </w:pPr>
      <w:r>
        <w:rPr>
          <w:rFonts w:ascii="Times New Roman" w:hAnsi="Times New Roman"/>
          <w:sz w:val="20"/>
        </w:rPr>
        <w:t>(b) The Borrower, its Subsidiaries and their respective directors, officers and employees and, to the knowledge of the Borrower, the agents of the Borrower and its Subsidiaries, are in compliance with all applicable Sanctions and with the Foreign Corrupt Practices Act of 1977, as amended, and the rules and regulations thereunder (the “</w:t>
      </w:r>
      <w:r>
        <w:rPr>
          <w:rFonts w:ascii="Times New Roman" w:hAnsi="Times New Roman"/>
          <w:sz w:val="20"/>
          <w:u w:val="single"/>
        </w:rPr>
        <w:t>FCPA</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UK Bribery Act of 2010, and any other applicable anti-corruption law, in each case, in all material respects. The Borrower and its Subsidiaries have instituted and maintain policies and procedures designed to ensure continued compliance in all material respects with applicable Sanctions, the FCPA, the UK Bribery Act, and any other applicable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Solvency</w:t>
      </w:r>
      <w:r>
        <w:rPr>
          <w:rFonts w:ascii="Times New Roman" w:hAnsi="Times New Roman"/>
          <w:sz w:val="20"/>
        </w:rPr>
        <w:t xml:space="preserve">. As of the Closing Date, the Borrower and its Subsidiaries are, on a consolidated basis, Solvent.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Schedule 3.18</w:t>
      </w:r>
      <w:r>
        <w:rPr>
          <w:rFonts w:ascii="Times New Roman" w:hAnsi="Times New Roman"/>
          <w:sz w:val="20"/>
        </w:rPr>
        <w:t xml:space="preserve"> sets forth the name of, and the ownership interest of the Borrower and its Subsidiaries as of the Closing Date. As of the Closing Date, the Equity Interests in the Borrower and each of its Subsidiaries have been duly authorized and validly issued and are fully paid and nonassessable, and the Equity Interests of each of the Borrower’s Subsidiaries are owned by the Borrower, directly or indirectly, free and clear of all Liens (other than Liens created under the Loan Documents). Except as set forth in </w:t>
      </w:r>
      <w:r>
        <w:rPr>
          <w:rFonts w:ascii="Times New Roman" w:hAnsi="Times New Roman"/>
          <w:sz w:val="20"/>
          <w:u w:val="single"/>
        </w:rPr>
        <w:t>Schedule 3.18</w:t>
      </w:r>
      <w:r>
        <w:rPr>
          <w:rFonts w:ascii="Times New Roman" w:hAnsi="Times New Roman"/>
          <w:sz w:val="20"/>
        </w:rPr>
        <w:t xml:space="preserve">, as of the Closing Date, there is no existing option, warrant, call, right, commitment or other agreement to which the Borrower of any of its Subsidiaries is a party requiring, and there are no Equity Interests in any of the Borrower or its Subsidiaries outstanding that upon exercise, conversion or exchange would require, the issuance by any of the Borrower or its Subsidiaries of any additional Equity Interests or other securities exercisable for, convertible into, exchangeable for or evidencing the right to subscribe for or purchase any Equity Interests in any of the Borrower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Perfected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Closing Date and thereafter, the Obligations constitute the sole senior secured obligations of the Borrower and its Subsidiaries and, except for Indebtedness permitted under </w:t>
      </w:r>
      <w:r>
        <w:rPr>
          <w:rFonts w:ascii="Times New Roman" w:hAnsi="Times New Roman"/>
          <w:sz w:val="20"/>
          <w:u w:val="single"/>
        </w:rPr>
        <w:t>Section 6.01</w:t>
      </w:r>
      <w:r>
        <w:rPr>
          <w:rFonts w:ascii="Times New Roman" w:hAnsi="Times New Roman"/>
          <w:sz w:val="20"/>
        </w:rPr>
        <w:t xml:space="preserve">, the sole Indebtedness of the Borrower and its Subsidiaries. No monetary Obligation arising hereunder or under any Loan Document, or arising in connection herewith or therewith, is subordinated to any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(b) The Collateral Agreement creates in favor of the Administrative Agent, for the benefit of the Lenders, a valid and enforceable security interest in the Collateral (as defined therein) and (i) when the Collateral constituting certificated securities (as defined in the Uniform Commercial Code) is delivered to the Administrative Agent, together with instruments of transfer duly endorsed in blank, the security interest created under the Collateral Agreement will constitute a fully perfected security interest in all right, title and interest of the pledgors thereunder in such Collateral, prior and superior in right to any other Person, and (ii) when financing statements in appropriate form are filed in the applicable filing offices on or after the Closing Date, the security interest created under the Collateral Agreement will constitute a fully perfected security interest in all right, title and interest of the Borrower and its Subsidiaries in the remaining Collateral (as defined therein) to the extent perfection can be obtained by filing Uniform Commercial Code financing statements, prior and superior to the rights of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(c) Upon the recordation of the Collateral Agreement (or a Short-Form IP Security Agreement in form and substance reasonably satisfactory to the Borrower and the Administrative Agent) with the United States Patent and Trademark Office or the United States Copyright Office, as applicable, and the filing of the financing statements referred to in </w:t>
      </w:r>
      <w:r>
        <w:rPr>
          <w:rFonts w:ascii="Times New Roman" w:hAnsi="Times New Roman"/>
          <w:sz w:val="20"/>
          <w:u w:val="single"/>
        </w:rPr>
        <w:t>paragraph (b)</w:t>
      </w:r>
      <w:r>
        <w:rPr>
          <w:rFonts w:ascii="Times New Roman" w:hAnsi="Times New Roman"/>
          <w:sz w:val="20"/>
        </w:rPr>
        <w:t xml:space="preserve"> of this Section, in each case, on or after the Closing Date, the security interest created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Agreement will constitute a fully perfected security interest in all right, title and interest of the Borrower and its Subsidiaries in the Intellectual Property (as defined in the Collateral Agreement) in which a security interest may be perfected by filing in the United States of America, in each case prior and superior in right to any other Person, but subject to Liens permitted under </w:t>
      </w:r>
      <w:r>
        <w:rPr>
          <w:rFonts w:ascii="Times New Roman" w:hAnsi="Times New Roman"/>
          <w:sz w:val="20"/>
          <w:u w:val="single"/>
        </w:rPr>
        <w:t>Section 6.02</w:t>
      </w:r>
      <w:r>
        <w:rPr>
          <w:rFonts w:ascii="Times New Roman" w:hAnsi="Times New Roman"/>
          <w:sz w:val="20"/>
        </w:rPr>
        <w:t xml:space="preserve"> (it being understood and agreed that subsequent recordings in the United States Patent and Trademark Office or the United States Copyright Office may be necessary to perfect a security interest in any patent, trademark, service mark or copyright acquired by the Borrower and its Subsidiaries after the Closing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u w:val="single"/>
        </w:rPr>
        <w:t>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Closing Date</w:t>
      </w:r>
      <w:r>
        <w:rPr>
          <w:rFonts w:ascii="Times New Roman" w:hAnsi="Times New Roman"/>
          <w:sz w:val="20"/>
        </w:rPr>
        <w:t xml:space="preserve">. The effectiveness of this Agreement is subject to the satisfaction (or waiver in accordance with </w:t>
      </w:r>
      <w:r>
        <w:rPr>
          <w:rFonts w:ascii="Times New Roman" w:hAnsi="Times New Roman"/>
          <w:sz w:val="20"/>
          <w:u w:val="single"/>
        </w:rPr>
        <w:t>Section 9.02</w:t>
      </w:r>
      <w:r>
        <w:rPr>
          <w:rFonts w:ascii="Times New Roman" w:hAnsi="Times New Roman"/>
          <w:sz w:val="20"/>
        </w:rPr>
        <w:t xml:space="preserve">) of the following conditions (and, in the case of each document specified in this Section to be received by the Administrative Agent, such document shall be in form and substance satisfactory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This Agreement</w:t>
      </w:r>
      <w:r>
        <w:rPr>
          <w:rFonts w:ascii="Times New Roman" w:hAnsi="Times New Roman"/>
          <w:sz w:val="20"/>
        </w:rPr>
        <w:t xml:space="preserve">. The Administrative Agent shall have received from the Borrower a counterpart of this Agreement duly executed on behalf of the Borrower and each Loan Party (or written evidence satisfactory to the Administrative Agent (which may include telecopy transmission of a signed signature page to this Agreement) that the Borrower and each Loan Party has signed a counterpart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Fee Letter</w:t>
      </w:r>
      <w:r>
        <w:rPr>
          <w:rFonts w:ascii="Times New Roman" w:hAnsi="Times New Roman"/>
          <w:sz w:val="20"/>
        </w:rPr>
        <w:t xml:space="preserve">s. The Administrative Agent shall have received from the Borrower a counterpart of each Fee Letter required on the Closing Date, duly executed on behalf of the Borrower (or written evidence satisfactory to the Administrative Agent (which may include telecopy transmission of a signed signature page to the applicable Fee Letter) that the Borrower has signed a counterpart of such Fee Letter).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KYC Information</w:t>
      </w:r>
      <w:r>
        <w:rPr>
          <w:rFonts w:ascii="Times New Roman" w:hAnsi="Times New Roman"/>
          <w:sz w:val="20"/>
        </w:rPr>
        <w:t xml:space="preserve">. (i) Upon the reasonable request of the Administrative Agent or any Lender made at least ten days prior to the Closing Date, the Borrower shall have provided to such Lender the documentation and other information so requested in connection with applicable “know your customer” and anti-money-laundering rules and regulations, including the PATRIOT Act, in each case at least five days prior to the Closing Date. At least five days prior to the Closing Date, any Borrower that qualifies as a “legal entity customer” under the Beneficial Ownership Regulation shall deliver a Beneficial Ownership Certification in relation to such Borrower.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Financial Statements</w:t>
      </w:r>
      <w:r>
        <w:rPr>
          <w:rFonts w:ascii="Times New Roman" w:hAnsi="Times New Roman"/>
          <w:sz w:val="20"/>
        </w:rPr>
        <w:t xml:space="preserve">. The Borrower shall have delivered to the Lenders the Audited Financial Statements and the unaudited quarterly financial statements of the Borrower referred to in </w:t>
      </w:r>
      <w:r>
        <w:rPr>
          <w:rFonts w:ascii="Times New Roman" w:hAnsi="Times New Roman"/>
          <w:sz w:val="20"/>
          <w:u w:val="single"/>
        </w:rPr>
        <w:t>Section 3.05(a)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Security Documents</w:t>
      </w:r>
      <w:r>
        <w:rPr>
          <w:rFonts w:ascii="Times New Roman" w:hAnsi="Times New Roman"/>
          <w:sz w:val="20"/>
        </w:rPr>
        <w:t xml:space="preserve">. The Administrative Agent shall have received executed counterparts of the Collateral Agreement, dated as of the Closing Date, duly executed and delivered by the Borrower and each of its Subsidiaries other than Excluded Foreign Subsidiaries, together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certificates (in the case of Equity Interests that are securities (as defined in the UCC)) evidencing the issued and outstanding capital securities owned by the Borrower and its Subsidiaries that are required to be pledged under the Security Agreement, which certificates in each case shall be accompanied by undated instruments of transfer duly executed in blank, or, in the case of Equity Interests that are uncertificated securities (as defined in the UCC), confirmation and evidence reasonably satisfactory to the Administrative Agent that the security interest required to be pledged therein under the Collateral Agreement has been transferred to and perfected by the Administrative Agent in accordance with Articles 8 and 9 of the UCC and all Laws otherwise applicable to the perfection of the pledge of such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 promissory notes together with undated note powers executed in blank to the extent required to be Collateral pursuant to the definition of the term “Collateral and Guarantee Requirement”; </w:t>
      </w:r>
    </w:p>
    <w:p>
      <w:pPr>
        <w:pStyle w:val="TextBody"/>
        <w:bidi w:val="0"/>
        <w:spacing w:before="120" w:after="0"/>
        <w:jc w:val="left"/>
        <w:rPr>
          <w:rFonts w:ascii="Times New Roman" w:hAnsi="Times New Roman"/>
          <w:sz w:val="20"/>
        </w:rPr>
      </w:pPr>
      <w:r>
        <w:rPr>
          <w:rFonts w:ascii="Times New Roman" w:hAnsi="Times New Roman"/>
          <w:sz w:val="20"/>
        </w:rPr>
        <w:t xml:space="preserve">(iii) financing statements naming the Borrower and each Subsidiary (other than Excluded Foreign Subsidiaries) as a debtor and the Administrative Agent as the secured party, or other similar instruments, registrations or documents, in each case suitable for filing, filed under the UCC (or equivalent law) of all jurisdictions as may be necessary or, in the commercially reasonable opinion of the Administrative Agent, desirable to perfect the Liens of the Administrative Agent pursuant to the Collateral Agreement; </w:t>
      </w:r>
    </w:p>
    <w:p>
      <w:pPr>
        <w:pStyle w:val="TextBody"/>
        <w:bidi w:val="0"/>
        <w:spacing w:before="120" w:after="0"/>
        <w:jc w:val="left"/>
        <w:rPr>
          <w:rFonts w:ascii="Times New Roman" w:hAnsi="Times New Roman"/>
          <w:sz w:val="20"/>
        </w:rPr>
      </w:pPr>
      <w:r>
        <w:rPr>
          <w:rFonts w:ascii="Times New Roman" w:hAnsi="Times New Roman"/>
          <w:sz w:val="20"/>
        </w:rPr>
        <w:t xml:space="preserve">(iv) UCC-3 termination statements, as may be necessary to release all Liens (other than Liens permitted under </w:t>
      </w:r>
      <w:r>
        <w:rPr>
          <w:rFonts w:ascii="Times New Roman" w:hAnsi="Times New Roman"/>
          <w:sz w:val="20"/>
          <w:u w:val="single"/>
        </w:rPr>
        <w:t>Section 6.02</w:t>
      </w:r>
      <w:r>
        <w:rPr>
          <w:rFonts w:ascii="Times New Roman" w:hAnsi="Times New Roman"/>
          <w:sz w:val="20"/>
        </w:rPr>
        <w:t xml:space="preserve">) and other rights of any Person in any collateral described in the Collateral Agreement previously granted by any Person; and </w:t>
      </w:r>
    </w:p>
    <w:p>
      <w:pPr>
        <w:pStyle w:val="TextBody"/>
        <w:bidi w:val="0"/>
        <w:spacing w:before="120" w:after="0"/>
        <w:jc w:val="left"/>
        <w:rPr>
          <w:rFonts w:ascii="Times New Roman" w:hAnsi="Times New Roman"/>
          <w:sz w:val="20"/>
        </w:rPr>
      </w:pPr>
      <w:r>
        <w:rPr>
          <w:rFonts w:ascii="Times New Roman" w:hAnsi="Times New Roman"/>
          <w:sz w:val="20"/>
        </w:rPr>
        <w:t xml:space="preserve">(v) all Short-Form IP Security Agreements required to be provided under the Collateral Agreement, each dated as of the Closing Date, duly executed and delivered by the Borrower and each Subsidiary,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Controlled Accounts</w:t>
      </w:r>
      <w:r>
        <w:rPr>
          <w:rFonts w:ascii="Times New Roman" w:hAnsi="Times New Roman"/>
          <w:sz w:val="20"/>
        </w:rPr>
        <w:t xml:space="preserve">. The Administrative Agent shall have received evidence satisfactory to it that all Deposit Accounts, Securities Accounts, Commodities Accounts, lockboxes or other similar accounts (other than Excluded Accounts) of the Borrower and each of its Subsidiaries are Controlled Accounts.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Insurance</w:t>
      </w:r>
      <w:r>
        <w:rPr>
          <w:rFonts w:ascii="Times New Roman" w:hAnsi="Times New Roman"/>
          <w:sz w:val="20"/>
        </w:rPr>
        <w:t xml:space="preserve">. The Administrative Agent shall have received certificates of insurance evidencing that the insurance required to be maintained pursuant to </w:t>
      </w:r>
      <w:r>
        <w:rPr>
          <w:rFonts w:ascii="Times New Roman" w:hAnsi="Times New Roman"/>
          <w:sz w:val="20"/>
          <w:u w:val="single"/>
        </w:rPr>
        <w:t>Section 5.06</w:t>
      </w:r>
      <w:r>
        <w:rPr>
          <w:rFonts w:ascii="Times New Roman" w:hAnsi="Times New Roman"/>
          <w:sz w:val="20"/>
        </w:rPr>
        <w:t xml:space="preserve"> is in full force and effect, together with endorsements naming the Administrative Agent, for the benefit of the Lenders, as additional insured and loss payee thereunder, in each case,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Perfection Certificate</w:t>
      </w:r>
      <w:r>
        <w:rPr>
          <w:rFonts w:ascii="Times New Roman" w:hAnsi="Times New Roman"/>
          <w:sz w:val="20"/>
        </w:rPr>
        <w:t xml:space="preserve">. The Administrative Agent shall have received a completed Perfection Certificate dated the Closing Date and signed by a Financial Officer or legal officer of the Borrower, together with all attachments contemplated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Lien Searches</w:t>
      </w:r>
      <w:r>
        <w:rPr>
          <w:rFonts w:ascii="Times New Roman" w:hAnsi="Times New Roman"/>
          <w:sz w:val="20"/>
        </w:rPr>
        <w:t xml:space="preserve">. The Administrative Agent shall be reasonably satisfied with Lien searches regarding the Borrower and its Subsidiaries made within twenty (20)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Secretary’s Certificate, Etc</w:t>
      </w:r>
      <w:r>
        <w:rPr>
          <w:rFonts w:ascii="Times New Roman" w:hAnsi="Times New Roman"/>
          <w:sz w:val="20"/>
        </w:rPr>
        <w:t xml:space="preserve">. The Administrative Agent shall have received from the Borrower and each Subsidiary a certificate, dated as of the Closing Date, duly executed and delivered by a Responsible Officer of each such Person, attaching (w) resolutions of each such Person’s Board then in full force and effect authorizing the execution, delivery and performance of each Loan Document and the transactions contemplated thereby; (x) the incumbency and signatures of those of its officers, managing member or general partner or equivalent authorized to act as Responsible Officer with respect to each Loan Document and delivered by such Person; (y) true and complete copies of each Organizational Document of such Person (or certifying that the Organizational Documents of such Person delivered to the Administrative Agent on the Closing Date have not been amended or modified and remain in full force and effect) and (z) good standing certificates of such Person dated a date reasonably close to the Closing Date; which certificates shall be in form and substance reasonably satisfactory to the Administrative Agent and upon which the Administrative Agent and the Lenders may conclusively rely until they shall have received a further certificate of a Responsible Officer of any such Person cancelling or amending the prior certificate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Closing Date Officer’s Certificate</w:t>
      </w:r>
      <w:r>
        <w:rPr>
          <w:rFonts w:ascii="Times New Roman" w:hAnsi="Times New Roman"/>
          <w:sz w:val="20"/>
        </w:rPr>
        <w:t xml:space="preserve">. The Administrative Agent shall have received a certificate, dated the Closing Date and signed by a Responsible Officer of the Borrower, confirming satisfaction of the conditions set forth in this Section and compliance with the conditions set forth in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w:t>
      </w:r>
      <w:r>
        <w:rPr>
          <w:rFonts w:ascii="Times New Roman" w:hAnsi="Times New Roman"/>
          <w:sz w:val="20"/>
          <w:u w:val="single"/>
        </w:rPr>
        <w:t>Section 4.02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Solvency Certificate</w:t>
      </w:r>
      <w:r>
        <w:rPr>
          <w:rFonts w:ascii="Times New Roman" w:hAnsi="Times New Roman"/>
          <w:sz w:val="20"/>
        </w:rPr>
        <w:t xml:space="preserve">. The Administrative Agent shall have received a solvency certificate, substantially in the form of Exhibit F, duly executed and delivered by the chief financial or accounting Responsible Officer of the Borrower, dated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Opinions of Counsel</w:t>
      </w:r>
      <w:r>
        <w:rPr>
          <w:rFonts w:ascii="Times New Roman" w:hAnsi="Times New Roman"/>
          <w:sz w:val="20"/>
        </w:rPr>
        <w:t xml:space="preserve">. The Administrative Agent shall have received opinions of Much Shelist, P.C. and Barnes &amp; Thornburg LLP, counsel to the Borrower and its Subsidiaries, each addressed to the Administrative Agent and the Lenders and dated the Closing Date, each in form and substance reasonably satisfactory to the Administrative Agent (and the Borrower hereby instructs such counsel to deliver such opinions to such Persons). Notwithstanding the foregoing, the opinions delivered pursuant to this clause (n) shall not be required to address (i) Bi-Phase Technologies, LLC or any matter governed by the laws of the State of Minnesota with respect thereto or (ii) MTL Manufacturing &amp; Equipment Inc. or any matter governed by the laws of the State of Wisconsin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Fees and Expenses</w:t>
      </w:r>
      <w:r>
        <w:rPr>
          <w:rFonts w:ascii="Times New Roman" w:hAnsi="Times New Roman"/>
          <w:sz w:val="20"/>
        </w:rPr>
        <w:t xml:space="preserve">. The Borrower shall have paid all reasonable and documented out-of-pocket fees, costs and expenses (including reasonable legal fees and expenses) agreed in writing to be paid by it to the Administrative Agent and the Lenders (including pursuant to each Fee Letter) in connection herewith to the extent due (and, in the case of expenses (including legal fees and expenses), to the extent that statements for such expenses shall have been delivered to the Borrower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Third-Party Indebtedness</w:t>
      </w:r>
      <w:r>
        <w:rPr>
          <w:rFonts w:ascii="Times New Roman" w:hAnsi="Times New Roman"/>
          <w:sz w:val="20"/>
        </w:rPr>
        <w:t xml:space="preserve">. The Administrative Agent shall have received evidence reasonably satisfactory to it that all third-party Indebtedness of the Borrower and its Subsidiaries, other than Indebtedness expressly permitted hereunder, has been repaid in full, and all Liens or guaranties, if any, securing and/or guarantying any such repaid and terminated Indebtedness have been released. Notwithstanding the foregoing, the Borrower shall deliver to the Administrative Agent terminations of any deposit account control agreements within five days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Other Documents</w:t>
      </w:r>
      <w:r>
        <w:rPr>
          <w:rFonts w:ascii="Times New Roman" w:hAnsi="Times New Roman"/>
          <w:sz w:val="20"/>
        </w:rPr>
        <w:t xml:space="preserve">. The Administrative Agent shall have received such other documents as the Administrative Agent or the Required Lenders (through the Administrative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sz w:val="20"/>
          <w:u w:val="single"/>
        </w:rPr>
        <w:t>Section 8.03(c)</w:t>
      </w:r>
      <w:r>
        <w:rPr>
          <w:rFonts w:ascii="Times New Roman" w:hAnsi="Times New Roman"/>
          <w:sz w:val="20"/>
        </w:rPr>
        <w:t xml:space="preserve">, for purposes of determining satisfaction of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the Borrower and the Lenders of the Closing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Conditions to All Borrowings</w:t>
      </w:r>
      <w:r>
        <w:rPr>
          <w:rFonts w:ascii="Times New Roman" w:hAnsi="Times New Roman"/>
          <w:sz w:val="20"/>
        </w:rPr>
        <w:t xml:space="preserve">. On and after the Closing Date, the obligation of each Lender to make a Loan or issue a Letter of Credit is additionally subject to the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a written Borrowing Request or Request for Letter of Credit in accordance with the requirements hereof;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of the Borrower set forth in this Agreement and in any other Loan Document shall be true and correct in all material respects (or, in the case of any such representation or warranty already qualified by materiality, in all respects) on and as of the date of such Borrowing or issuance of such Letter of Credit (or, in the case of any such representation or warranty expressly stated to have been made as of a specific date, as of such specific date); and </w:t>
      </w:r>
    </w:p>
    <w:p>
      <w:pPr>
        <w:pStyle w:val="TextBody"/>
        <w:bidi w:val="0"/>
        <w:spacing w:before="120" w:after="0"/>
        <w:jc w:val="left"/>
        <w:rPr>
          <w:rFonts w:ascii="Times New Roman" w:hAnsi="Times New Roman"/>
          <w:sz w:val="20"/>
        </w:rPr>
      </w:pPr>
      <w:r>
        <w:rPr>
          <w:rFonts w:ascii="Times New Roman" w:hAnsi="Times New Roman"/>
          <w:sz w:val="20"/>
        </w:rPr>
        <w:t xml:space="preserve">(c) no Default shall have occurred and be continuing or would result from such Borrowing or from the application of proceeds thereof, or from the issuance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a Letter of Credit, the Administrative Agent shall have received an Application for Letter of Credit executed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Request by the Borrower hereunder, each Borrowing, each Request for Letter of Credit and each Letter of Credit issuance shall be deemed to constitute a representation and warranty by the Borrower on and as of the date of the applicable Borrowing as to the matters specified in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above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u w:val="single"/>
        </w:rPr>
        <w:t>AFFIRMATIVE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all Obligations shall have been paid in full (other than contingent indemnification obligations for which no claim has been asserted), the Borrower covenants and agrees with the Administrative Agent and the Lenders that on and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w:t>
      </w:r>
      <w:r>
        <w:rPr>
          <w:rFonts w:ascii="Times New Roman" w:hAnsi="Times New Roman"/>
          <w:sz w:val="20"/>
        </w:rPr>
        <w:t xml:space="preserve">. The Borrower will furnish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and in any event within one-hundred fifty (150) days after the end of each fiscal year of the Borrower (commencing with the fiscal year ended December 31, 2026), an audited consolidated balance sheet of the Borrower and its Subsidiaries as at the end of such fiscal year and the related audited consolidated statements of income or operations, shareholders’ equity and cash flows for such fiscal year, setting forth in each case in comparative form the figures for the previous fiscal year, audited and accompanied by a report and opinion of independent public accountants of nationally recognized standing, which report and opinion shall be prepared in accordance with generally accepted auditing standards to the effect that such consolidated financial statements present fairly in all material respects the financial condition, results of operations, shareholders’ equity and cash flows of the Borrower and its Subsidiaries on a consolidated basis in accordance with GAAP consistently applied; and </w:t>
      </w:r>
    </w:p>
    <w:p>
      <w:pPr>
        <w:pStyle w:val="TextBody"/>
        <w:bidi w:val="0"/>
        <w:spacing w:before="120" w:after="0"/>
        <w:jc w:val="left"/>
        <w:rPr>
          <w:rFonts w:ascii="Times New Roman" w:hAnsi="Times New Roman"/>
          <w:sz w:val="20"/>
        </w:rPr>
      </w:pPr>
      <w:r>
        <w:rPr>
          <w:rFonts w:ascii="Times New Roman" w:hAnsi="Times New Roman"/>
          <w:sz w:val="20"/>
        </w:rPr>
        <w:t xml:space="preserve">(b) as soon as available, but in any event within forty-five (45) days after the end of each fiscal quarter of each fiscal year of the Borrower (commencing with the fiscal quarter ended September 30, 2026), an unaudited consolidated balance sheet of the Borrower and its Subsidiaries as at the end of such fiscal quarter, the related unaudited consolidated statements of income or operations, shareholders’ equity and cash flows for such fiscal quarter and for the portion of the Borrower’s fiscal year then ended, in each case setting forth in comparative form, as applicable, the figures for the corresponding fiscal quarter of the previous fiscal year and the corresponding portion of the previous fiscal year, together with (i) a copy of management’s discussion and analysis with respect to such financial statements and (ii) a certification by a Financial Officer of the Borrower that such financial statements fairly present in all material respects the financial condition, results of operations, shareholders’ equity and cash flows of the Borrower and its Subsidiaries on a consolidated basis in accordance with GAAP consistently applied, subject only to normal year-end audit adjustments and the absence of notes; </w:t>
      </w:r>
    </w:p>
    <w:p>
      <w:pPr>
        <w:pStyle w:val="TextBody"/>
        <w:bidi w:val="0"/>
        <w:spacing w:before="120" w:after="0"/>
        <w:jc w:val="left"/>
        <w:rPr>
          <w:rFonts w:ascii="Times New Roman" w:hAnsi="Times New Roman"/>
          <w:sz w:val="20"/>
        </w:rPr>
      </w:pPr>
      <w:r>
        <w:rPr>
          <w:rFonts w:ascii="Times New Roman" w:hAnsi="Times New Roman"/>
          <w:sz w:val="20"/>
        </w:rPr>
        <w:t xml:space="preserve">(c) as soon as available, but in any event within thirty (30) days after the end of each calendar month of each fiscal year, an unaudited consolidated balance sheet of the Borrower and its Subsidiaries as at the end of such calendar month, the related unaudited consolidated statements of income or operations, shareholders’ equity and cash flows for such calendar month, in each case setting forth in comparative form, as applicable, the figures for the previous calendar month, together with a certification by a Financial Officer of the Borrower that such financial statement fairly presenting in all material respects the financial condition, results of operations, shareholders’ equity and cash flows of the Borrower and its Subsidiaries on a consolidated basis in accordance with GAAP consistently applied, subject only to normal year-end audit adjustments and the absence of notes; </w:t>
      </w:r>
      <w:r>
        <w:rPr>
          <w:rFonts w:ascii="Times New Roman" w:hAnsi="Times New Roman"/>
          <w:sz w:val="20"/>
          <w:u w:val="single"/>
        </w:rPr>
        <w:t>provided</w:t>
      </w:r>
      <w:r>
        <w:rPr>
          <w:rFonts w:ascii="Times New Roman" w:hAnsi="Times New Roman"/>
          <w:sz w:val="20"/>
        </w:rPr>
        <w:t xml:space="preserve"> that at the written request of the Required Lenders within 10 Business Days after the receipt of such financial statements, the Borrower shall hold a conference call to discuss such financial statements with a Financial Officer of the Borrower and other senior management representatives of the Borrower as the Required Lenders may reasonably request and such conference call shall be held promptly after request therefor at a time mutually agreed with the Borrower and the Required Lenders;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 soon as available, but in any event no later than thirty (30) days after the end of each fiscal quarter of the Borrower (commencing with the fiscal quarter ended September 30, 2026), forecasts prepared by management of the Borrower and a summary of material assumptions used to prepare such forecasts, in form satisfactory to the Administrative Agent, including projected consolidated balance sheets and statements of income or operations and cash flows of the Borrower and its Subsidiaries on a quarterly basis for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Certificates; Other Information</w:t>
      </w:r>
      <w:r>
        <w:rPr>
          <w:rFonts w:ascii="Times New Roman" w:hAnsi="Times New Roman"/>
          <w:sz w:val="20"/>
        </w:rPr>
        <w:t xml:space="preserve">. The Borrower will deliver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(a) concurrently with the delivery of the financial statements referred to in </w:t>
      </w:r>
      <w:r>
        <w:rPr>
          <w:rFonts w:ascii="Times New Roman" w:hAnsi="Times New Roman"/>
          <w:sz w:val="20"/>
          <w:u w:val="single"/>
        </w:rPr>
        <w:t>Sections 5.01(a)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a duly completed compliance certificate in the form of Exhibit C (a “</w:t>
      </w:r>
      <w:r>
        <w:rPr>
          <w:rFonts w:ascii="Times New Roman" w:hAnsi="Times New Roman"/>
          <w:sz w:val="20"/>
          <w:u w:val="single"/>
        </w:rPr>
        <w:t>Compliance Certificate</w:t>
      </w:r>
      <w:r>
        <w:rPr>
          <w:rFonts w:ascii="Times New Roman" w:hAnsi="Times New Roman"/>
          <w:sz w:val="20"/>
        </w:rPr>
        <w:t xml:space="preserve">”) signed by a Responsible Officer of the Borrower (i) certifying as to whether a Default has occurred and, if a Default has occurred, specifying the details thereof and any action taken or proposed to be taken with respect thereto and (ii) setting forth reasonably detailed calculations demonstrating compliance with </w:t>
      </w:r>
      <w:r>
        <w:rPr>
          <w:rFonts w:ascii="Times New Roman" w:hAnsi="Times New Roman"/>
          <w:sz w:val="20"/>
          <w:u w:val="single"/>
        </w:rPr>
        <w:t>Section 6.12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not less than ten (10) days (or such shorter period as the Administrative Agent may agree) prior to the consummation of any Permitted Acquisition, (i) a description of the material terms of such Permitted Acquisition, (ii) audited (or, if unavailable, management-prepared) financial statements of the acquired business for its two most recent fiscal years and any fiscal quarters ended within the current fiscal year, and (iii) projected consolidated income statements of the Borrower and its Subsidiaries for the ensuing four fiscal quarters, giving effect to such Permitted Acquisition; and, not less than five (5) Business Days prior to the consummation of any Permitted Acquisition with aggregate consideration in excess of $25,000,000, a certificate of a Responsible Officer of the Borrower certifying that such Permitted Acquisition complies with the requirements of the definition of “</w:t>
      </w:r>
      <w:r>
        <w:rPr>
          <w:rFonts w:ascii="Times New Roman" w:hAnsi="Times New Roman"/>
          <w:sz w:val="20"/>
          <w:u w:val="single"/>
        </w:rPr>
        <w:t>Permitted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the same are publicly available, copies of each annual report, proxy or financial statement or other report or communication sent to the shareholders of the Borrower, and copies of all annual, regular, periodic and special reports and registration statements that the Borrower or any Subsidiary may file or be required to file with the SEC or any Governmental Authority succeeding to any or all of the functions of the SEC, or with any national securities exchange, and not otherwise required to be delivered pursuant hereto; </w:t>
      </w:r>
    </w:p>
    <w:p>
      <w:pPr>
        <w:pStyle w:val="TextBody"/>
        <w:bidi w:val="0"/>
        <w:spacing w:before="120" w:after="0"/>
        <w:jc w:val="left"/>
        <w:rPr>
          <w:rFonts w:ascii="Times New Roman" w:hAnsi="Times New Roman"/>
          <w:sz w:val="20"/>
        </w:rPr>
      </w:pPr>
      <w:r>
        <w:rPr>
          <w:rFonts w:ascii="Times New Roman" w:hAnsi="Times New Roman"/>
          <w:sz w:val="20"/>
        </w:rPr>
        <w:t xml:space="preserve">(d) promptly after the furnishing thereof, copies of any material request or notice received by the Borrower or any Subsidiary, or any material written statement or report furnished by the Borrower or any Subsidiary to any holder of debt securities of the Borrower or any Subsidiary, pursuant to the terms of any indenture, loan or credit or similar agreement and not otherwise required to be furnished pursuant hereto; </w:t>
      </w:r>
    </w:p>
    <w:p>
      <w:pPr>
        <w:pStyle w:val="TextBody"/>
        <w:bidi w:val="0"/>
        <w:spacing w:before="120" w:after="0"/>
        <w:jc w:val="left"/>
        <w:rPr>
          <w:rFonts w:ascii="Times New Roman" w:hAnsi="Times New Roman"/>
          <w:sz w:val="20"/>
        </w:rPr>
      </w:pPr>
      <w:r>
        <w:rPr>
          <w:rFonts w:ascii="Times New Roman" w:hAnsi="Times New Roman"/>
          <w:sz w:val="20"/>
        </w:rPr>
        <w:t xml:space="preserve">(e) promptly after receipt thereof by the Borrower or any Subsidiary, copies of each material notice or other material correspondence received from the SEC (or comparable agency in any applicable non-U.S. jurisdiction) concerning any investigation or possible investigation or other inquiry by such agency regarding financial or other operational results of the Borrower or any Subsidiary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promptly following request therefor,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 as the Administrative Agent or any Lender (through the Administrative Agent) may from time to time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(g) as soon as available and in any event no later than one hundred twenty (120) days following the end of the fiscal year of the Borrower ended December 31, 2026 and each fiscal year of the Borrower thereafter, copies of an annual budget (or equivalent) for the Borrower and its Subsidiaries, for the then-current fiscal year, in form or presentation reasonably satisfactory to the Administrative Agent, accompanied by a certificate of a Financial Officer of the Borrower certifying that (i) such budget was prepared by the Borrower in good faith and (ii) the Borrower had at the time of preparation of the budget, and at all times thereafter (including on and as of the date of delivery of such budget to the Administrative Agent) has continued to have, a reasonable basis for all assumptions contained in such budget and such budget was prepared in accordance with, and based upon, such assumptions; and </w:t>
      </w:r>
    </w:p>
    <w:p>
      <w:pPr>
        <w:pStyle w:val="TextBody"/>
        <w:bidi w:val="0"/>
        <w:spacing w:before="120" w:after="0"/>
        <w:jc w:val="left"/>
        <w:rPr>
          <w:rFonts w:ascii="Times New Roman" w:hAnsi="Times New Roman"/>
          <w:sz w:val="20"/>
        </w:rPr>
      </w:pPr>
      <w:r>
        <w:rPr>
          <w:rFonts w:ascii="Times New Roman" w:hAnsi="Times New Roman"/>
          <w:sz w:val="20"/>
        </w:rPr>
        <w:t xml:space="preserve">(h) promptly following any request therefor, such other information (including with respect to the Collateral) regarding the operations, business, properties, liabilities (actual or contingent) or financial condition of the Borrower or any Subsidiary, or compliance with the terms of the Loan Documents, as the Administrative Agent or any Lender (through the Administrative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5.02(b)</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hAnsi="Times New Roman"/>
          <w:sz w:val="20"/>
          <w:u w:val="single"/>
        </w:rPr>
        <w:t>provided</w:t>
      </w:r>
      <w:r>
        <w:rPr>
          <w:rFonts w:ascii="Times New Roman" w:hAnsi="Times New Roman"/>
          <w:sz w:val="20"/>
        </w:rPr>
        <w:t xml:space="preserve"> that: (A) upon written request by the Administrative Agent, the Borrower shall deliver paper copies of such documents to the Administrative Agent or any Lender upon its request to the Borrower to deliver such paper copies until a written request to cease delivering paper copies is given by the Administrative Agent or such Lender and (B) the Borrower shall notify the Administrative Agent and each Lender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Notices</w:t>
      </w:r>
      <w:r>
        <w:rPr>
          <w:rFonts w:ascii="Times New Roman" w:hAnsi="Times New Roman"/>
          <w:sz w:val="20"/>
        </w:rPr>
        <w:t xml:space="preserve">. The Borrower will promptly notify the Administrative Agent and each Lender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120" w:after="0"/>
        <w:jc w:val="left"/>
        <w:rPr>
          <w:rFonts w:ascii="Times New Roman" w:hAnsi="Times New Roman"/>
          <w:sz w:val="20"/>
        </w:rPr>
      </w:pPr>
      <w:r>
        <w:rPr>
          <w:rFonts w:ascii="Times New Roman" w:hAnsi="Times New Roman"/>
          <w:sz w:val="20"/>
        </w:rPr>
        <w:t xml:space="preserve">(b) the filing or commencement of any action, suit, investigation or proceeding by or before any arbitrator or Governmental Authority against or affecting the Borrower or any Affiliate thereof, including pursuant to any applicable Environmental Laws, that could reasonably be expected to be adversely determined, and, if so determined, could reasonably be expected to result in liability of the Borrower and its Subsidiaries in an aggregate amount exceeding $1,000,000; </w:t>
      </w:r>
    </w:p>
    <w:p>
      <w:pPr>
        <w:pStyle w:val="TextBody"/>
        <w:bidi w:val="0"/>
        <w:spacing w:before="120" w:after="0"/>
        <w:jc w:val="left"/>
        <w:rPr>
          <w:rFonts w:ascii="Times New Roman" w:hAnsi="Times New Roman"/>
          <w:sz w:val="20"/>
        </w:rPr>
      </w:pPr>
      <w:r>
        <w:rPr>
          <w:rFonts w:ascii="Times New Roman" w:hAnsi="Times New Roman"/>
          <w:sz w:val="20"/>
        </w:rPr>
        <w:t xml:space="preserve">(c) the occurrence of any ERISA Event that, either individually or together with any other ERISA Events, could reasonably be expected to result in liability of the Borrower and its Subsidiaries in an aggregate amount exceeding $1,000,000; </w:t>
      </w:r>
    </w:p>
    <w:p>
      <w:pPr>
        <w:pStyle w:val="TextBody"/>
        <w:bidi w:val="0"/>
        <w:spacing w:before="120" w:after="0"/>
        <w:jc w:val="left"/>
        <w:rPr>
          <w:rFonts w:ascii="Times New Roman" w:hAnsi="Times New Roman"/>
          <w:sz w:val="20"/>
        </w:rPr>
      </w:pPr>
      <w:r>
        <w:rPr>
          <w:rFonts w:ascii="Times New Roman" w:hAnsi="Times New Roman"/>
          <w:sz w:val="20"/>
        </w:rPr>
        <w:t xml:space="preserve">(d) notice of any action arising under any applicable Environmental Law that, if adversely determined, could reasonably be expected to result in liability of the Borrower and its Subsidiaries in an aggregate amount exceeding $1,000,000; </w:t>
      </w:r>
    </w:p>
    <w:p>
      <w:pPr>
        <w:pStyle w:val="TextBody"/>
        <w:bidi w:val="0"/>
        <w:spacing w:before="120" w:after="0"/>
        <w:jc w:val="left"/>
        <w:rPr>
          <w:rFonts w:ascii="Times New Roman" w:hAnsi="Times New Roman"/>
          <w:sz w:val="20"/>
        </w:rPr>
      </w:pPr>
      <w:r>
        <w:rPr>
          <w:rFonts w:ascii="Times New Roman" w:hAnsi="Times New Roman"/>
          <w:sz w:val="20"/>
        </w:rPr>
        <w:t xml:space="preserve">(e) any material change in accounting or financial reporting practices by the Borrower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(f) any matter or development that has had or could reasonably be expected to have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(g) any change in the information provided in the Beneficial Ownership Certification that would result in a change to the list of beneficial owners identified in parts (c) or (d) of such certification.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Section shall be accompanied by a statement of a Responsible Officer of the Borrower setting forth the details of the occurrence requiring such notice and stating what action the Borrower has taken and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Preservation of Existence, Etc.</w:t>
      </w:r>
      <w:r>
        <w:rPr>
          <w:rFonts w:ascii="Times New Roman" w:hAnsi="Times New Roman"/>
          <w:sz w:val="20"/>
        </w:rPr>
        <w:t xml:space="preserve"> The Borrower will, and will cause each of its Subsidiaries to, (a) preserve, renew and maintain in full force and effect its legal existence and good standing under the Laws of the jurisdiction of its organization except in a transaction permitted by </w:t>
      </w:r>
      <w:r>
        <w:rPr>
          <w:rFonts w:ascii="Times New Roman" w:hAnsi="Times New Roman"/>
          <w:sz w:val="20"/>
          <w:u w:val="single"/>
        </w:rPr>
        <w:t>Section 6.03</w:t>
      </w:r>
      <w:r>
        <w:rPr>
          <w:rFonts w:ascii="Times New Roman" w:hAnsi="Times New Roman"/>
          <w:sz w:val="20"/>
        </w:rPr>
        <w:t xml:space="preserve"> or </w:t>
      </w:r>
      <w:r>
        <w:rPr>
          <w:rFonts w:ascii="Times New Roman" w:hAnsi="Times New Roman"/>
          <w:sz w:val="20"/>
          <w:u w:val="single"/>
        </w:rPr>
        <w:t>6.04</w:t>
      </w:r>
      <w:r>
        <w:rPr>
          <w:rFonts w:ascii="Times New Roman" w:hAnsi="Times New Roman"/>
          <w:sz w:val="20"/>
        </w:rPr>
        <w:t xml:space="preserve">; (b) take all reasonable action to maintain all rights, licenses, permits, privileges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Maintenance of Properties</w:t>
      </w:r>
      <w:r>
        <w:rPr>
          <w:rFonts w:ascii="Times New Roman" w:hAnsi="Times New Roman"/>
          <w:sz w:val="20"/>
        </w:rPr>
        <w:t xml:space="preserve">. The Borrower will, and will cause each of its Subsidiaries to, (a) maintain, preserve and protect all of its properties and equipment necessary in the operation of its business in good working order and condition (ordinary wear and tear and casualty excepted) and (b) make all necessary repairs thereto and renewals and replacements thereof, in each case, except to the extent that the failure to do so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Maintenance of Insurance</w:t>
      </w:r>
      <w:r>
        <w:rPr>
          <w:rFonts w:ascii="Times New Roman" w:hAnsi="Times New Roman"/>
          <w:sz w:val="20"/>
        </w:rPr>
        <w:t xml:space="preserve">. The Borrower will, and will cause each of its Subsidiaries to,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its Subsidiaries) as are customarily carried under similar circumstances by such Persons, and in any case, with coverage amounts of at least the amounts in effect on the Closing Date. Upon the reasonable request of the Administrative Agent, the Borrower shall furnish to the Administrative Agent from time to time: (i) full information as to the insurance carried by the Borrower and each of its Subsidiaries and, if so requested, copies of all such insurance policies and (ii) a certificate from the Borrower’s insurance broker or other insurance specialist stating that all premiums then due on the policies relating to insurance on the Collateral have been paid and that such policies are in full force and effect. All such insurance policies required to be maintained pursuant to this Section shall (i) name the Administrative Agent, for its benefit and the benefit of the Lenders, as mortgagee (in the case of property insurance) or as loss payee or additional insured (in the case of liability insurance), as applicable, and provide that no cancellation of such policies will be made without at least thirty (30) days (ten (10) days for nonpayment of premium) prior written notice to the Administrative Agent and (ii) be in addition to any requirements to maintain specific types of insurance contained in the other Loan Documents. Receipt of notice of cancellation of any such insurance policies or the reduction of coverage or amounts of coverage thereunder shall entitle the Administrative Agent to renew any such policies, cause the coverages and amounts thereof to be maintained at levels required pursuant to the first sentence of this </w:t>
      </w:r>
      <w:r>
        <w:rPr>
          <w:rFonts w:ascii="Times New Roman" w:hAnsi="Times New Roman"/>
          <w:sz w:val="20"/>
          <w:u w:val="single"/>
        </w:rPr>
        <w:t>Section 5.06</w:t>
      </w:r>
      <w:r>
        <w:rPr>
          <w:rFonts w:ascii="Times New Roman" w:hAnsi="Times New Roman"/>
          <w:sz w:val="20"/>
        </w:rPr>
        <w:t xml:space="preserve"> or otherwise to obtain similar insurance in place of such policies, in each case at the expense of the Borrower (to be payable on demand). The amount of any such expenses shall accrue interest at the Default Rate if not paid on demand and shall constitute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Payment of Obligations</w:t>
      </w:r>
      <w:r>
        <w:rPr>
          <w:rFonts w:ascii="Times New Roman" w:hAnsi="Times New Roman"/>
          <w:sz w:val="20"/>
        </w:rPr>
        <w:t xml:space="preserve">. The Borrower will, and will cause each of its Subsidiaries to, pay, discharge or otherwise satisfy as the same shall become due and payable, all of its obligations and liabilities, including Tax liabilities, unless the same are being contested in good faith by appropriate proceedings diligently conducted and adequate reserves in accordance with GAAP are being maintained by the Borrower or such Subsidiary, except to the extent that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Compliance with Laws</w:t>
      </w:r>
      <w:r>
        <w:rPr>
          <w:rFonts w:ascii="Times New Roman" w:hAnsi="Times New Roman"/>
          <w:sz w:val="20"/>
        </w:rPr>
        <w:t xml:space="preserve">. The Borrower will, and will cause each of its Subsidiaries to, comply with the requirements of all Applicable Laws and all orders, writs, injunctions and decrees applicable to it or to its business or property, except to the extent that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Environmental Matters</w:t>
      </w:r>
      <w:r>
        <w:rPr>
          <w:rFonts w:ascii="Times New Roman" w:hAnsi="Times New Roman"/>
          <w:sz w:val="20"/>
        </w:rPr>
        <w:t xml:space="preserve">. Except to the extent that the failure to do so could not reasonably be expected to have a Material Adverse Effect, the Borrower will, and will cause each of its Subsidiaries to, (a) comply with all applicable Environmental Laws, (b) obtain, maintain in full force and effect and comply with any permits, licenses or approvals required by applicable Environmental Law for the facilities or operations of the Borrower or any of its Subsidiaries, and (c) conduct and complete any investigation, study, sampling or testing, and undertake any corrective, cleanup, removal, response, remedial or other action to the extent each such action is required by applicable Environmental Law to be taken by the Borrower and necessary to identify, report, remove and clean up all Hazardous Materials present or released by Borrower or any of its Subsidiaries from time to time at, on, in, under or from any of the properties of the Borrower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Books and Records</w:t>
      </w:r>
      <w:r>
        <w:rPr>
          <w:rFonts w:ascii="Times New Roman" w:hAnsi="Times New Roman"/>
          <w:sz w:val="20"/>
        </w:rPr>
        <w:t xml:space="preserve">. The Borrower will, and will cause each of its Subsidiaries to, maintain proper books of record and account, in which full, true and correct entries in conformity with GAAP consistently applied shall be made of all financial transactions and matters involving the assets and business of the Borrower or such Subsidiary,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Inspection Rights</w:t>
      </w:r>
      <w:r>
        <w:rPr>
          <w:rFonts w:ascii="Times New Roman" w:hAnsi="Times New Roman"/>
          <w:sz w:val="20"/>
        </w:rPr>
        <w:t xml:space="preserve">. The Borrower will, and will cause each of its Subsidiaries to,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reasonable expense of the Borrower and upon reasonable prior notice at such reasonable times during normal business hours and as often as may be reasonably requested; </w:t>
      </w:r>
      <w:r>
        <w:rPr>
          <w:rFonts w:ascii="Times New Roman" w:hAnsi="Times New Roman"/>
          <w:sz w:val="20"/>
          <w:u w:val="single"/>
        </w:rPr>
        <w:t>provided</w:t>
      </w:r>
      <w:r>
        <w:rPr>
          <w:rFonts w:ascii="Times New Roman" w:hAnsi="Times New Roman"/>
          <w:sz w:val="20"/>
        </w:rPr>
        <w:t xml:space="preserve"> that, other than with respect to such visits and inspections during the continuation of an Event of Default, (a) only the Administrative Agent on behalf of the Lenders may exercise rights under this Section and (b) the Administrative Agent shall not exercise such rights more often than four times during any calendar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when an Event of Default exists the Administrative Agent or any Lender (or any of their respective representatives or independent contractors) may do any of the foregoing under this Section at the expense of the Borrower and at any time during normal business hours and without advance notice. The Administrative Agent and the Lenders shall give the Borrower the opportunity to participate in any discussions with the Borrower’s accountants.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Use of Proceeds</w:t>
      </w:r>
      <w:r>
        <w:rPr>
          <w:rFonts w:ascii="Times New Roman" w:hAnsi="Times New Roman"/>
          <w:sz w:val="20"/>
        </w:rPr>
        <w:t xml:space="preserve">. The Borrower will, and will cause each of its Subsidiaries to, use the proceeds of the Loans and Letters of Credit (i) for working capital and general corporate purposes of the Borrower and its Subsidiaries not in contravention of any Applicable Law or of any Loan Document, and (ii) without duplication of the foregoing, to pay fees and expenses associated with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Sanctions; Anti-Corruption Laws</w:t>
      </w:r>
      <w:r>
        <w:rPr>
          <w:rFonts w:ascii="Times New Roman" w:hAnsi="Times New Roman"/>
          <w:sz w:val="20"/>
        </w:rPr>
        <w:t xml:space="preserve">. The Borrower will maintain in effect policies and procedures designed to promote compliance by the Borrower, its Subsidiaries, and their respective directors, officers, employees, and agents with applicable Sanctions and with the FCPA, the UK Bribery Act, and any other applicable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Information Regarding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will furnish to the Administrative Agent prompt (and, in any event, within ten Business Days after the occurrence thereof) written notice of any change (i) in any of the Borrower’s or any of its Subsidiaries’ legal name, as set forth in the Borrower’s or such Subsidiary’s organizational documents, (ii) in the jurisdiction of incorporation or organization of the Borrower or any of its Subsidiaries, (iii) in the form of organization of any of the Borrower or its Subsidiaries or (iv) in any of the Borrower’s or any of its Subsidiaries’ organizational identification number, if any. </w:t>
      </w:r>
    </w:p>
    <w:p>
      <w:pPr>
        <w:pStyle w:val="TextBody"/>
        <w:bidi w:val="0"/>
        <w:spacing w:before="120" w:after="0"/>
        <w:jc w:val="left"/>
        <w:rPr>
          <w:rFonts w:ascii="Times New Roman" w:hAnsi="Times New Roman"/>
          <w:sz w:val="20"/>
        </w:rPr>
      </w:pPr>
      <w:r>
        <w:rPr>
          <w:rFonts w:ascii="Times New Roman" w:hAnsi="Times New Roman"/>
          <w:sz w:val="20"/>
        </w:rPr>
        <w:t xml:space="preserve">(b) At the time of delivery of each Compliance Certificate delivered in accordance with </w:t>
      </w:r>
      <w:r>
        <w:rPr>
          <w:rFonts w:ascii="Times New Roman" w:hAnsi="Times New Roman"/>
          <w:sz w:val="20"/>
          <w:u w:val="single"/>
        </w:rPr>
        <w:t>Section 5.01(a)</w:t>
      </w:r>
      <w:r>
        <w:rPr>
          <w:rFonts w:ascii="Times New Roman" w:hAnsi="Times New Roman"/>
          <w:sz w:val="20"/>
        </w:rPr>
        <w:t xml:space="preserve"> the Borrower shall deliver to the Administrative Agent a completed Supplemental Perfection Certificate, signed by a Financial Officer of the Borrower, (i) setting forth the information required pursuant to the Supplemental Perfection Certificate and indicating any changes in such information from the most recent Supplemental Perfection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pursuant to this Section (or, prior to the first delivery of a Supplemental Perfection Certificate, from the Perfection Certificate delivered on the Closing Date) or (ii) certifying that there has been no change in such information from the most recent Supplemental Perfection Certificate delivered pursuant to this Section (or, prior to the first delivery of a Supplemental Perfection Certificate, from the Perfection Certificate delivered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Additional Subsidiaries</w:t>
      </w:r>
      <w:r>
        <w:rPr>
          <w:rFonts w:ascii="Times New Roman" w:hAnsi="Times New Roman"/>
          <w:sz w:val="20"/>
        </w:rPr>
        <w:t xml:space="preserve">. If any additional Subsidiary other than an Excluded Foreign Subsidiary is formed or acquired after the Closing Date, then the Borrower will, as promptly as practicable thereafter and, in any event, within 30 days (or such longer period as the Administrative Agent may, in its sole discretion, agree to in writing) after such Subsidiary is formed or acquired, notify the Administrative Agent thereof and cause the Collateral and Guarantee Requirement to be satisfied with respect to such Subsidiary and with respect to any Equity Interest in or Indebtedness of such Subsidiary owned by or on behalf of any Subsidiary and take any other such action as shall be reasonably necessary or desirable or reasonably requested by the Administrative Agent to create and perfect, in favor of the Administrative Agent, for the benefit of the Lenders, valid and enforceable first priority Liens on substantially all of the property of such Subsidiary as collateral security for the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Further Assurances</w:t>
      </w:r>
      <w:r>
        <w:rPr>
          <w:rFonts w:ascii="Times New Roman" w:hAnsi="Times New Roman"/>
          <w:sz w:val="20"/>
        </w:rPr>
        <w:t xml:space="preserve">. The Borrower will, and will cause each Subsidiary to, execute any and all further documents, financing statements, agreements and instruments, and take all such further actions (including the filing and recording of financing statements, fixture filings, mortgages, deeds of trust and other documents), that are required under Applicable Law, or that the Administrative Agent or the Lenders may reasonably request in writing to cause the Collateral and Guarantee Requirement to be and remain satisfied, all at the expense of the Borrower. The Borrower also agrees to provide to the Administrative Agent, from time to time upon written request, evidence reasonably satisfactory to the Administrative Agent as to the perfection and priority of the Liens created or intended to be created by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Cash Management</w:t>
      </w:r>
      <w:r>
        <w:rPr>
          <w:rFonts w:ascii="Times New Roman" w:hAnsi="Times New Roman"/>
          <w:sz w:val="20"/>
        </w:rPr>
        <w:t xml:space="preserve">. The Borrower shall, and shall cause each of its Subsidiaries to: </w:t>
      </w:r>
    </w:p>
    <w:p>
      <w:pPr>
        <w:pStyle w:val="TextBody"/>
        <w:bidi w:val="0"/>
        <w:spacing w:before="120" w:after="0"/>
        <w:jc w:val="left"/>
        <w:rPr>
          <w:rFonts w:ascii="Times New Roman" w:hAnsi="Times New Roman"/>
          <w:sz w:val="20"/>
        </w:rPr>
      </w:pPr>
      <w:r>
        <w:rPr>
          <w:rFonts w:ascii="Times New Roman" w:hAnsi="Times New Roman"/>
          <w:sz w:val="20"/>
        </w:rPr>
        <w:t>(a) maintain at all times all Deposit Accounts, Securities Accounts, Commodity Accounts, lockboxes and similar accounts (other than Excluded Accounts) located in the United States held by the Borrower and each of its Subsidiaries with a bank or financial institution that has executed and delivered to and in favor of the Administrative Agent an account control agreement, in form and substance reasonably acceptable to the Administrative Agent (each such Deposit Account, Securities Account, Commodity Account, lockbox or similar account, a “</w:t>
      </w:r>
      <w:r>
        <w:rPr>
          <w:rFonts w:ascii="Times New Roman" w:hAnsi="Times New Roman"/>
          <w:sz w:val="20"/>
          <w:u w:val="single"/>
        </w:rPr>
        <w:t>Controlled Account</w:t>
      </w:r>
      <w:r>
        <w:rPr>
          <w:rFonts w:ascii="Times New Roman" w:hAnsi="Times New Roman"/>
          <w:sz w:val="20"/>
        </w:rPr>
        <w:t xml:space="preserve">”), it being understood and agreed that upon opening any such any Deposit Account, Securities Account, Commodity Account, lockbox or similar account after the date hereof that is not an Excluded Account, such new accounts shall not be required to be a Controlled Account until the 45th day following the opening of such account;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all cash, checks, drafts or other similar items of payment relating to or constituting payments made in respect of any and all accounts receivable, Contractual Obligations or any other rights and interests, deposit promptly, and in any event, (i) with respect to any such items of payment paid to and received by the Borrower or any Subsidiary in the United States, no later than seven (7) Business Days after the date of receipt thereof, and (ii) with respect to any such items of payment paid to and received by the Borrower or any Subsidiary in a jurisdiction outside the United States, no later than thirty (30) days after the date of receipt thereof, in either case into one or more Controlled Accounts (other than any of the foregoing that are permitted to be deposited into Excluded Accounts);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any time, have no more than an aggregate amount of $3,000,000 on deposit in the deposit accounts described in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of the definition of Excluded Account and promptly, but in any event within five (5) Business Days, upon the expiration, cancellation or termination of the any Permitted Other Letter of Credit, transfer funds in the relevant deposit account that are in excess of the amount required to cash collateralize any remaining Permitted Other Letters of Credit to a Controlled Account.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u w:val="single"/>
        </w:rPr>
        <w:t>NEGATIVE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all Obligations have been paid in full (other than contingent indemnification obligations for which no claim has been asserted), the Borrower covenants and agrees with the Lenders that on and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w:t>
      </w:r>
      <w:r>
        <w:rPr>
          <w:rFonts w:ascii="Times New Roman" w:hAnsi="Times New Roman"/>
          <w:sz w:val="20"/>
        </w:rPr>
        <w:t xml:space="preserve">. The Borrower will not, nor will it permit any Subsidiary to, create, incur, assume or suffer to exist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outstanding on the Closing Date and listed on </w:t>
      </w:r>
      <w:r>
        <w:rPr>
          <w:rFonts w:ascii="Times New Roman" w:hAnsi="Times New Roman"/>
          <w:sz w:val="20"/>
          <w:u w:val="single"/>
        </w:rPr>
        <w:t>Schedule 6.01</w:t>
      </w:r>
      <w:r>
        <w:rPr>
          <w:rFonts w:ascii="Times New Roman" w:hAnsi="Times New Roman"/>
          <w:sz w:val="20"/>
        </w:rPr>
        <w:t xml:space="preserve">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w:t>
      </w:r>
    </w:p>
    <w:p>
      <w:pPr>
        <w:pStyle w:val="TextBody"/>
        <w:bidi w:val="0"/>
        <w:spacing w:before="120" w:after="0"/>
        <w:jc w:val="left"/>
        <w:rPr>
          <w:rFonts w:ascii="Times New Roman" w:hAnsi="Times New Roman"/>
          <w:sz w:val="20"/>
        </w:rPr>
      </w:pPr>
      <w:r>
        <w:rPr>
          <w:rFonts w:ascii="Times New Roman" w:hAnsi="Times New Roman"/>
          <w:sz w:val="20"/>
        </w:rPr>
        <w:t xml:space="preserve">(c) Guarantees of the Borrower or any Subsidiary (other than an Excluded Foreign Subsidiary) in respect of Indebtedness otherwise permitted hereunder of the Borrower or any Wholly-Owned Subsidiary; </w:t>
      </w:r>
    </w:p>
    <w:p>
      <w:pPr>
        <w:pStyle w:val="TextBody"/>
        <w:bidi w:val="0"/>
        <w:spacing w:before="120" w:after="0"/>
        <w:jc w:val="left"/>
        <w:rPr>
          <w:rFonts w:ascii="Times New Roman" w:hAnsi="Times New Roman"/>
          <w:sz w:val="20"/>
        </w:rPr>
      </w:pPr>
      <w:r>
        <w:rPr>
          <w:rFonts w:ascii="Times New Roman" w:hAnsi="Times New Roman"/>
          <w:sz w:val="20"/>
        </w:rPr>
        <w:t xml:space="preserve">(d) obligations (contingent or otherwise) of the Borrower or any Subsidiary existing or arising under any Swap Contract, </w:t>
      </w:r>
      <w:r>
        <w:rPr>
          <w:rFonts w:ascii="Times New Roman" w:hAnsi="Times New Roman"/>
          <w:sz w:val="20"/>
          <w:u w:val="single"/>
        </w:rPr>
        <w:t>provided</w:t>
      </w:r>
      <w:r>
        <w:rPr>
          <w:rFonts w:ascii="Times New Roman" w:hAnsi="Times New Roman"/>
          <w:sz w:val="20"/>
        </w:rPr>
        <w:t xml:space="preserve"> that such obligations are (or were) entered into by such Person in the ordinary course of business for the purpose of mitigating risks associated with liabilities, commitments, investments, assets or property held or reasonably anticipated by such Person, or changes in the value of securities issued by such Person,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in respect of capital leases, Synthetic Lease Obligations and purchase money obligations for fixed or capital assets within the limitations set forth in </w:t>
      </w:r>
      <w:r>
        <w:rPr>
          <w:rFonts w:ascii="Times New Roman" w:hAnsi="Times New Roman"/>
          <w:sz w:val="20"/>
          <w:u w:val="single"/>
        </w:rPr>
        <w:t>Section 6.02(i)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aggregate amount of all such Indebtedness at any time outstanding shall not exceed $15,000,000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prior to the entry into any definitive document, instrument or agreement with respect to any Indebtedness in excess of $1,000,000 in respect of capital leases, Synthetic Lease Obligations or purchase money obligations for fixed capital assets within the limitations set forth in </w:t>
      </w:r>
      <w:r>
        <w:rPr>
          <w:rFonts w:ascii="Times New Roman" w:hAnsi="Times New Roman"/>
          <w:sz w:val="20"/>
          <w:u w:val="single"/>
        </w:rPr>
        <w:t>Section 6.02(i)</w:t>
      </w:r>
      <w:r>
        <w:rPr>
          <w:rFonts w:ascii="Times New Roman" w:hAnsi="Times New Roman"/>
          <w:sz w:val="20"/>
        </w:rPr>
        <w:t xml:space="preserve">, the Borrower shall provide a copy of such definitive document, instrument or agreement to the Administrative Agent 10 Business Days prior to the incurrence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Indebtedness of any Person that becomes a Subsidiary after the Closing Date; </w:t>
      </w:r>
      <w:r>
        <w:rPr>
          <w:rFonts w:ascii="Times New Roman" w:hAnsi="Times New Roman"/>
          <w:sz w:val="20"/>
          <w:u w:val="single"/>
        </w:rPr>
        <w:t>provided</w:t>
      </w:r>
      <w:r>
        <w:rPr>
          <w:rFonts w:ascii="Times New Roman" w:hAnsi="Times New Roman"/>
          <w:sz w:val="20"/>
        </w:rPr>
        <w:t xml:space="preserve"> that (i) such Indebtedness exists at the time such Person becomes a Subsidiary and is not created in contemplation of or in connection with such Person becoming a Subsidiary and (ii) the aggregate principal amount of Indebtedness permitted by this </w:t>
      </w:r>
      <w:r>
        <w:rPr>
          <w:rFonts w:ascii="Times New Roman" w:hAnsi="Times New Roman"/>
          <w:sz w:val="20"/>
          <w:u w:val="single"/>
        </w:rPr>
        <w:t>clause (f)</w:t>
      </w:r>
      <w:r>
        <w:rPr>
          <w:rFonts w:ascii="Times New Roman" w:hAnsi="Times New Roman"/>
          <w:sz w:val="20"/>
        </w:rPr>
        <w:t xml:space="preserve"> shall not exceed $10,000,000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(g) Indebtedness of the Borrower or any Subsidiary as an account party in respect of commercial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(h)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(i) resulting from a bank or other financial institution honoring a check, draft or similar instrument in the ordinary course of business or (ii) arising under or in connection with cash management services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(j) Indebtedness consisting of the financing of insurance premiums payable within one (1) year; </w:t>
      </w:r>
    </w:p>
    <w:p>
      <w:pPr>
        <w:pStyle w:val="TextBody"/>
        <w:bidi w:val="0"/>
        <w:spacing w:before="120" w:after="0"/>
        <w:jc w:val="left"/>
        <w:rPr>
          <w:rFonts w:ascii="Times New Roman" w:hAnsi="Times New Roman"/>
          <w:sz w:val="20"/>
        </w:rPr>
      </w:pPr>
      <w:r>
        <w:rPr>
          <w:rFonts w:ascii="Times New Roman" w:hAnsi="Times New Roman"/>
          <w:sz w:val="20"/>
        </w:rPr>
        <w:t xml:space="preserve">(k) Indebtedness of Borrower or any Subsidiary owed to Weichai or any Subsidiary of Weichai that is not a Loan Party; </w:t>
      </w:r>
      <w:r>
        <w:rPr>
          <w:rFonts w:ascii="Times New Roman" w:hAnsi="Times New Roman"/>
          <w:sz w:val="20"/>
          <w:u w:val="single"/>
        </w:rPr>
        <w:t>provided</w:t>
      </w:r>
      <w:r>
        <w:rPr>
          <w:rFonts w:ascii="Times New Roman" w:hAnsi="Times New Roman"/>
          <w:sz w:val="20"/>
        </w:rPr>
        <w:t xml:space="preserve"> that, such Indebtedness is (i) unsecured, (ii) subordinated to the Obligations pursuant to a subordination agreement or subordination provisions, in form and substance reasonably satisfactory to the Required Lenders, (iii) a copy of the instrument or agreement, if any, that will evidence such Indebtedness has been provided to the Administrative Agent five (5) Business Days prior to the incurrence thereto, and (iv) such Indebtedness shall at no time exceed $105,000,000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(l) Indebtedness owing by any Loan Party to any other Loan Party; </w:t>
      </w:r>
    </w:p>
    <w:p>
      <w:pPr>
        <w:pStyle w:val="TextBody"/>
        <w:bidi w:val="0"/>
        <w:spacing w:before="120" w:after="0"/>
        <w:jc w:val="left"/>
        <w:rPr>
          <w:rFonts w:ascii="Times New Roman" w:hAnsi="Times New Roman"/>
          <w:sz w:val="20"/>
        </w:rPr>
      </w:pPr>
      <w:r>
        <w:rPr>
          <w:rFonts w:ascii="Times New Roman" w:hAnsi="Times New Roman"/>
          <w:sz w:val="20"/>
        </w:rPr>
        <w:t xml:space="preserve">(m) Indebtedness assumed in connection with a Permitted Acquisition in an amount not to exceed $6,500,000; </w:t>
      </w:r>
    </w:p>
    <w:p>
      <w:pPr>
        <w:pStyle w:val="TextBody"/>
        <w:bidi w:val="0"/>
        <w:spacing w:before="120" w:after="0"/>
        <w:jc w:val="left"/>
        <w:rPr>
          <w:rFonts w:ascii="Times New Roman" w:hAnsi="Times New Roman"/>
          <w:sz w:val="20"/>
        </w:rPr>
      </w:pPr>
      <w:r>
        <w:rPr>
          <w:rFonts w:ascii="Times New Roman" w:hAnsi="Times New Roman"/>
          <w:sz w:val="20"/>
        </w:rPr>
        <w:t xml:space="preserve">(n) Indebtedness owing by an Excluded Foreign Subsidiary to a Loan Party in an amount not to exceed $100,000 at any time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(o) unsecured Indebtedness in an aggregate principal amount not exceeding $10,000,000 at any time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unsecured Indebtedness shall not be owed to Weichai, any Subsidiary of Weichai, or any other Affiliate of the Borrower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The Borrower will not, nor will it permit any Subsidiary to, create, incur, assume or suffer to exist any Lien upon any of its property, assets or revenues, whether now owned or hereafter acquired, other than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Liens arising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Liens existing on the Closing Date and listed on </w:t>
      </w:r>
      <w:r>
        <w:rPr>
          <w:rFonts w:ascii="Times New Roman" w:hAnsi="Times New Roman"/>
          <w:sz w:val="20"/>
          <w:u w:val="single"/>
        </w:rPr>
        <w:t>Schedule 6.02</w:t>
      </w:r>
      <w:r>
        <w:rPr>
          <w:rFonts w:ascii="Times New Roman" w:hAnsi="Times New Roman"/>
          <w:sz w:val="20"/>
        </w:rPr>
        <w:t xml:space="preserve"> and any renewals or extensions thereof, </w:t>
      </w:r>
      <w:r>
        <w:rPr>
          <w:rFonts w:ascii="Times New Roman" w:hAnsi="Times New Roman"/>
          <w:sz w:val="20"/>
          <w:u w:val="single"/>
        </w:rPr>
        <w:t>provided</w:t>
      </w:r>
      <w:r>
        <w:rPr>
          <w:rFonts w:ascii="Times New Roman" w:hAnsi="Times New Roman"/>
          <w:sz w:val="20"/>
        </w:rPr>
        <w:t xml:space="preserve"> that (i) the property covered thereby is not changed, (ii) the amount secured or benefited thereby is not increased except as contemplated by </w:t>
      </w:r>
      <w:r>
        <w:rPr>
          <w:rFonts w:ascii="Times New Roman" w:hAnsi="Times New Roman"/>
          <w:sz w:val="20"/>
          <w:u w:val="single"/>
        </w:rPr>
        <w:t>Section 6.01(b)</w:t>
      </w:r>
      <w:r>
        <w:rPr>
          <w:rFonts w:ascii="Times New Roman" w:hAnsi="Times New Roman"/>
          <w:sz w:val="20"/>
        </w:rPr>
        <w:t xml:space="preserve">, (iii) the direct or any contingent obligor with respect thereto is not changed and (iv) any renewal or extension of the obligations secured or benefited thereby is permitted by </w:t>
      </w:r>
      <w:r>
        <w:rPr>
          <w:rFonts w:ascii="Times New Roman" w:hAnsi="Times New Roman"/>
          <w:sz w:val="20"/>
          <w:u w:val="single"/>
        </w:rPr>
        <w:t>Section 6.01(b)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Liens for Taxes not yet due or that are being contested in good faith and by appropriate proceedings diligently conducted, if adequate reserves with respect thereto are maintained on the books of the applicable Person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(d) carriers’, warehousemen’s, mechanics’, materialmen’s, repairmen’s or other like Liens arising in the ordinary course of business that are not overdue for a period of more than 30 days or that are being contested in good faith and by appropriate proceedings diligently conducted, if adequate reserves with respect thereto are maintained on the books of the applicable Person; </w:t>
      </w:r>
    </w:p>
    <w:p>
      <w:pPr>
        <w:pStyle w:val="TextBody"/>
        <w:bidi w:val="0"/>
        <w:spacing w:before="120" w:after="0"/>
        <w:jc w:val="left"/>
        <w:rPr>
          <w:rFonts w:ascii="Times New Roman" w:hAnsi="Times New Roman"/>
          <w:sz w:val="20"/>
        </w:rPr>
      </w:pPr>
      <w:r>
        <w:rPr>
          <w:rFonts w:ascii="Times New Roman" w:hAnsi="Times New Roman"/>
          <w:sz w:val="20"/>
        </w:rPr>
        <w:t xml:space="preserve">(e) pledges or deposits in the ordinary course of business in connection with (i) workers’ compensation, unemployment insurance and other social security legislation, other than any Lien imposed by ERISA, and (ii) public utility services provided to the Borrower or a Subsidiary; </w:t>
      </w:r>
    </w:p>
    <w:p>
      <w:pPr>
        <w:pStyle w:val="TextBody"/>
        <w:bidi w:val="0"/>
        <w:spacing w:before="120" w:after="0"/>
        <w:jc w:val="left"/>
        <w:rPr>
          <w:rFonts w:ascii="Times New Roman" w:hAnsi="Times New Roman"/>
          <w:sz w:val="20"/>
        </w:rPr>
      </w:pPr>
      <w:r>
        <w:rPr>
          <w:rFonts w:ascii="Times New Roman" w:hAnsi="Times New Roman"/>
          <w:sz w:val="20"/>
        </w:rPr>
        <w:t xml:space="preserve">(f) deposits to secure the performance of bids, trade contracts and leases (other than Indebtedness), statutory obligations, surety and appeal bonds, performance bonds and other obligations of a like nature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applicable Person, and any zoning or similar law or right reserved to or vested in any Governmental Authority to control or regulate the use of any real property that does not materially interfere with the ordinary conduct of the business of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Liens securing judgments for the payment of money not constituting an Event of Default under </w:t>
      </w:r>
      <w:r>
        <w:rPr>
          <w:rFonts w:ascii="Times New Roman" w:hAnsi="Times New Roman"/>
          <w:sz w:val="20"/>
          <w:u w:val="single"/>
        </w:rPr>
        <w:t>Section 7.01(j)</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Liens securing Indebtedness permitted under </w:t>
      </w:r>
      <w:r>
        <w:rPr>
          <w:rFonts w:ascii="Times New Roman" w:hAnsi="Times New Roman"/>
          <w:sz w:val="20"/>
          <w:u w:val="single"/>
        </w:rPr>
        <w:t>Section 6.01(e)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(j) any Lien existing on any property or asset prior to the acquisition thereof by the Borrower or any Subsidiary or existing on any property or asset of any Person that becomes a Subsidiary after the Closing Date prior to the time such Person becomes a Subsidiary;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Liens (i) of a collecting bank arising under Section 4-210 of the Uniform Commercial Code on items in the course of collection, and (ii) in favor of a banking institution arising as a matter of law encumbering deposits (including the right of setoff) that are customary in the banking industry; </w:t>
      </w:r>
    </w:p>
    <w:p>
      <w:pPr>
        <w:pStyle w:val="TextBody"/>
        <w:bidi w:val="0"/>
        <w:spacing w:before="120" w:after="0"/>
        <w:jc w:val="left"/>
        <w:rPr>
          <w:rFonts w:ascii="Times New Roman" w:hAnsi="Times New Roman"/>
          <w:sz w:val="20"/>
        </w:rPr>
      </w:pPr>
      <w:r>
        <w:rPr>
          <w:rFonts w:ascii="Times New Roman" w:hAnsi="Times New Roman"/>
          <w:sz w:val="20"/>
        </w:rPr>
        <w:t xml:space="preserve">(l) any interest or title of a lessor, sublessor, licensor or sublicensor under leases or licenses permitted by this Agreement that are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(m) leases, licenses, subleases or sublicenses granted to others in the ordinary course of business that do not (i) interfere in any material respect with the ordinary conduct of the business of the Borrower and its Subsidiaries, or (ii)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(n) Liens in favor of customs and revenue authorities arising as a matter of law to secure payment of customs duties in connection with the importation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(o) Liens in favor of a bank issuing one or more Letters of Credit or Permitted Other Letters of Credit to secure Indebtedness referred to in </w:t>
      </w:r>
      <w:r>
        <w:rPr>
          <w:rFonts w:ascii="Times New Roman" w:hAnsi="Times New Roman"/>
          <w:sz w:val="20"/>
          <w:u w:val="single"/>
        </w:rPr>
        <w:t>Section 6.01(g)</w:t>
      </w:r>
      <w:r>
        <w:rPr>
          <w:rFonts w:ascii="Times New Roman" w:hAnsi="Times New Roman"/>
          <w:sz w:val="20"/>
        </w:rPr>
        <w:t xml:space="preserve"> hereof to the extent contemplated in subsection (d) in the definition of Excluded Accounts; </w:t>
      </w:r>
    </w:p>
    <w:p>
      <w:pPr>
        <w:pStyle w:val="TextBody"/>
        <w:bidi w:val="0"/>
        <w:spacing w:before="120" w:after="0"/>
        <w:jc w:val="left"/>
        <w:rPr>
          <w:rFonts w:ascii="Times New Roman" w:hAnsi="Times New Roman"/>
          <w:sz w:val="20"/>
        </w:rPr>
      </w:pPr>
      <w:r>
        <w:rPr>
          <w:rFonts w:ascii="Times New Roman" w:hAnsi="Times New Roman"/>
          <w:sz w:val="20"/>
        </w:rPr>
        <w:t xml:space="preserve">(p) purported Liens evidenced by the filing of precautionary UCC financing statements relating solely to operating leases of personal property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(q) any zoning or similar law or right reserved to or vested in any governmental office or agency to control or regulate the use of any real property; and </w:t>
      </w:r>
    </w:p>
    <w:p>
      <w:pPr>
        <w:pStyle w:val="TextBody"/>
        <w:bidi w:val="0"/>
        <w:spacing w:before="120" w:after="0"/>
        <w:jc w:val="left"/>
        <w:rPr>
          <w:rFonts w:ascii="Times New Roman" w:hAnsi="Times New Roman"/>
          <w:sz w:val="20"/>
        </w:rPr>
      </w:pPr>
      <w:r>
        <w:rPr>
          <w:rFonts w:ascii="Times New Roman" w:hAnsi="Times New Roman"/>
          <w:sz w:val="20"/>
        </w:rPr>
        <w:t xml:space="preserve">(r) Liens securing financing arrangements with respect to insurance premiums.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Fundamental Changes</w:t>
      </w:r>
      <w:r>
        <w:rPr>
          <w:rFonts w:ascii="Times New Roman" w:hAnsi="Times New Roman"/>
          <w:sz w:val="20"/>
        </w:rPr>
        <w:t xml:space="preserve">. The Borrower will not, nor will it permit any Subsidiary to,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(a) any Subsidiary may merge with (i) the Borrower, </w:t>
      </w:r>
      <w:r>
        <w:rPr>
          <w:rFonts w:ascii="Times New Roman" w:hAnsi="Times New Roman"/>
          <w:sz w:val="20"/>
          <w:u w:val="single"/>
        </w:rPr>
        <w:t>provided</w:t>
      </w:r>
      <w:r>
        <w:rPr>
          <w:rFonts w:ascii="Times New Roman" w:hAnsi="Times New Roman"/>
          <w:sz w:val="20"/>
        </w:rPr>
        <w:t xml:space="preserve"> that the Borrower shall be the continuing or surviving Person, or (ii) any one or more other Subsidiaries, </w:t>
      </w:r>
      <w:r>
        <w:rPr>
          <w:rFonts w:ascii="Times New Roman" w:hAnsi="Times New Roman"/>
          <w:sz w:val="20"/>
          <w:u w:val="single"/>
        </w:rPr>
        <w:t>provided</w:t>
      </w:r>
      <w:r>
        <w:rPr>
          <w:rFonts w:ascii="Times New Roman" w:hAnsi="Times New Roman"/>
          <w:sz w:val="20"/>
        </w:rPr>
        <w:t xml:space="preserve"> that when any Wholly-Owned Subsidiary is merging with another Subsidiary, a Wholly-Owned Subsidiary shall be the continuing or surviving Person; </w:t>
      </w:r>
    </w:p>
    <w:p>
      <w:pPr>
        <w:pStyle w:val="TextBody"/>
        <w:bidi w:val="0"/>
        <w:spacing w:before="120" w:after="0"/>
        <w:jc w:val="left"/>
        <w:rPr>
          <w:rFonts w:ascii="Times New Roman" w:hAnsi="Times New Roman"/>
          <w:sz w:val="20"/>
        </w:rPr>
      </w:pPr>
      <w:r>
        <w:rPr>
          <w:rFonts w:ascii="Times New Roman" w:hAnsi="Times New Roman"/>
          <w:sz w:val="20"/>
        </w:rPr>
        <w:t xml:space="preserve">(b) any Subsidiary may Dispose of all or substantially all of its assets (upon voluntary liquidation or otherwise) to the Borrower or to another Subsidiary (other than an Excluded Foreign Subsidiary); </w:t>
      </w:r>
      <w:r>
        <w:rPr>
          <w:rFonts w:ascii="Times New Roman" w:hAnsi="Times New Roman"/>
          <w:sz w:val="20"/>
          <w:u w:val="single"/>
        </w:rPr>
        <w:t>provided</w:t>
      </w:r>
      <w:r>
        <w:rPr>
          <w:rFonts w:ascii="Times New Roman" w:hAnsi="Times New Roman"/>
          <w:sz w:val="20"/>
        </w:rPr>
        <w:t xml:space="preserve"> that if the transferor in such a transaction is a Wholly-Owned Subsidiary, then the transferee shall either be the Borrower or another Wholly-Owned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Borrower and its Subsidiaries may make Dispositions permitted by </w:t>
      </w:r>
      <w:r>
        <w:rPr>
          <w:rFonts w:ascii="Times New Roman" w:hAnsi="Times New Roman"/>
          <w:sz w:val="20"/>
          <w:u w:val="single"/>
        </w:rPr>
        <w:t>Section 6.04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any Investment permitted by </w:t>
      </w:r>
      <w:r>
        <w:rPr>
          <w:rFonts w:ascii="Times New Roman" w:hAnsi="Times New Roman"/>
          <w:sz w:val="20"/>
          <w:u w:val="single"/>
        </w:rPr>
        <w:t>Section 6.06</w:t>
      </w:r>
      <w:r>
        <w:rPr>
          <w:rFonts w:ascii="Times New Roman" w:hAnsi="Times New Roman"/>
          <w:sz w:val="20"/>
        </w:rPr>
        <w:t xml:space="preserve"> may be structured as a merger, consolidation or amalgamation (provided that the surviving Person of such merger, consolidation or amalgamation is not an Excluded Foreign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(e) any Subsidiary may dissolve, liquidate or wind up its affairs if it owns no material assets, engages in no business and otherwise has no activities other than activities related to the maintenance of its existence and good 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Dispositions</w:t>
      </w:r>
      <w:r>
        <w:rPr>
          <w:rFonts w:ascii="Times New Roman" w:hAnsi="Times New Roman"/>
          <w:sz w:val="20"/>
        </w:rPr>
        <w:t xml:space="preserve">. The Borrower will not, and will not permit any Subsidiary to, make any Disposition or enter into any agreement to make any Disposition, except: </w:t>
      </w:r>
    </w:p>
    <w:p>
      <w:pPr>
        <w:pStyle w:val="TextBody"/>
        <w:bidi w:val="0"/>
        <w:spacing w:before="120" w:after="0"/>
        <w:jc w:val="left"/>
        <w:rPr>
          <w:rFonts w:ascii="Times New Roman" w:hAnsi="Times New Roman"/>
          <w:sz w:val="20"/>
        </w:rPr>
      </w:pPr>
      <w:r>
        <w:rPr>
          <w:rFonts w:ascii="Times New Roman" w:hAnsi="Times New Roman"/>
          <w:sz w:val="20"/>
        </w:rPr>
        <w:t xml:space="preserve">(a) Dispositions of obsolete or worn out property, whether now owned or hereafter acquired,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Dispositions of inventory and Investments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(c) 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 </w:t>
      </w:r>
    </w:p>
    <w:p>
      <w:pPr>
        <w:pStyle w:val="TextBody"/>
        <w:bidi w:val="0"/>
        <w:spacing w:before="120" w:after="0"/>
        <w:jc w:val="left"/>
        <w:rPr>
          <w:rFonts w:ascii="Times New Roman" w:hAnsi="Times New Roman"/>
          <w:sz w:val="20"/>
        </w:rPr>
      </w:pPr>
      <w:r>
        <w:rPr>
          <w:rFonts w:ascii="Times New Roman" w:hAnsi="Times New Roman"/>
          <w:sz w:val="20"/>
        </w:rPr>
        <w:t xml:space="preserve">(d) Dispositions of property by any Subsidiary to the Borrower or to a Wholly-Owned Subsidiary (other than an Excluded Foreign Subsidiary); </w:t>
      </w:r>
    </w:p>
    <w:p>
      <w:pPr>
        <w:pStyle w:val="TextBody"/>
        <w:bidi w:val="0"/>
        <w:spacing w:before="120" w:after="0"/>
        <w:jc w:val="left"/>
        <w:rPr>
          <w:rFonts w:ascii="Times New Roman" w:hAnsi="Times New Roman"/>
          <w:sz w:val="20"/>
        </w:rPr>
      </w:pPr>
      <w:r>
        <w:rPr>
          <w:rFonts w:ascii="Times New Roman" w:hAnsi="Times New Roman"/>
          <w:sz w:val="20"/>
        </w:rPr>
        <w:t xml:space="preserve">(e) Dispositions permitted by </w:t>
      </w:r>
      <w:r>
        <w:rPr>
          <w:rFonts w:ascii="Times New Roman" w:hAnsi="Times New Roman"/>
          <w:sz w:val="20"/>
          <w:u w:val="single"/>
        </w:rPr>
        <w:t>Section 6.03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leases, licenses, subleases or sublicenses (including the provision of open source software under an open source license) granted in the ordinary course of business and on ordinary commercial terms that do not interfere in any material respect with the business of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Dispositions of intellectual property rights that are no longer used or useful in the business of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the discount, write-off or Disposition of accounts receivable overdue by more than 180 days or the sale of any such accounts receivable for the purpose of collection to any collection agency,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the unwinding of any Swap Contract so long as the Swap Termination Value associated therewith does not exceed $250,000; </w:t>
      </w:r>
    </w:p>
    <w:p>
      <w:pPr>
        <w:pStyle w:val="TextBody"/>
        <w:bidi w:val="0"/>
        <w:spacing w:before="120" w:after="0"/>
        <w:jc w:val="left"/>
        <w:rPr>
          <w:rFonts w:ascii="Times New Roman" w:hAnsi="Times New Roman"/>
          <w:sz w:val="20"/>
        </w:rPr>
      </w:pPr>
      <w:r>
        <w:rPr>
          <w:rFonts w:ascii="Times New Roman" w:hAnsi="Times New Roman"/>
          <w:sz w:val="20"/>
        </w:rPr>
        <w:t xml:space="preserve">(j) Restricted Payments permitted by </w:t>
      </w:r>
      <w:r>
        <w:rPr>
          <w:rFonts w:ascii="Times New Roman" w:hAnsi="Times New Roman"/>
          <w:sz w:val="20"/>
          <w:u w:val="single"/>
        </w:rPr>
        <w:t>Section 6.05</w:t>
      </w:r>
      <w:r>
        <w:rPr>
          <w:rFonts w:ascii="Times New Roman" w:hAnsi="Times New Roman"/>
          <w:sz w:val="20"/>
        </w:rPr>
        <w:t xml:space="preserve"> and Investments permitted by </w:t>
      </w:r>
      <w:r>
        <w:rPr>
          <w:rFonts w:ascii="Times New Roman" w:hAnsi="Times New Roman"/>
          <w:sz w:val="20"/>
          <w:u w:val="single"/>
        </w:rPr>
        <w:t>Section 6.06</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(k) so long as no Event of Default has occurred and is continuing, the purchase price therefor is paid solely in cash and the seller thereof receives not less than fair market value for such assets, the sale of other assets having a value not exceeding $5,000,000 in the aggregate for the Borrower and its Subsidiaries in any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Restricted Payments</w:t>
      </w:r>
      <w:r>
        <w:rPr>
          <w:rFonts w:ascii="Times New Roman" w:hAnsi="Times New Roman"/>
          <w:sz w:val="20"/>
        </w:rPr>
        <w:t xml:space="preserve">. The Borrower will not, and will not permit any Subsidiary to, declare or make, directly or indirectly, any Restricted Payment, or incur any obligation (contingent or otherwise) to do so, except that, so long as no Default shall have occurred and be continuing at the time of any action described below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(a) each Subsidiary may make Restricted Payments to the Borrower and any other Person that owns an Equity Interest in such Subsidiary, ratably according to their respective holdings of such Equity Interests in respect of which such Restricted Payment is being made;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and each Subsidiary may declare and make dividend payments or other distributions payable solely in common Equity Interests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and each Subsidiary may purchase, redeem or otherwise acquire Equity Interests issued by it with the proceeds received from the substantially concurrent issue of new common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and each Subsidiary may pay withholding or similar taxes payable by any future, present or former employee, director or officer (or any spouses, former spouses, successors, executors, administrators, heirs, legatees or distributees of any of the foregoing) in connection with any repurchases of Equity Interests or the exercise of stock options; and </w:t>
      </w:r>
    </w:p>
    <w:p>
      <w:pPr>
        <w:pStyle w:val="TextBody"/>
        <w:bidi w:val="0"/>
        <w:spacing w:before="120" w:after="0"/>
        <w:jc w:val="left"/>
        <w:rPr>
          <w:rFonts w:ascii="Times New Roman" w:hAnsi="Times New Roman"/>
          <w:sz w:val="20"/>
        </w:rPr>
      </w:pPr>
      <w:r>
        <w:rPr>
          <w:rFonts w:ascii="Times New Roman" w:hAnsi="Times New Roman"/>
          <w:sz w:val="20"/>
        </w:rPr>
        <w:t xml:space="preserve">(e) so long as no Event of Default has occurred and is continuing, in any fiscal year, the Borrower may make one or more other Restricted Payments in an aggregate amount not to exceed fifteen percent (15%) of Consolidated Net Income of the Borrower for the prior 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Investments</w:t>
      </w:r>
      <w:r>
        <w:rPr>
          <w:rFonts w:ascii="Times New Roman" w:hAnsi="Times New Roman"/>
          <w:sz w:val="20"/>
        </w:rPr>
        <w:t xml:space="preserve">. The Borrower will not, and will not permit any Subsidiary to, make any Investments, except: </w:t>
      </w:r>
    </w:p>
    <w:p>
      <w:pPr>
        <w:pStyle w:val="TextBody"/>
        <w:bidi w:val="0"/>
        <w:spacing w:before="120" w:after="0"/>
        <w:jc w:val="left"/>
        <w:rPr>
          <w:rFonts w:ascii="Times New Roman" w:hAnsi="Times New Roman"/>
          <w:sz w:val="20"/>
        </w:rPr>
      </w:pPr>
      <w:r>
        <w:rPr>
          <w:rFonts w:ascii="Times New Roman" w:hAnsi="Times New Roman"/>
          <w:sz w:val="20"/>
        </w:rPr>
        <w:t xml:space="preserve">(a) Investments held by the Borrower or such Subsidiary in the form of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(b) (i) Investments in Subsidiaries in existence on the Closing Date, and (ii) other Investments in existence on the Closing Date and identified on Schedule 6.06, and any refinancing, refunding, renewal or extension of any such Investment that does not increase the amount thereof; </w:t>
      </w:r>
    </w:p>
    <w:p>
      <w:pPr>
        <w:pStyle w:val="TextBody"/>
        <w:bidi w:val="0"/>
        <w:spacing w:before="120" w:after="0"/>
        <w:jc w:val="left"/>
        <w:rPr>
          <w:rFonts w:ascii="Times New Roman" w:hAnsi="Times New Roman"/>
          <w:sz w:val="20"/>
        </w:rPr>
      </w:pPr>
      <w:r>
        <w:rPr>
          <w:rFonts w:ascii="Times New Roman" w:hAnsi="Times New Roman"/>
          <w:sz w:val="20"/>
        </w:rPr>
        <w:t xml:space="preserve">(c) advances to officers, directors and employees of the Borrower and its Subsidiaries in an aggregate amount not exceeding $250,000 at any time outstanding, for travel, entertainment, relocation and similar ordinary business purposes; </w:t>
      </w:r>
    </w:p>
    <w:p>
      <w:pPr>
        <w:pStyle w:val="TextBody"/>
        <w:bidi w:val="0"/>
        <w:spacing w:before="120" w:after="0"/>
        <w:jc w:val="left"/>
        <w:rPr>
          <w:rFonts w:ascii="Times New Roman" w:hAnsi="Times New Roman"/>
          <w:sz w:val="20"/>
        </w:rPr>
      </w:pPr>
      <w:r>
        <w:rPr>
          <w:rFonts w:ascii="Times New Roman" w:hAnsi="Times New Roman"/>
          <w:sz w:val="20"/>
        </w:rPr>
        <w:t xml:space="preserve">(d) Investments of the Borrower in Equity Interests in any Wholly-Owned Subsidiary and Investments of any Wholly-Owned Subsidiary in Equity Interests of another Wholly-Owned Subsidiary; provided that any such Equity Interests held by a Loan Party shall be pledged in accordance with the requirements of the definition of the term “Collateral and Guarantee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w:t>
      </w:r>
    </w:p>
    <w:p>
      <w:pPr>
        <w:pStyle w:val="TextBody"/>
        <w:bidi w:val="0"/>
        <w:spacing w:before="120" w:after="0"/>
        <w:jc w:val="left"/>
        <w:rPr>
          <w:rFonts w:ascii="Times New Roman" w:hAnsi="Times New Roman"/>
          <w:sz w:val="20"/>
        </w:rPr>
      </w:pPr>
      <w:r>
        <w:rPr>
          <w:rFonts w:ascii="Times New Roman" w:hAnsi="Times New Roman"/>
          <w:sz w:val="20"/>
        </w:rPr>
        <w:t xml:space="preserve">(f) Investments consisting of the indorsement by the Borrower or any Subsidiary of negotiable instruments payable to such Person for deposit or collection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to the extent constituting an Investment, transactions otherwise permitted by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and </w:t>
      </w:r>
      <w:r>
        <w:rPr>
          <w:rFonts w:ascii="Times New Roman" w:hAnsi="Times New Roman"/>
          <w:sz w:val="20"/>
          <w:u w:val="single"/>
        </w:rPr>
        <w:t>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operating Deposit Accounts, Securities Accounts or Commodity Accounts with banks or financial institutions that are Controlled Accounts; </w:t>
      </w:r>
    </w:p>
    <w:p>
      <w:pPr>
        <w:pStyle w:val="TextBody"/>
        <w:bidi w:val="0"/>
        <w:spacing w:before="120" w:after="0"/>
        <w:jc w:val="left"/>
        <w:rPr>
          <w:rFonts w:ascii="Times New Roman" w:hAnsi="Times New Roman"/>
          <w:sz w:val="20"/>
        </w:rPr>
      </w:pPr>
      <w:r>
        <w:rPr>
          <w:rFonts w:ascii="Times New Roman" w:hAnsi="Times New Roman"/>
          <w:sz w:val="20"/>
        </w:rPr>
        <w:t xml:space="preserve">(i) so long as no Event of Default has occurred and is continuing, other Investments not exceeding $10,000,000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(j) Investments by any Loan Party in any other Loan Party to the extent constituting Indebtedness permitted by </w:t>
      </w:r>
      <w:r>
        <w:rPr>
          <w:rFonts w:ascii="Times New Roman" w:hAnsi="Times New Roman"/>
          <w:sz w:val="20"/>
          <w:u w:val="single"/>
        </w:rPr>
        <w:t>Section 6.01(l)</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(k) Investments consisting of Permitted Acquisitions.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Transactions with Affiliates</w:t>
      </w:r>
      <w:r>
        <w:rPr>
          <w:rFonts w:ascii="Times New Roman" w:hAnsi="Times New Roman"/>
          <w:sz w:val="20"/>
        </w:rPr>
        <w:t xml:space="preserve">. The Borrower will not, and will not permit any Subsidiary to, enter into any transaction of any kind with any Affiliate of the Borrower, whether or not in the ordinary course of business, other than on fair and reasonable terms substantially as favorable to the Borrower or such Subsidiary as would be obtainable by the Borrower or such Subsidiary at the time in a comparable arm’s-length transaction with a Person other than an Affiliate; </w:t>
      </w:r>
      <w:r>
        <w:rPr>
          <w:rFonts w:ascii="Times New Roman" w:hAnsi="Times New Roman"/>
          <w:sz w:val="20"/>
          <w:u w:val="single"/>
        </w:rPr>
        <w:t>provided</w:t>
      </w:r>
      <w:r>
        <w:rPr>
          <w:rFonts w:ascii="Times New Roman" w:hAnsi="Times New Roman"/>
          <w:sz w:val="20"/>
        </w:rPr>
        <w:t xml:space="preserve"> that the foregoing restriction shall not apply to (a) transactions between or among the Borrower and any of its Wholly-Owned Subsidiaries or between and among any Wholly-Owned Subsidiaries, (b) Restricted Payments permitted by </w:t>
      </w:r>
      <w:r>
        <w:rPr>
          <w:rFonts w:ascii="Times New Roman" w:hAnsi="Times New Roman"/>
          <w:sz w:val="20"/>
          <w:u w:val="single"/>
        </w:rPr>
        <w:t>Section 6.05</w:t>
      </w:r>
      <w:r>
        <w:rPr>
          <w:rFonts w:ascii="Times New Roman" w:hAnsi="Times New Roman"/>
          <w:sz w:val="20"/>
        </w:rPr>
        <w:t xml:space="preserve">, (c) Investments permitted by </w:t>
      </w:r>
      <w:r>
        <w:rPr>
          <w:rFonts w:ascii="Times New Roman" w:hAnsi="Times New Roman"/>
          <w:sz w:val="20"/>
          <w:u w:val="single"/>
        </w:rPr>
        <w:t>Section 6.06(b)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(d) reasonable and customary fees paid to members of the board of directors (or similar governing body) of the Borrower and its Subsidiaries, (e) reasonable compensation arrangements for officers and other employees of the Borrower and its Subsidiaries entered into in the ordinary course of business, and (f) Indebtedness permitted by </w:t>
      </w:r>
      <w:r>
        <w:rPr>
          <w:rFonts w:ascii="Times New Roman" w:hAnsi="Times New Roman"/>
          <w:sz w:val="20"/>
          <w:u w:val="single"/>
        </w:rPr>
        <w:t>Section 6.01(k)</w:t>
      </w:r>
      <w:r>
        <w:rPr>
          <w:rFonts w:ascii="Times New Roman" w:hAnsi="Times New Roman"/>
          <w:sz w:val="20"/>
        </w:rPr>
        <w:t xml:space="preserve"> and </w:t>
      </w:r>
      <w:r>
        <w:rPr>
          <w:rFonts w:ascii="Times New Roman" w:hAnsi="Times New Roman"/>
          <w:sz w:val="20"/>
          <w:u w:val="single"/>
        </w:rPr>
        <w:t>(m)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Certain Restrictive Agreements</w:t>
      </w:r>
      <w:r>
        <w:rPr>
          <w:rFonts w:ascii="Times New Roman" w:hAnsi="Times New Roman"/>
          <w:sz w:val="20"/>
        </w:rPr>
        <w:t xml:space="preserve">. The Borrower will not, and will not permit any Subsidiary to, enter into any Contractual Obligation (other than this Agreement or any other Loan Document) that, directly or indirectly, (a) limits the ability of (i) any Subsidiary to make Restricted Payments to the Borrower or to otherwise transfer property to the Borrower, (ii) any Subsidiary to Guarantee Indebtedness of the Borrower or (iii) the Borrower or any Subsidiary to create, incur, assume or suffer to exist Liens on property of such Person to secure the Obligations;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(iii)</w:t>
      </w:r>
      <w:r>
        <w:rPr>
          <w:rFonts w:ascii="Times New Roman" w:hAnsi="Times New Roman"/>
          <w:sz w:val="20"/>
        </w:rPr>
        <w:t xml:space="preserve"> shall not prohibit any negative pledge incurred or provided in favor of any holder of Indebtedness permitted under </w:t>
      </w:r>
      <w:r>
        <w:rPr>
          <w:rFonts w:ascii="Times New Roman" w:hAnsi="Times New Roman"/>
          <w:sz w:val="20"/>
          <w:u w:val="single"/>
        </w:rPr>
        <w:t>Section 6.01(e)</w:t>
      </w:r>
      <w:r>
        <w:rPr>
          <w:rFonts w:ascii="Times New Roman" w:hAnsi="Times New Roman"/>
          <w:sz w:val="20"/>
        </w:rPr>
        <w:t xml:space="preserve"> solely to the extent that any such negative pledge relates to the property financed by or the subject of such Indebtedness; or (b) requires the grant of a Lien to secure an obligation of such Person if a Lien is granted to secure another obligation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Changes in Fiscal Periods</w:t>
      </w:r>
      <w:r>
        <w:rPr>
          <w:rFonts w:ascii="Times New Roman" w:hAnsi="Times New Roman"/>
          <w:sz w:val="20"/>
        </w:rPr>
        <w:t xml:space="preserve">. The Borrower will not permit the last day of its fiscal year to end on a day other than December 31 or change the Borrower’s method of determining its fiscal quarters.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Changes in Nature of Business</w:t>
      </w:r>
      <w:r>
        <w:rPr>
          <w:rFonts w:ascii="Times New Roman" w:hAnsi="Times New Roman"/>
          <w:sz w:val="20"/>
        </w:rPr>
        <w:t xml:space="preserve">. The Borrower will not, and will not permit any Subsidiary to, engage to any material extent in any business other than those businesses conducted by the Borrower and its Subsidiaries on the Closing Date or any business reasonably related or complementary thereto or representing a reasonable expansion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Restriction on Use of Proceeds</w:t>
      </w:r>
      <w:r>
        <w:rPr>
          <w:rFonts w:ascii="Times New Roman" w:hAnsi="Times New Roman"/>
          <w:sz w:val="20"/>
        </w:rPr>
        <w:t xml:space="preserve">. The Borrower will not use the proceeds of any Borrowing, whether directly or indirectly, and whether immediately, incidentally or ultimately, to purchase or carry Margin Stock, or to extend credit to others for the purpose of purchasing or carrying Margin Stock or to refund indebtedness originally incurred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Financial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Consolidated Interest Coverage Ratio</w:t>
      </w:r>
      <w:r>
        <w:rPr>
          <w:rFonts w:ascii="Times New Roman" w:hAnsi="Times New Roman"/>
          <w:sz w:val="20"/>
        </w:rPr>
        <w:t xml:space="preserve">. The Borrower will not permit the Consolidated Interest Coverage Ratio of the Borrower as of the last day of each fiscal quarter ending hereafter, to be less than 3.00 to 1.00.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Consolidated Leverage Ratio</w:t>
      </w:r>
      <w:r>
        <w:rPr>
          <w:rFonts w:ascii="Times New Roman" w:hAnsi="Times New Roman"/>
          <w:sz w:val="20"/>
        </w:rPr>
        <w:t xml:space="preserve">. The Borrower will not permit the Consolidated Leverage Ratio of the Borrower as of the last day of each fiscal quarter ending after the Closing Date, to be greater than 3.00 to 1.00.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Sanctions; Anti-Corruption Use of Proceeds</w:t>
      </w:r>
      <w:r>
        <w:rPr>
          <w:rFonts w:ascii="Times New Roman" w:hAnsi="Times New Roman"/>
          <w:sz w:val="20"/>
        </w:rPr>
        <w:t xml:space="preserve">. The Borrower will not, directly or indirectly, use the proceeds of the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the FCPA, the UK Bribery Act, or any other applicable anti-corruption law, or (ii) (A) to fund any activities or business of or with any Person, or in any country or territory, that, at the time of such funding, is, or whose government is, the subject of Sanctions, or (B) in any other manner that would result in a violation of Sanctions by any Person (including any Person participating in the Loans or Letters of Credit, whether as Administrative Agent, Lender, underwriter, advisor, investor, or otherwise).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If any of the following events (each, an “</w:t>
      </w:r>
      <w:r>
        <w:rPr>
          <w:rFonts w:ascii="Times New Roman" w:hAnsi="Times New Roman"/>
          <w:sz w:val="20"/>
          <w:u w:val="single"/>
        </w:rPr>
        <w:t>Event of</w:t>
      </w:r>
      <w:r>
        <w:rPr>
          <w:rFonts w:ascii="Times New Roman" w:hAnsi="Times New Roman"/>
          <w:sz w:val="20"/>
        </w:rPr>
        <w:t xml:space="preserve"> </w:t>
      </w:r>
      <w:r>
        <w:rPr>
          <w:rFonts w:ascii="Times New Roman" w:hAnsi="Times New Roman"/>
          <w:sz w:val="20"/>
          <w:u w:val="single"/>
        </w:rPr>
        <w:t>Default</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fail to pay any principal of any Loan or any reimbursement obligation in respect of any Letter of Credit Disbursement when and as the same shall become due and payable, whether at the due date thereof or at a date fixed for prepayment thereof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fail to pay any interest on any Loan or any Letter of Credit Disbursement, or any fee or any other amount (other than an amount referred to in </w:t>
      </w:r>
      <w:r>
        <w:rPr>
          <w:rFonts w:ascii="Times New Roman" w:hAnsi="Times New Roman"/>
          <w:sz w:val="20"/>
          <w:u w:val="single"/>
        </w:rPr>
        <w:t>clause (a)</w:t>
      </w:r>
      <w:r>
        <w:rPr>
          <w:rFonts w:ascii="Times New Roman" w:hAnsi="Times New Roman"/>
          <w:sz w:val="20"/>
        </w:rPr>
        <w:t xml:space="preserve"> of this Section) payable under this Agreement or under any other Loan Document, when and as the same shall become due and payable, and such failure shall continue unremedied for a period of three or more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representation or warranty made or deemed made by or on behalf of the Borrower in or in connection with this Agreement or any other Loan Document or any amendment or modification hereof or thereof, or any waiver hereunder or thereunder, or in any written report, certificate, financial statement or other document furnished pursuant to or in connection with this Agreement or any other Loan Document or any amendment or modification hereof or thereof, or any waiver hereunder or thereunder, shall prove to have been incorrect in any material respect (or, in the case of any such representation or warranty under this Agreement or any other Loan Document already qualified by materiality, such representation or warranty shall prove to have been incorrect)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shall fail to observe or perform any covenant, condition or agreement contained in </w:t>
      </w:r>
      <w:r>
        <w:rPr>
          <w:rFonts w:ascii="Times New Roman" w:hAnsi="Times New Roman"/>
          <w:sz w:val="20"/>
          <w:u w:val="single"/>
        </w:rPr>
        <w:t>Section 5.03(a)</w:t>
      </w:r>
      <w:r>
        <w:rPr>
          <w:rFonts w:ascii="Times New Roman" w:hAnsi="Times New Roman"/>
          <w:sz w:val="20"/>
        </w:rPr>
        <w:t xml:space="preserve">, </w:t>
      </w:r>
      <w:r>
        <w:rPr>
          <w:rFonts w:ascii="Times New Roman" w:hAnsi="Times New Roman"/>
          <w:sz w:val="20"/>
          <w:u w:val="single"/>
        </w:rPr>
        <w:t>5.04</w:t>
      </w:r>
      <w:r>
        <w:rPr>
          <w:rFonts w:ascii="Times New Roman" w:hAnsi="Times New Roman"/>
          <w:sz w:val="20"/>
        </w:rPr>
        <w:t xml:space="preserve"> (with respect to the Borrower’s existence), </w:t>
      </w:r>
      <w:r>
        <w:rPr>
          <w:rFonts w:ascii="Times New Roman" w:hAnsi="Times New Roman"/>
          <w:sz w:val="20"/>
          <w:u w:val="single"/>
        </w:rPr>
        <w:t>5.12</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shall fail to observe or perform any covenant, condition or agreement contained in </w:t>
      </w:r>
      <w:r>
        <w:rPr>
          <w:rFonts w:ascii="Times New Roman" w:hAnsi="Times New Roman"/>
          <w:sz w:val="20"/>
          <w:u w:val="single"/>
        </w:rPr>
        <w:t>Section 5.01</w:t>
      </w:r>
      <w:r>
        <w:rPr>
          <w:rFonts w:ascii="Times New Roman" w:hAnsi="Times New Roman"/>
          <w:sz w:val="20"/>
        </w:rPr>
        <w:t xml:space="preserve"> and such failure shall continue unremedied for a period of 5 or more days;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shall fail to observe or perform any covenant, condition or agreement contained in this Agreement or any other Loan Document (other than those specified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of this Section) and such failure shall continue unremedied for a period of 30 or more days after written notice thereof by the Administrative Agent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(g) (i) the Borrower or any Subsidiary shall fail to make any payment when due (whether by scheduled maturity, required prepayment, acceleration, demand, or otherwise) in respect of any Indebtedness (other than Indebtedness under the Loan Documents) having an aggregate principal amount of more than $1,000,000 in each case beyond the applicable grace period with respect thereto, if any; or (ii) the Borrower or any Subsidiary shall fail to observe or perform any other agreement or condition relating to any such Indebtedness or contained in any instrument or agreement evidencing, securing or relating thereto, or any other event occurs, the effect of which default or other event is to cause, or to permit the holder or holders or beneficiary or beneficiaries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(g)(ii)</w:t>
      </w:r>
      <w:r>
        <w:rPr>
          <w:rFonts w:ascii="Times New Roman" w:hAnsi="Times New Roman"/>
          <w:sz w:val="20"/>
        </w:rPr>
        <w:t xml:space="preserve"> shall not apply to secured Indebtedness that becomes due as a result of the voluntary sale or transfer of the property or assets securing such Indebtedness, if such sale or transfer is permitted hereunder and under the documents providing for such Indebtedness and such Indebtedness is repaid when required under the documents providing for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seeking (i) liquidation, reorganization or other relief in respect of the Borrower or any of its Subsidiaries or its debts, or of a substantial part of its assets, under any Debtor Relief Law now or hereafter in effect or (ii) the appointment of a receiver, trustee, custodian, sequestrator, conservator or similar official for the Borrower or any of its Subsidiaries or for a substantial part of its assets, and, in any such case, such proceeding or petition shall continue undismissed for a period of 60 or more days or an order or decree approving or ordering any of the foregoing shall be entered;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Borrower or any of its Subsidiaries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w:t>
      </w:r>
      <w:r>
        <w:rPr>
          <w:rFonts w:ascii="Times New Roman" w:hAnsi="Times New Roman"/>
          <w:sz w:val="20"/>
          <w:u w:val="single"/>
        </w:rPr>
        <w:t>clause (h)</w:t>
      </w:r>
      <w:r>
        <w:rPr>
          <w:rFonts w:ascii="Times New Roman" w:hAnsi="Times New Roman"/>
          <w:sz w:val="20"/>
        </w:rPr>
        <w:t xml:space="preserve"> of this Section, (iii) apply for or consent to the appointment of a receiver, trustee, custodian, sequestrator, conservator or similar official for the Borrower or any of its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(j) the Borrower or any of its Subsidiaries shall become unable to pay its Indebtedness as it becomes due; </w:t>
      </w:r>
    </w:p>
    <w:p>
      <w:pPr>
        <w:pStyle w:val="TextBody"/>
        <w:bidi w:val="0"/>
        <w:spacing w:before="120" w:after="0"/>
        <w:jc w:val="left"/>
        <w:rPr>
          <w:rFonts w:ascii="Times New Roman" w:hAnsi="Times New Roman"/>
          <w:sz w:val="20"/>
        </w:rPr>
      </w:pPr>
      <w:r>
        <w:rPr>
          <w:rFonts w:ascii="Times New Roman" w:hAnsi="Times New Roman"/>
          <w:sz w:val="20"/>
        </w:rPr>
        <w:t xml:space="preserve">(k) there is entered against the Borrower or any Subsidiary (i) a final judgment or order for the payment of money in an aggregate amount (as to all such judgments and orders) exceeding $1,000,000 (to the extent not covered by independent third-party insurance as to which the insurer has been notified of such judgment or order and has not denied or failed to acknowledge coverage), or (ii) a non-monetary final judgment or order that, either individually or in the aggregate, has or could reasonably be expected to have a Material Adverse Effect and, in either case, (A) enforcement proceedings are commenced by any creditor upon such judgment or order, or (B) there is a period of 60 consecutive days during which a stay of enforcement of such judgment, by reason of a pending appeal or otherwise, is not in effect; </w:t>
      </w:r>
    </w:p>
    <w:p>
      <w:pPr>
        <w:pStyle w:val="TextBody"/>
        <w:bidi w:val="0"/>
        <w:spacing w:before="120" w:after="0"/>
        <w:jc w:val="left"/>
        <w:rPr>
          <w:rFonts w:ascii="Times New Roman" w:hAnsi="Times New Roman"/>
          <w:sz w:val="20"/>
        </w:rPr>
      </w:pPr>
      <w:r>
        <w:rPr>
          <w:rFonts w:ascii="Times New Roman" w:hAnsi="Times New Roman"/>
          <w:sz w:val="20"/>
        </w:rPr>
        <w:t xml:space="preserve">(l) an ERISA Event occurs with respect to a Pension Plan or Multiemployer Plan that has resulted or could reasonably be expected to result in liability of the Borrower under Title IV of ERISA to the Pension Plan, Multiemployer Plan or the PBGC in an aggregate amount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(m) a Change of Control shall occur; </w:t>
      </w:r>
    </w:p>
    <w:p>
      <w:pPr>
        <w:pStyle w:val="TextBody"/>
        <w:bidi w:val="0"/>
        <w:spacing w:before="120" w:after="0"/>
        <w:jc w:val="left"/>
        <w:rPr>
          <w:rFonts w:ascii="Times New Roman" w:hAnsi="Times New Roman"/>
          <w:sz w:val="20"/>
        </w:rPr>
      </w:pPr>
      <w:r>
        <w:rPr>
          <w:rFonts w:ascii="Times New Roman" w:hAnsi="Times New Roman"/>
          <w:sz w:val="20"/>
        </w:rPr>
        <w:t xml:space="preserve">(n) (i) any material provision of any Loan Document, at any time after its execution and delivery and for any reason other than as expressly permitted hereunder or thereunder or satisfaction in full of all Obligations, ceases to be in full force and effect; or the Borrower or any Subsidiary contests in writing the validity or enforceability of any provision of any Loan Document or the Liens securing the Obligations; or the Borrower denies in writing that it has any or further liability or obligation under any Loan Document, or purports in writing to revoke, terminate or rescind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(o) any Lien purported to be created under any Security Document shall cease to be, or shall be asserted by any Loan Party not to be, a valid and perfected Lien on any material portion of the Collateral, with the priority required by the applicable Security Document, except as a result of (i) the sale or other disposition of the applicable Collateral in a transaction permitted under the Loan Documents, (ii) the release thereof as provided in </w:t>
      </w:r>
      <w:r>
        <w:rPr>
          <w:rFonts w:ascii="Times New Roman" w:hAnsi="Times New Roman"/>
          <w:sz w:val="20"/>
          <w:u w:val="single"/>
        </w:rPr>
        <w:t>Section 9.02</w:t>
      </w:r>
      <w:r>
        <w:rPr>
          <w:rFonts w:ascii="Times New Roman" w:hAnsi="Times New Roman"/>
          <w:sz w:val="20"/>
        </w:rPr>
        <w:t xml:space="preserve"> or (iii) as a result of the Administrative Agent’s failure to (A) maintain possession of any stock certificate, promissory note or other instrument delivered to it under the Collateral Agreement or (B) file Uniform Commercial Code continuation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any Guarantee purported to be created under any Loan Document shall cease to be, or shall be asserted by any Loan Party not to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(q) any material Security Document shall cease to be, or shall be asserted by any Loan Party not to be, in full force and effect; or </w:t>
      </w:r>
    </w:p>
    <w:p>
      <w:pPr>
        <w:pStyle w:val="TextBody"/>
        <w:bidi w:val="0"/>
        <w:spacing w:before="120" w:after="0"/>
        <w:jc w:val="left"/>
        <w:rPr>
          <w:rFonts w:ascii="Times New Roman" w:hAnsi="Times New Roman"/>
          <w:sz w:val="20"/>
        </w:rPr>
      </w:pPr>
      <w:r>
        <w:rPr>
          <w:rFonts w:ascii="Times New Roman" w:hAnsi="Times New Roman"/>
          <w:sz w:val="20"/>
        </w:rPr>
        <w:t xml:space="preserve">(r) a Material Adverse Effect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an event with respect to the Borrower described in </w:t>
      </w:r>
      <w:r>
        <w:rPr>
          <w:rFonts w:ascii="Times New Roman" w:hAnsi="Times New Roman"/>
          <w:sz w:val="20"/>
          <w:u w:val="single"/>
        </w:rPr>
        <w:t>clause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of this Section), and at any time thereafter during the continuance of such event, the Administrative Agent may, and at the request of the Required Lenders shall, by notice to the Borrower, take any or all of the following actions, at the same or different times: </w:t>
      </w:r>
    </w:p>
    <w:p>
      <w:pPr>
        <w:pStyle w:val="TextBody"/>
        <w:bidi w:val="0"/>
        <w:spacing w:before="120" w:after="0"/>
        <w:jc w:val="left"/>
        <w:rPr>
          <w:rFonts w:ascii="Times New Roman" w:hAnsi="Times New Roman"/>
          <w:sz w:val="20"/>
        </w:rPr>
      </w:pPr>
      <w:r>
        <w:rPr>
          <w:rFonts w:ascii="Times New Roman" w:hAnsi="Times New Roman"/>
          <w:sz w:val="20"/>
        </w:rPr>
        <w:t xml:space="preserve">(i) terminate the Commitments in accordance with </w:t>
      </w:r>
      <w:r>
        <w:rPr>
          <w:rFonts w:ascii="Times New Roman" w:hAnsi="Times New Roman"/>
          <w:sz w:val="20"/>
          <w:u w:val="single"/>
        </w:rPr>
        <w:t>Section 2.07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and unpaid interest thereon and all fees and other Obligations of the Borrower accrued hereunder, shall become due and payable immediately, without presentment, demand, protest or other notice of any kind, all of which are hereby waived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(iii) require that the Borrower cash collateralize the Letter of Credit Liability; and </w:t>
      </w:r>
    </w:p>
    <w:p>
      <w:pPr>
        <w:pStyle w:val="TextBody"/>
        <w:bidi w:val="0"/>
        <w:spacing w:before="120" w:after="0"/>
        <w:jc w:val="left"/>
        <w:rPr>
          <w:rFonts w:ascii="Times New Roman" w:hAnsi="Times New Roman"/>
          <w:sz w:val="20"/>
        </w:rPr>
      </w:pPr>
      <w:r>
        <w:rPr>
          <w:rFonts w:ascii="Times New Roman" w:hAnsi="Times New Roman"/>
          <w:sz w:val="20"/>
        </w:rPr>
        <w:t xml:space="preserve">(iv) exercise on behalf of itself, and the Lenders all rights and remedies available to it, and the Lenders under the Loan Documents and Applicable Law;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case of any event with respect to the Borrower described in </w:t>
      </w:r>
      <w:r>
        <w:rPr>
          <w:rFonts w:ascii="Times New Roman" w:hAnsi="Times New Roman"/>
          <w:sz w:val="20"/>
          <w:u w:val="single"/>
        </w:rPr>
        <w:t>clause (h)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of this Section, the principal of the Loans then outstanding, together with accrued and unpaid interest thereon and all fees and other Obligations accrued and unpaid hereunder, shall automatically become due and payable, and the obligation of the Borrower to cash collateralize the Letter of Credit Liabilities provided in clause </w:t>
      </w:r>
      <w:r>
        <w:rPr>
          <w:rFonts w:ascii="Times New Roman" w:hAnsi="Times New Roman"/>
          <w:sz w:val="20"/>
          <w:u w:val="single"/>
        </w:rPr>
        <w:t>(iii)</w:t>
      </w:r>
      <w:r>
        <w:rPr>
          <w:rFonts w:ascii="Times New Roman" w:hAnsi="Times New Roman"/>
          <w:sz w:val="20"/>
        </w:rPr>
        <w:t xml:space="preserve"> above shall automatically become effective, in each case without presentment, demand, protest or other notice of any kind, all of which are hereby waived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Application of Payments</w:t>
      </w:r>
      <w:r>
        <w:rPr>
          <w:rFonts w:ascii="Times New Roman" w:hAnsi="Times New Roman"/>
          <w:sz w:val="20"/>
        </w:rPr>
        <w:t xml:space="preserve">. Notwithstanding anything herein to the contrary, following the occurrence and during the continuance of an Event of Default, and notice thereof to the Administrative Agent by the Borrower or the Required Lenders, all payments received on account of the Obligations shall be applied by the Administrative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(including fees and disbursements and other charges of counsel payable under </w:t>
      </w:r>
      <w:r>
        <w:rPr>
          <w:rFonts w:ascii="Times New Roman" w:hAnsi="Times New Roman"/>
          <w:sz w:val="20"/>
          <w:u w:val="single"/>
        </w:rPr>
        <w:t>Section 9.03</w:t>
      </w:r>
      <w:r>
        <w:rPr>
          <w:rFonts w:ascii="Times New Roman" w:hAnsi="Times New Roman"/>
          <w:sz w:val="20"/>
        </w:rPr>
        <w:t xml:space="preserve">) payable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w:t>
      </w:r>
      <w:r>
        <w:rPr>
          <w:rFonts w:ascii="Times New Roman" w:hAnsi="Times New Roman"/>
          <w:sz w:val="20"/>
        </w:rPr>
        <w:t xml:space="preserve">, to payment of that portion of the Obligations constituting fees, indemnities and other amounts (other than principal and interest) payable to the Lenders (including fees and disbursements and other charges of counsel payable under </w:t>
      </w:r>
      <w:r>
        <w:rPr>
          <w:rFonts w:ascii="Times New Roman" w:hAnsi="Times New Roman"/>
          <w:sz w:val="20"/>
          <w:u w:val="single"/>
        </w:rPr>
        <w:t>Section 9.03</w:t>
      </w:r>
      <w:r>
        <w:rPr>
          <w:rFonts w:ascii="Times New Roman" w:hAnsi="Times New Roman"/>
          <w:sz w:val="20"/>
        </w:rPr>
        <w:t xml:space="preserve">) arising under the Loan Documents, ratably among them in proportion to the respective amounts described in this </w:t>
      </w:r>
      <w:r>
        <w:rPr>
          <w:rFonts w:ascii="Times New Roman" w:hAnsi="Times New Roman"/>
          <w:sz w:val="20"/>
          <w:u w:val="single"/>
        </w:rPr>
        <w:t>clause (ii)</w:t>
      </w:r>
      <w:r>
        <w:rPr>
          <w:rFonts w:ascii="Times New Roman" w:hAnsi="Times New Roman"/>
          <w:sz w:val="20"/>
        </w:rPr>
        <w:t xml:space="preserve"> payable to them;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third</w:t>
      </w:r>
      <w:r>
        <w:rPr>
          <w:rFonts w:ascii="Times New Roman" w:hAnsi="Times New Roman"/>
          <w:sz w:val="20"/>
        </w:rPr>
        <w:t xml:space="preserve">, to payment of that portion of the Obligations constituting accrued and unpaid interest on the Loans, ratably among the Lenders in proportion to the respective amounts described in this </w:t>
      </w:r>
      <w:r>
        <w:rPr>
          <w:rFonts w:ascii="Times New Roman" w:hAnsi="Times New Roman"/>
          <w:sz w:val="20"/>
          <w:u w:val="single"/>
        </w:rPr>
        <w:t>clause (iii)</w:t>
      </w:r>
      <w:r>
        <w:rPr>
          <w:rFonts w:ascii="Times New Roman" w:hAnsi="Times New Roman"/>
          <w:sz w:val="20"/>
        </w:rPr>
        <w:t xml:space="preserve"> payable to them and on that portion of the Obligations constituting accrued and unpaid Letter of Credit fees and unreimbursed Letter of Credit Disbursements;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fourth</w:t>
      </w:r>
      <w:r>
        <w:rPr>
          <w:rFonts w:ascii="Times New Roman" w:hAnsi="Times New Roman"/>
          <w:sz w:val="20"/>
        </w:rPr>
        <w:t xml:space="preserve">, (i) to payment of that portion of the Obligations constituting unpaid principal of the Loans, ratably among the Lenders in proportion to the respective amounts described in this </w:t>
      </w:r>
      <w:r>
        <w:rPr>
          <w:rFonts w:ascii="Times New Roman" w:hAnsi="Times New Roman"/>
          <w:sz w:val="20"/>
          <w:u w:val="single"/>
        </w:rPr>
        <w:t>clause (iv)</w:t>
      </w:r>
      <w:r>
        <w:rPr>
          <w:rFonts w:ascii="Times New Roman" w:hAnsi="Times New Roman"/>
          <w:sz w:val="20"/>
        </w:rPr>
        <w:t xml:space="preserve"> payable to them and unreimbursed Letter of Credit Disbursements and (ii) to cash collateralize that portion of Letter of Credit Liability comprising the undrawn amount of Letters of Credit to the extent not otherwise cash collateralized by the Borrower hereunder; provided that subject to </w:t>
      </w:r>
      <w:r>
        <w:rPr>
          <w:rFonts w:ascii="Times New Roman" w:hAnsi="Times New Roman"/>
          <w:sz w:val="20"/>
          <w:u w:val="single"/>
        </w:rPr>
        <w:t>Section 2.21</w:t>
      </w:r>
      <w:r>
        <w:rPr>
          <w:rFonts w:ascii="Times New Roman" w:hAnsi="Times New Roman"/>
          <w:sz w:val="20"/>
        </w:rPr>
        <w:t xml:space="preserve">, amounts used to cash collateralize the aggregate amount of Letters of Credit pursuant to this </w:t>
      </w:r>
      <w:r>
        <w:rPr>
          <w:rFonts w:ascii="Times New Roman" w:hAnsi="Times New Roman"/>
          <w:sz w:val="20"/>
          <w:u w:val="single"/>
        </w:rPr>
        <w:t>clause (iv)</w:t>
      </w:r>
      <w:r>
        <w:rPr>
          <w:rFonts w:ascii="Times New Roman" w:hAnsi="Times New Roman"/>
          <w:sz w:val="20"/>
        </w:rPr>
        <w:t xml:space="preserve"> shall be used to satisfy drawings under such Letters of Credit as they occur;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fifth</w:t>
      </w:r>
      <w:r>
        <w:rPr>
          <w:rFonts w:ascii="Times New Roman" w:hAnsi="Times New Roman"/>
          <w:sz w:val="20"/>
        </w:rPr>
        <w:t xml:space="preserve">, to the payment in full of all other Obligations, in each case ratably among the Administrative Agent and the Lenders based upon the respective aggregate amounts of all such Obligations owing to them in accordance with the respective amounts thereof then due and payable; and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finally</w:t>
      </w:r>
      <w:r>
        <w:rPr>
          <w:rFonts w:ascii="Times New Roman" w:hAnsi="Times New Roman"/>
          <w:sz w:val="20"/>
        </w:rPr>
        <w:t xml:space="preserve">, the balance, if any, after all Obligations have been paid in full in cash, to the Borrower or as otherwise required by Applicable Law. </w:t>
      </w:r>
    </w:p>
    <w:p>
      <w:pPr>
        <w:pStyle w:val="TextBody"/>
        <w:bidi w:val="0"/>
        <w:spacing w:before="24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u w:val="single"/>
        </w:rPr>
        <w:t>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Appointment and Authority</w:t>
      </w:r>
      <w:r>
        <w:rPr>
          <w:rFonts w:ascii="Times New Roman" w:hAnsi="Times New Roman"/>
          <w:sz w:val="20"/>
        </w:rPr>
        <w:t xml:space="preserve">. Each of the Lenders hereby irrevocably appoints HSBC to act on its behalf as the Administrative Agent and collateral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In addition, to the extent required under the laws of any jurisdiction other than the United States of America, each of the Lenders hereby grants to the Administrative Agent any required powers of attorney to execute any Security Document governed by the laws of such jurisdiction on such Lender’s behalf.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Instead, such term is used as a matter of market custom and is intended to create or reflect only an administrative relationship between contracting parties. Without limiting the generality of the foregoing, the Lenders hereby expressly authorize the Administrative Agent to execute any and all documents (including releases) with respect to the Collateral (including any amendment, supplement, modification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joinder with respect thereto) and the rights of the Lenders with respect thereto, as contemplated by and in accordance with the provisions of this Agreement and the Collateral Documents and acknowledge and agree that any such action by the Administrative Agent shall bind the Lenders. Except as otherwise provided in </w:t>
      </w:r>
      <w:r>
        <w:rPr>
          <w:rFonts w:ascii="Times New Roman" w:hAnsi="Times New Roman"/>
          <w:sz w:val="20"/>
          <w:u w:val="single"/>
        </w:rPr>
        <w:t>Section 8.06</w:t>
      </w:r>
      <w:r>
        <w:rPr>
          <w:rFonts w:ascii="Times New Roman" w:hAnsi="Times New Roman"/>
          <w:sz w:val="20"/>
        </w:rPr>
        <w:t xml:space="preserve">, the provisions of this Article are solely for the benefit of the Administrative Agent, the Lenders, and the Borrower shall not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as a Lender</w:t>
      </w:r>
      <w:r>
        <w:rPr>
          <w:rFonts w:ascii="Times New Roman" w:hAnsi="Times New Roman"/>
          <w:sz w:val="20"/>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Exculpatory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not have any duties or obligations except those expressly set forth herein and in the other Loan Documents, and its duties hereunder shall be administrative in nature. Without limiting the generality of the foregoing,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shall not be subject to any fiduciary or other implied duties, regardless of whether a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p>
    <w:p>
      <w:pPr>
        <w:pStyle w:val="TextBody"/>
        <w:bidi w:val="0"/>
        <w:spacing w:before="120" w:after="0"/>
        <w:jc w:val="left"/>
        <w:rPr>
          <w:rFonts w:ascii="Times New Roman" w:hAnsi="Times New Roman"/>
          <w:sz w:val="20"/>
        </w:rPr>
      </w:pPr>
      <w:r>
        <w:rPr>
          <w:rFonts w:ascii="Times New Roman" w:hAnsi="Times New Roman"/>
          <w:sz w:val="20"/>
        </w:rPr>
        <w:t xml:space="preserve">(iii)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shall not be required to expend or risk its own funds or otherwise incur any financial liability in the performance of any of its duties, or in the exercise of any of its rights or powers, hereunder or under any other Loan Document, if it shall have reasonable grounds to believe that repayment of such funds or adequate indemnity against such risk or liability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9.02</w:t>
      </w:r>
      <w:r>
        <w:rPr>
          <w:rFonts w:ascii="Times New Roman" w:hAnsi="Times New Roman"/>
          <w:sz w:val="20"/>
        </w:rPr>
        <w:t xml:space="preserve">),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the Borrower or a Lender.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in any Loan Document, the Administrative Agent shall not be required to take, or to require any Loan Party to take, (i) any action under the laws of any jurisdiction outside the United States of America to perfect any Lien on any Collateral (including any intellectual property registered or applied for outside the United States of America) or (ii) any action to perfect any Lien on any asset where the Administrative Agent determines, in its sole discretion, that the cost or burden thereof is excessive in relation to the benefit to the Lenders. Nothing in this </w:t>
      </w:r>
      <w:r>
        <w:rPr>
          <w:rFonts w:ascii="Times New Roman" w:hAnsi="Times New Roman"/>
          <w:sz w:val="20"/>
          <w:u w:val="single"/>
        </w:rPr>
        <w:t>Section 8.03(d)</w:t>
      </w:r>
      <w:r>
        <w:rPr>
          <w:rFonts w:ascii="Times New Roman" w:hAnsi="Times New Roman"/>
          <w:sz w:val="20"/>
        </w:rPr>
        <w:t xml:space="preserve"> shall limit the obligation of any Loan Party to take any action reasonably requested by the Administrative Agent under </w:t>
      </w:r>
      <w:r>
        <w:rPr>
          <w:rFonts w:ascii="Times New Roman" w:hAnsi="Times New Roman"/>
          <w:sz w:val="20"/>
          <w:u w:val="single"/>
        </w:rPr>
        <w:t>Section 5.16</w:t>
      </w:r>
      <w:r>
        <w:rPr>
          <w:rFonts w:ascii="Times New Roman" w:hAnsi="Times New Roman"/>
          <w:sz w:val="20"/>
        </w:rPr>
        <w:t xml:space="preserve"> or any Security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Reliance by Administrative Agent</w:t>
      </w:r>
      <w:r>
        <w:rPr>
          <w:rFonts w:ascii="Times New Roman" w:hAnsi="Times New Roman"/>
          <w:sz w:val="20"/>
        </w:rPr>
        <w:t xml:space="preserve">. Each of the Administrative Agent, each Lender and each Letter of Credit Issuer shall be entitled to rely upon, and shall not incur any liability for relying upon (nor shall Borrower be relieved from any of its obligations as a result of such reliance),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Administrative Agent, each Lender and each Letter of Credit Issuer also may rely upon any statement made to it orally or by telephone and believed by it to have been made by the proper Person, and shall not incur any liability for relying thereon (nor shall the Borrower be relieved from any of its obligations as a result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reliance by the Administrative Agent, a Lender or a Letter of Credit Issuer.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be excused from performing any act or fulfilling any duty, obligation or responsibility hereunder, and shall incur no liability therefor, if such failure to perform results from any occurrence beyond its control (including, without limitation, any act or provision of any present or future law or regulation or governmental authority, any act of God, war, civil unrest, local or national disturbance or disaster, any act of terrorism, or the unavailability of the Federal Reserve Bank wire or facsimile or other wire or communication facility).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Delegation of Duties</w:t>
      </w:r>
      <w:r>
        <w:rPr>
          <w:rFonts w:ascii="Times New Roman" w:hAnsi="Times New Roman"/>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Revolving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Resignation of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Administrative Agent may at any time give notice of its resignation to the Lenders and the Borrower. Upon receipt of any such notice of resignation, the Required Lenders shall have the right to appoint a successor, which shall be a bank with an office in the United States of America, or an Affiliate of any such bank with an office in United States of America and which successor shall be acceptable to the Borrower (such consent not to be unreasonably withheld or delayed) so long as no Event of Default has occurred and is continuing. If no such successor shall have been so appointed by the Required Lenders and approved by the Borrower and shall have accepted such appointment within 30 days after the retiring Administrative Agent gives notice of its resignation (or such earlier day as shall be agreed by the Required Lenders) (the “</w:t>
      </w:r>
      <w:r>
        <w:rPr>
          <w:rFonts w:ascii="Times New Roman" w:hAnsi="Times New Roman"/>
          <w:sz w:val="20"/>
          <w:u w:val="single"/>
        </w:rPr>
        <w:t>Resignation Effective Date</w:t>
      </w:r>
      <w:r>
        <w:rPr>
          <w:rFonts w:ascii="Times New Roman" w:hAnsi="Times New Roman"/>
          <w:sz w:val="20"/>
        </w:rPr>
        <w:t xml:space="preserve">”), then the retiring Administrative Agent may (but shall not be obligated to), on behalf of the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Person serving as Administrative Agent is a Defaulting Lender pursuant to </w:t>
      </w:r>
      <w:r>
        <w:rPr>
          <w:rFonts w:ascii="Times New Roman" w:hAnsi="Times New Roman"/>
          <w:sz w:val="20"/>
          <w:u w:val="single"/>
        </w:rPr>
        <w:t>clause (d)</w:t>
      </w:r>
      <w:r>
        <w:rPr>
          <w:rFonts w:ascii="Times New Roman" w:hAnsi="Times New Roman"/>
          <w:sz w:val="20"/>
        </w:rPr>
        <w:t>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(c) With effect from the Resignation Effective Date or the Removal Effective Date (as applicable) (i) the retiring or removed Administrative Agent shall be discharged from its duties and obligations hereunder and under the other Loan Documents </w:t>
      </w:r>
      <w:r>
        <w:rPr>
          <w:rFonts w:ascii="Times New Roman" w:hAnsi="Times New Roman"/>
          <w:sz w:val="20"/>
          <w:u w:val="single"/>
        </w:rPr>
        <w:t>provided</w:t>
      </w:r>
      <w:r>
        <w:rPr>
          <w:rFonts w:ascii="Times New Roman" w:hAnsi="Times New Roman"/>
          <w:sz w:val="20"/>
        </w:rPr>
        <w:t xml:space="preserve"> that, solely for purposes of maintaining any security interest granted to the Administrative Agent under any Security Document for the benefit of the Lenders, the retiring Administrative Agent shall continue to be vested with such security interest as collateral agent for the benefit of the Lenders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Security Document, including any action required to maintain the perfection of any such security interest)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hAnsi="Times New Roman"/>
          <w:sz w:val="20"/>
          <w:u w:val="single"/>
        </w:rPr>
        <w:t>Section 9.03</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Any Person into which the Administrative Agent may be merged or converted or with which it may be consolidated, or any Person resulting from any merger, conversion or consolidation to which the Administrative Agent is a party, or any Person succeeding to all or substantially all of the corporate trust or banking business of the Administrative Agent, shall be the successor Administrative Agent hereunder and under the other Loan Documents without the execution or filing of any paper or any further act on the part of any of the parties hereto, anything herein or in any other Loan Document to the contrary notwithstanding.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Non-Reliance on Agents and Other Lenders</w:t>
      </w:r>
      <w:r>
        <w:rPr>
          <w:rFonts w:ascii="Times New Roman" w:hAnsi="Times New Roman"/>
          <w:sz w:val="20"/>
        </w:rPr>
        <w:t xml:space="preserve">. Each Lender expressly acknowledges that none of the Agents nor the Arranger has made any representation or warranty to it, and that no act by any Agent or the Arranger hereafter taken, including any consent to, and acceptance of any assignment or review of the affairs of the Borrower or any Affiliate thereof, shall be deemed to constitute any representation or any warranty by any Agent or the Arranger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Lender as to any matter, including whether any Agent or the Arranger have disclosed material information in their (or their Related Parties’) possession. Each Lender represents to each Agent and the Arranger that it has, independently and without reliance upon the Administrative Agent or any other Lender or any of their Related Parties and based on such documents and information as it has deemed appropriate, made its own credit analysis of, appraisal of, an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any Agent, the Arranger or any other Lender or any of their Related Parties and based on such documents and information as it shall from time to time deem appropriate, continue to make its own credit analysis, appraisal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(i) the Loan Documents set forth the terms of a commercial lending facility and certain other facilities set forth herein and (ii) it is engaged in making, acquiring or holding commercial loans in the ordinary course and is entering into this Agreement as a Lender for the purpose of making, acquiring or holding commercial loans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or hold commercial loans, as may be applicable to such Lender, and either it, or the Person exercising discretion in making its decision to make, acquire or hold such commercial loans, is experienced in making, acquiring or holding such commercial loans.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Administrative Agent May File Proofs of Claim</w:t>
      </w:r>
      <w:r>
        <w:rPr>
          <w:rFonts w:ascii="Times New Roman" w:hAnsi="Times New Roman"/>
          <w:sz w:val="20"/>
        </w:rPr>
        <w:t xml:space="preserve">. In case of the pendency of any proceeding under any Debtor Relief Law or any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to the Lenders and the Administrative Agent under </w:t>
      </w:r>
      <w:r>
        <w:rPr>
          <w:rFonts w:ascii="Times New Roman" w:hAnsi="Times New Roman"/>
          <w:sz w:val="20"/>
          <w:u w:val="single"/>
        </w:rPr>
        <w:t>Section 9.03</w:t>
      </w:r>
      <w:r>
        <w:rPr>
          <w:rFonts w:ascii="Times New Roman" w:hAnsi="Times New Roman"/>
          <w:sz w:val="20"/>
        </w:rPr>
        <w:t xml:space="preserve">)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with respect to the exercise of setoff rights of any Lender in accordance with </w:t>
      </w:r>
      <w:r>
        <w:rPr>
          <w:rFonts w:ascii="Times New Roman" w:hAnsi="Times New Roman"/>
          <w:sz w:val="20"/>
          <w:u w:val="single"/>
        </w:rPr>
        <w:t>Section 9.08</w:t>
      </w:r>
      <w:r>
        <w:rPr>
          <w:rFonts w:ascii="Times New Roman" w:hAnsi="Times New Roman"/>
          <w:sz w:val="20"/>
        </w:rPr>
        <w:t xml:space="preserve"> or with respect to a Lender’s right to file a proof of claim in an insolvency proceeding, no Lender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Lenders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Lenders at such sale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the Administrative Agent (x) notifies a Lender or any Person who has received funds on behalf of a Lender (any such Lender or other recipient (and each of their respective successors and assigns),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hAnsi="Times New Roman"/>
          <w:sz w:val="20"/>
          <w:u w:val="single"/>
        </w:rPr>
        <w:t>Erroneous</w:t>
      </w:r>
      <w:r>
        <w:rPr>
          <w:rFonts w:ascii="Times New Roman" w:hAnsi="Times New Roman"/>
          <w:sz w:val="20"/>
        </w:rPr>
        <w:t xml:space="preserve"> </w:t>
      </w:r>
      <w:r>
        <w:rPr>
          <w:rFonts w:ascii="Times New Roman" w:hAnsi="Times New Roman"/>
          <w:sz w:val="20"/>
          <w:u w:val="single"/>
        </w:rPr>
        <w:t>Payment</w:t>
      </w:r>
      <w:r>
        <w:rPr>
          <w:rFonts w:ascii="Times New Roman" w:hAnsi="Times New Roman"/>
          <w:sz w:val="20"/>
        </w:rPr>
        <w:t xml:space="preserve">”) and (y) demands in writing the return of such Erroneous Payment (or a portion thereof) (provided, that, without limiting any other rights or remedies (whether at law or in equity), the Administrative Agent may not make any such demand under this </w:t>
      </w:r>
      <w:r>
        <w:rPr>
          <w:rFonts w:ascii="Times New Roman" w:hAnsi="Times New Roman"/>
          <w:sz w:val="20"/>
          <w:u w:val="single"/>
        </w:rPr>
        <w:t>clause (a)</w:t>
      </w:r>
      <w:r>
        <w:rPr>
          <w:rFonts w:ascii="Times New Roman" w:hAnsi="Times New Roman"/>
          <w:sz w:val="20"/>
        </w:rPr>
        <w:t xml:space="preserve"> with respect to an Erroneous Payment unless such demand is made within five (5) Business Days of the date of receipt of such Erroneous Payment by the applicable Payment Recipient), such Erroneous Payment shall at all times remain the property of the Administrative Agent pending its return or repayment as contemplated below in this </w:t>
      </w:r>
      <w:r>
        <w:rPr>
          <w:rFonts w:ascii="Times New Roman" w:hAnsi="Times New Roman"/>
          <w:sz w:val="20"/>
          <w:u w:val="single"/>
        </w:rPr>
        <w:t>Section 8.09</w:t>
      </w:r>
      <w:r>
        <w:rPr>
          <w:rFonts w:ascii="Times New Roman" w:hAnsi="Times New Roman"/>
          <w:sz w:val="20"/>
        </w:rPr>
        <w:t xml:space="preserve"> and held in trust for the benefit of the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w:t>
      </w:r>
    </w:p>
    <w:p>
      <w:pPr>
        <w:pStyle w:val="TextBody"/>
        <w:bidi w:val="0"/>
        <w:spacing w:before="120" w:after="0"/>
        <w:jc w:val="left"/>
        <w:rPr>
          <w:rFonts w:ascii="Times New Roman" w:hAnsi="Times New Roman"/>
          <w:sz w:val="20"/>
        </w:rPr>
      </w:pPr>
      <w:r>
        <w:rPr>
          <w:rFonts w:ascii="Times New Roman" w:hAnsi="Times New Roman"/>
          <w:sz w:val="20"/>
        </w:rPr>
        <w:t xml:space="preserve">(z) that such Lender or other such recipient, otherwise becomes aware was transmitted, or received, in error or by mistake (in whole or in part), then in each such case: </w:t>
      </w:r>
    </w:p>
    <w:p>
      <w:pPr>
        <w:pStyle w:val="TextBody"/>
        <w:bidi w:val="0"/>
        <w:spacing w:before="120" w:after="0"/>
        <w:jc w:val="left"/>
        <w:rPr>
          <w:rFonts w:ascii="Times New Roman" w:hAnsi="Times New Roman"/>
          <w:sz w:val="20"/>
        </w:rPr>
      </w:pPr>
      <w:r>
        <w:rPr>
          <w:rFonts w:ascii="Times New Roman" w:hAnsi="Times New Roman"/>
          <w:sz w:val="20"/>
        </w:rPr>
        <w:t xml:space="preserve">(i) it acknowledges and agrees that (A)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an error and mistake shall be presumed to have been made (absent written confirmation from the Administrative Agent to the contrary) or (B) an error and mistake has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shall use commercially reasonable efforts to (and shall use commercially reasonable efforts to cause any other recipient that receives funds on its respective behalf to) promptly (and, in all events, within one (1) Business Day of its knowledge of the occurrence of any of the circumstances described in immediately preceding </w:t>
      </w:r>
      <w:r>
        <w:rPr>
          <w:rFonts w:ascii="Times New Roman" w:hAnsi="Times New Roman"/>
          <w:sz w:val="20"/>
          <w:u w:val="single"/>
        </w:rPr>
        <w:t>clauses (x)</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and </w:t>
      </w:r>
      <w:r>
        <w:rPr>
          <w:rFonts w:ascii="Times New Roman" w:hAnsi="Times New Roman"/>
          <w:sz w:val="20"/>
          <w:u w:val="single"/>
        </w:rPr>
        <w:t>(z)</w:t>
      </w:r>
      <w:r>
        <w:rPr>
          <w:rFonts w:ascii="Times New Roman" w:hAnsi="Times New Roman"/>
          <w:sz w:val="20"/>
        </w:rPr>
        <w:t xml:space="preserve">)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8.09(b)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w:t>
      </w:r>
      <w:r>
        <w:rPr>
          <w:rFonts w:ascii="Times New Roman" w:hAnsi="Times New Roman"/>
          <w:sz w:val="20"/>
          <w:u w:val="single"/>
        </w:rPr>
        <w:t>Section 8.09(b)</w:t>
      </w:r>
      <w:r>
        <w:rPr>
          <w:rFonts w:ascii="Times New Roman" w:hAnsi="Times New Roman"/>
          <w:sz w:val="20"/>
        </w:rPr>
        <w:t xml:space="preserve"> shall not have any effect on a Payment Recipient’s obligations pursuant to </w:t>
      </w:r>
      <w:r>
        <w:rPr>
          <w:rFonts w:ascii="Times New Roman" w:hAnsi="Times New Roman"/>
          <w:sz w:val="20"/>
          <w:u w:val="single"/>
        </w:rPr>
        <w:t>Section 8.09(a)</w:t>
      </w:r>
      <w:r>
        <w:rPr>
          <w:rFonts w:ascii="Times New Roman" w:hAnsi="Times New Roman"/>
          <w:sz w:val="20"/>
        </w:rPr>
        <w:t xml:space="preserve"> or on whether or not an Erroneous Payment has been made.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w:t>
      </w:r>
      <w:r>
        <w:rPr>
          <w:rFonts w:ascii="Times New Roman" w:hAnsi="Times New Roman"/>
          <w:sz w:val="20"/>
          <w:u w:val="single"/>
        </w:rPr>
        <w:t>clause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 In the event that an Erroneous Payment (or portion thereof) is not recovered by the Administrative Agent for any reason, after demand therefor in accordance with immediately preceding </w:t>
      </w:r>
      <w:r>
        <w:rPr>
          <w:rFonts w:ascii="Times New Roman" w:hAnsi="Times New Roman"/>
          <w:sz w:val="20"/>
          <w:u w:val="single"/>
        </w:rPr>
        <w:t>clause (a)</w:t>
      </w:r>
      <w:r>
        <w:rPr>
          <w:rFonts w:ascii="Times New Roman" w:hAnsi="Times New Roman"/>
          <w:sz w:val="20"/>
        </w:rPr>
        <w:t>,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sz w:val="20"/>
          <w:u w:val="single"/>
        </w:rPr>
        <w:t>Erroneous Payment Return</w:t>
      </w:r>
      <w:r>
        <w:rPr>
          <w:rFonts w:ascii="Times New Roman" w:hAnsi="Times New Roman"/>
          <w:sz w:val="20"/>
        </w:rPr>
        <w:t xml:space="preserve"> </w:t>
      </w:r>
      <w:r>
        <w:rPr>
          <w:rFonts w:ascii="Times New Roman" w:hAnsi="Times New Roman"/>
          <w:sz w:val="20"/>
          <w:u w:val="single"/>
        </w:rPr>
        <w:t>Deficiency</w:t>
      </w:r>
      <w:r>
        <w:rPr>
          <w:rFonts w:ascii="Times New Roman" w:hAnsi="Times New Roman"/>
          <w:sz w:val="20"/>
        </w:rPr>
        <w:t xml:space="preserve">”), upon the Administrative Agent’s notice to such Lender at any time, then effective immediately (with the consideration therefor being acknowledged by the parties hereto), (A) such Lender shall be deemed to have assigned its Loans with respect to which such Erroneous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Payment was made (the “</w:t>
      </w:r>
      <w:r>
        <w:rPr>
          <w:rFonts w:ascii="Times New Roman" w:hAnsi="Times New Roman"/>
          <w:sz w:val="20"/>
          <w:u w:val="single"/>
        </w:rPr>
        <w:t>Erroneous Payment Impacted Class</w:t>
      </w:r>
      <w:r>
        <w:rPr>
          <w:rFonts w:ascii="Times New Roman" w:hAnsi="Times New Roman"/>
          <w:sz w:val="20"/>
        </w:rPr>
        <w:t>”) in an amount equal to the Erroneous Payment Return Deficiency (or such lesser amount as the Administrative Agent may specify) (such assignment of the Loans of the Erroneous Payment Impacted Class, the “</w:t>
      </w:r>
      <w:r>
        <w:rPr>
          <w:rFonts w:ascii="Times New Roman" w:hAnsi="Times New Roman"/>
          <w:sz w:val="20"/>
          <w:u w:val="single"/>
        </w:rPr>
        <w:t>Erroneous Payment Deficiency Assignment</w:t>
      </w:r>
      <w:r>
        <w:rPr>
          <w:rFonts w:ascii="Times New Roman" w:hAnsi="Times New Roman"/>
          <w:sz w:val="20"/>
        </w:rPr>
        <w:t xml:space="preserve">”)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w:t>
      </w:r>
      <w:r>
        <w:rPr>
          <w:rFonts w:ascii="Times New Roman" w:hAnsi="Times New Roman"/>
          <w:sz w:val="20"/>
          <w:u w:val="single"/>
        </w:rPr>
        <w:t>Section 9.03</w:t>
      </w:r>
      <w:r>
        <w:rPr>
          <w:rFonts w:ascii="Times New Roman" w:hAnsi="Times New Roman"/>
          <w:sz w:val="20"/>
        </w:rPr>
        <w:t xml:space="preserve"> hereof as to which the Administrative Agent and such parties are participants) with respect to such Erroneous Payment Deficiency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Credit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Credit Agreement. (ii) Subject to this </w:t>
      </w:r>
      <w:r>
        <w:rPr>
          <w:rFonts w:ascii="Times New Roman" w:hAnsi="Times New Roman"/>
          <w:sz w:val="20"/>
          <w:u w:val="single"/>
        </w:rPr>
        <w:t>Section 8.09</w:t>
      </w:r>
      <w:r>
        <w:rPr>
          <w:rFonts w:ascii="Times New Roman" w:hAnsi="Times New Roman"/>
          <w:sz w:val="20"/>
        </w:rPr>
        <w:t xml:space="preserve">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 </w:t>
      </w:r>
    </w:p>
    <w:p>
      <w:pPr>
        <w:pStyle w:val="TextBody"/>
        <w:bidi w:val="0"/>
        <w:spacing w:before="120" w:after="0"/>
        <w:jc w:val="left"/>
        <w:rPr>
          <w:rFonts w:ascii="Times New Roman" w:hAnsi="Times New Roman"/>
          <w:sz w:val="20"/>
        </w:rPr>
      </w:pPr>
      <w:r>
        <w:rPr>
          <w:rFonts w:ascii="Times New Roman" w:hAnsi="Times New Roman"/>
          <w:sz w:val="20"/>
        </w:rPr>
        <w:t>(e)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w:t>
      </w:r>
      <w:r>
        <w:rPr>
          <w:rFonts w:ascii="Times New Roman" w:hAnsi="Times New Roman"/>
          <w:sz w:val="20"/>
          <w:u w:val="single"/>
        </w:rPr>
        <w:t>Erroneous Payment Subrogation Rights</w:t>
      </w:r>
      <w:r>
        <w:rPr>
          <w:rFonts w:ascii="Times New Roman" w:hAnsi="Times New Roman"/>
          <w:sz w:val="20"/>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satisfy any Obligations owed by the Borrower or any other Loan Party; provided that this </w:t>
      </w:r>
      <w:r>
        <w:rPr>
          <w:rFonts w:ascii="Times New Roman" w:hAnsi="Times New Roman"/>
          <w:sz w:val="20"/>
          <w:u w:val="single"/>
        </w:rPr>
        <w:t>Section 8.09</w:t>
      </w:r>
      <w:r>
        <w:rPr>
          <w:rFonts w:ascii="Times New Roman" w:hAnsi="Times New Roman"/>
          <w:sz w:val="20"/>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xml:space="preserve"> shall not apply to the extent any such Erroneous Payment is, and solely with respect to the amount of such Erroneous Payment that is, comprised of funds received by the Administrative Agent from the Borrower for the purpose of making such Erroneous Payment.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120" w:after="0"/>
        <w:jc w:val="left"/>
        <w:rPr>
          <w:rFonts w:ascii="Times New Roman" w:hAnsi="Times New Roman"/>
          <w:sz w:val="20"/>
        </w:rPr>
      </w:pPr>
      <w:r>
        <w:rPr>
          <w:rFonts w:ascii="Times New Roman" w:hAnsi="Times New Roman"/>
          <w:sz w:val="20"/>
        </w:rPr>
        <w:t xml:space="preserve">(g) Each party’s obligations, agreements and waivers under this </w:t>
      </w:r>
      <w:r>
        <w:rPr>
          <w:rFonts w:ascii="Times New Roman" w:hAnsi="Times New Roman"/>
          <w:sz w:val="20"/>
          <w:u w:val="single"/>
        </w:rPr>
        <w:t>Section 8.09</w:t>
      </w:r>
      <w:r>
        <w:rPr>
          <w:rFonts w:ascii="Times New Roman" w:hAnsi="Times New Roman"/>
          <w:sz w:val="20"/>
        </w:rPr>
        <w:t xml:space="preserve"> shall survive the resignation or replacement of the Administrative Agent, any transfer of rights or obligations by, or the replacement of, a Lender, the repayment, satisfaction or discharge of all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Compliance with Other Laws</w:t>
      </w:r>
      <w:r>
        <w:rPr>
          <w:rFonts w:ascii="Times New Roman" w:hAnsi="Times New Roman"/>
          <w:sz w:val="20"/>
        </w:rPr>
        <w:t xml:space="preserve">. The Administrative Agent shall be entitled to take any action, or refuse to take any action, that the Administrative Agent regards as necessary in order for the Administrative Agent to comply with any Applicable Law, regulation or court order.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 Public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 Generally</w:t>
      </w:r>
      <w:r>
        <w:rPr>
          <w:rFonts w:ascii="Times New Roman" w:hAnsi="Times New Roman"/>
          <w:sz w:val="20"/>
        </w:rPr>
        <w:t xml:space="preserve">. Except in the case of notices and other communications expressly permitted to be given by telephone (and except as provided in </w:t>
      </w:r>
      <w:r>
        <w:rPr>
          <w:rFonts w:ascii="Times New Roman" w:hAnsi="Times New Roman"/>
          <w:sz w:val="20"/>
          <w:u w:val="single"/>
        </w:rPr>
        <w:t>paragraph (b)</w:t>
      </w:r>
      <w:r>
        <w:rPr>
          <w:rFonts w:ascii="Times New Roman" w:hAnsi="Times New Roman"/>
          <w:sz w:val="20"/>
        </w:rPr>
        <w:t xml:space="preserve"> below), all notices and other communications provided for herein shall be in writing and shall be delivered by hand or overnight courier service, mailed by certified or registered mail or sent by facsimile or email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any Loan Party, to it at 201 Mittel Drive, Wood Dale, Illinois, 60191, Attention of Chief Financial Officer (Facsimile No. (630) 350-9588; Telephone No. (630) 350-9400; Email:[ ]), with a further copy (which shall not constitute notice) to Much Shelist, P.C., 191 North Wacker Drive, Suite 1800, Chicago, Illinois 60606, Attention of J. Eric Guth (Email: [ ]), </w:t>
      </w:r>
      <w:r>
        <w:rPr>
          <w:rFonts w:ascii="Times New Roman" w:hAnsi="Times New Roman"/>
          <w:sz w:val="20"/>
          <w:u w:val="single"/>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to the Administrative Agent, to HSBC Bank USA, National Association, at 66 Hudson Blvd. East, New York, New York 10001, Attention: Loan Agency (Email: [ ], Facsimile No. Not applicable; Telephone No. Not Applicable), with a further copy (which shall not constitute notice) to Greenberg Traurig, LLP, 90 South Seventh Street, Suite 3500, Minneapolis, Minnesota 55347, Attention of Arleen Nand (Email: </w:t>
      </w:r>
      <w:r>
        <w:rPr>
          <w:rFonts w:ascii="Times New Roman" w:hAnsi="Times New Roman"/>
          <w:sz w:val="20"/>
          <w:u w:val="single"/>
        </w:rPr>
        <w:t xml:space="preserve">[ </w:t>
      </w:r>
      <w:r>
        <w:rPr>
          <w:rFonts w:ascii="Times New Roman" w:hAnsi="Times New Roman"/>
          <w:sz w:val="20"/>
        </w:rPr>
        <w:t>]</w:t>
      </w:r>
      <w:r>
        <w:rPr>
          <w:rFonts w:ascii="Times New Roman" w:hAnsi="Times New Roman"/>
          <w:sz w:val="20"/>
          <w:u w:val="single"/>
        </w:rPr>
        <w:t>), 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to a Lender, to it at its address (or facsimile number or email address) set forth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hAnsi="Times New Roman"/>
          <w:sz w:val="20"/>
          <w:u w:val="single"/>
        </w:rPr>
        <w:t>paragraph (b)</w:t>
      </w:r>
      <w:r>
        <w:rPr>
          <w:rFonts w:ascii="Times New Roman" w:hAnsi="Times New Roman"/>
          <w:sz w:val="20"/>
        </w:rPr>
        <w:t xml:space="preserve"> below, shall be effective as provided in said </w:t>
      </w:r>
      <w:r>
        <w:rPr>
          <w:rFonts w:ascii="Times New Roman" w:hAnsi="Times New Roman"/>
          <w:sz w:val="20"/>
          <w:u w:val="single"/>
        </w:rPr>
        <w:t>paragraph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hereunder may be delivered or furnished by electronic communication (including e-mail, FpML,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pursuant to </w:t>
      </w:r>
      <w:r>
        <w:rPr>
          <w:rFonts w:ascii="Times New Roman" w:hAnsi="Times New Roman"/>
          <w:sz w:val="20"/>
          <w:u w:val="single"/>
        </w:rPr>
        <w:t>Article II</w:t>
      </w:r>
      <w:r>
        <w:rPr>
          <w:rFonts w:ascii="Times New Roman" w:hAnsi="Times New Roman"/>
          <w:sz w:val="20"/>
        </w:rPr>
        <w:t xml:space="preserve"> if such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hAnsi="Times New Roman"/>
          <w:sz w:val="20"/>
          <w:u w:val="single"/>
        </w:rPr>
        <w:t>clause (i)</w:t>
      </w:r>
      <w:r>
        <w:rPr>
          <w:rFonts w:ascii="Times New Roman" w:hAnsi="Times New Roman"/>
          <w:sz w:val="20"/>
        </w:rPr>
        <w:t xml:space="preserve">, of notification that such notice or communication is available and identifying the website address therefor; provided that, for both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if such notice, email or other communication is not sent during the normal business hours of the recipient, such notice or communication shall be deemed to have been sent at the opening of business on the next business day for the recipient.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of Address, etc</w:t>
      </w:r>
      <w:r>
        <w:rPr>
          <w:rFonts w:ascii="Times New Roman" w:hAnsi="Times New Roman"/>
          <w:sz w:val="20"/>
        </w:rPr>
        <w:t xml:space="preserve">. Any party hereto may change its address or facsimile number for notices and other communications hereunder by notice to the other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agrees that the Administrative Agent may, but shall not be obligated to, make the Communications (as defined below) available to the Lenders by posting the Communications on the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Platform. “</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provided by or on behalf of the Borrower pursuant to any Loan Document or the transactions contemplated therein that is distributed to the Administrative Agent, any Lender by means of electronic communications pursuant to this Section, including through the Platform.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Public Information</w:t>
      </w:r>
      <w:r>
        <w:rPr>
          <w:rFonts w:ascii="Times New Roman" w:hAnsi="Times New Roman"/>
          <w:sz w:val="20"/>
        </w:rPr>
        <w:t>. The Borrower hereby acknowledges that certain of the Lenders (each, a “</w:t>
      </w:r>
      <w:r>
        <w:rPr>
          <w:rFonts w:ascii="Times New Roman" w:hAnsi="Times New Roman"/>
          <w:sz w:val="20"/>
          <w:u w:val="single"/>
        </w:rPr>
        <w:t>Public Lender</w:t>
      </w:r>
      <w:r>
        <w:rPr>
          <w:rFonts w:ascii="Times New Roman" w:hAnsi="Times New Roman"/>
          <w:sz w:val="20"/>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materials and information provided by or on behalf of the Borrower hereunder and under the other Loan Documents (collectively, “</w:t>
      </w:r>
      <w:r>
        <w:rPr>
          <w:rFonts w:ascii="Times New Roman" w:hAnsi="Times New Roman"/>
          <w:sz w:val="20"/>
          <w:u w:val="single"/>
        </w:rPr>
        <w:t>Borrower Materials</w:t>
      </w:r>
      <w:r>
        <w:rPr>
          <w:rFonts w:ascii="Times New Roman" w:hAnsi="Times New Roman"/>
          <w:sz w:val="20"/>
        </w:rPr>
        <w:t>”)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and the Lenders to treat such Borrower Materials as not containing any material non-public information with respect to the Borrower or its securities for purposes of U.S. federal and state securities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such Borrower Materials constitute Information, they shall be subject to </w:t>
      </w:r>
      <w:r>
        <w:rPr>
          <w:rFonts w:ascii="Times New Roman" w:hAnsi="Times New Roman"/>
          <w:sz w:val="20"/>
          <w:u w:val="single"/>
        </w:rPr>
        <w:t>Section 9.12</w:t>
      </w:r>
      <w:r>
        <w:rPr>
          <w:rFonts w:ascii="Times New Roman" w:hAnsi="Times New Roman"/>
          <w:sz w:val="20"/>
        </w:rPr>
        <w:t xml:space="preserve">); (iii) all Borrower Materials marked “PUBLIC” are permitted to be made available through a portion of the Platform designated “Public Side Information;” and (iv) the Administrative Agent shall be entitled to treat any Borrower Materials that are not marked “PUBLIC” as being suitable only for posting on a portion of the Platform not designated “Public Side Information”. Each Public Lender will designate one or more representatives that shall be permitted to receive information that is not designated as being available for Public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Waiver; Remedies Cumulative; Enforcement</w:t>
      </w:r>
      <w:r>
        <w:rPr>
          <w:rFonts w:ascii="Times New Roman" w:hAnsi="Times New Roman"/>
          <w:sz w:val="20"/>
        </w:rPr>
        <w:t xml:space="preserve">. No failure or delay by the Administrative Agent or any Lender in exercising any right, remedy, power or privilege hereunder or under any other Loan Document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Administrative Agent and the Lenders hereunder and under the Loan Documents are cumulative and are not exclusive of any rights, remedies, powers or privileges that any such Person would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Section 8.01</w:t>
      </w:r>
      <w:r>
        <w:rPr>
          <w:rFonts w:ascii="Times New Roman" w:hAnsi="Times New Roman"/>
          <w:sz w:val="20"/>
        </w:rPr>
        <w:t xml:space="preserve"> for the benefit of all the Lenders; </w:t>
      </w:r>
      <w:r>
        <w:rPr>
          <w:rFonts w:ascii="Times New Roman" w:hAnsi="Times New Roman"/>
          <w:sz w:val="20"/>
          <w:u w:val="single"/>
        </w:rPr>
        <w:t>provided</w:t>
      </w:r>
      <w:r>
        <w:rPr>
          <w:rFonts w:ascii="Times New Roman" w:hAnsi="Times New Roman"/>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any Lender from exercising setoff rights in accordance with </w:t>
      </w:r>
      <w:r>
        <w:rPr>
          <w:rFonts w:ascii="Times New Roman" w:hAnsi="Times New Roman"/>
          <w:sz w:val="20"/>
          <w:u w:val="single"/>
        </w:rPr>
        <w:t>Section 9.08</w:t>
      </w:r>
      <w:r>
        <w:rPr>
          <w:rFonts w:ascii="Times New Roman" w:hAnsi="Times New Roman"/>
          <w:sz w:val="20"/>
        </w:rPr>
        <w:t xml:space="preserve"> (subject to the terms of </w:t>
      </w:r>
      <w:r>
        <w:rPr>
          <w:rFonts w:ascii="Times New Roman" w:hAnsi="Times New Roman"/>
          <w:sz w:val="20"/>
          <w:u w:val="single"/>
        </w:rPr>
        <w:t>Section 2.12</w:t>
      </w:r>
      <w:r>
        <w:rPr>
          <w:rFonts w:ascii="Times New Roman" w:hAnsi="Times New Roman"/>
          <w:sz w:val="20"/>
        </w:rPr>
        <w:t xml:space="preserve">) or (iii) any Lender from filing proofs of claim or appearing and filing pleadings on its own behalf during the pendency of a proceeding relative to the Borrower under any Debtor Relief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(x) the Required Lenders shall have the rights otherwise provided to the Administrative Agent pursuant to </w:t>
      </w:r>
      <w:r>
        <w:rPr>
          <w:rFonts w:ascii="Times New Roman" w:hAnsi="Times New Roman"/>
          <w:sz w:val="20"/>
          <w:u w:val="single"/>
        </w:rPr>
        <w:t>Section 8.01</w:t>
      </w:r>
      <w:r>
        <w:rPr>
          <w:rFonts w:ascii="Times New Roman" w:hAnsi="Times New Roman"/>
          <w:sz w:val="20"/>
        </w:rPr>
        <w:t xml:space="preserve"> and (y) in addition to the matters set forth in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the preceding proviso and subject to </w:t>
      </w:r>
      <w:r>
        <w:rPr>
          <w:rFonts w:ascii="Times New Roman" w:hAnsi="Times New Roman"/>
          <w:sz w:val="20"/>
          <w:u w:val="single"/>
        </w:rPr>
        <w:t>Section 2.12</w:t>
      </w:r>
      <w:r>
        <w:rPr>
          <w:rFonts w:ascii="Times New Roman" w:hAnsi="Times New Roman"/>
          <w:sz w:val="20"/>
        </w:rPr>
        <w:t xml:space="preserve">, any Lender may, with the consent of the Required Lenders, enforce any rights or remedies available to it and as authorized by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 Etc</w:t>
      </w:r>
      <w:r>
        <w:rPr>
          <w:rFonts w:ascii="Times New Roman" w:hAnsi="Times New Roman"/>
          <w:sz w:val="20"/>
        </w:rPr>
        <w:t xml:space="preserve">. Except as otherwise expressly set forth in this Agreement (including </w:t>
      </w:r>
      <w:r>
        <w:rPr>
          <w:rFonts w:ascii="Times New Roman" w:hAnsi="Times New Roman"/>
          <w:sz w:val="20"/>
          <w:u w:val="single"/>
        </w:rPr>
        <w:t>Section 2.20</w:t>
      </w:r>
      <w:r>
        <w:rPr>
          <w:rFonts w:ascii="Times New Roman" w:hAnsi="Times New Roman"/>
          <w:sz w:val="20"/>
        </w:rPr>
        <w:t xml:space="preserve">), no amendment or waiver of any provision of this Agreement or any other Loan Document, and no consent to any departure by the Borrower therefrom, shall be effective unless in writing executed by the Borrower and the Required Lenders, and acknowledged by the Administrative Agent, or by the Borrower and the Administrative Agent with the consent of the Required Lenders, and each such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that only Required Lenders that have an outstanding Loan at the time of such waiver or consent shall be entitled to vote on such matters subject to this </w:t>
      </w:r>
      <w:r>
        <w:rPr>
          <w:rFonts w:ascii="Times New Roman" w:hAnsi="Times New Roman"/>
          <w:sz w:val="20"/>
          <w:u w:val="single"/>
        </w:rPr>
        <w:t>Section 9.02(b)</w:t>
      </w:r>
      <w:r>
        <w:rPr>
          <w:rFonts w:ascii="Times New Roman" w:hAnsi="Times New Roman"/>
          <w:sz w:val="20"/>
        </w:rPr>
        <w:t xml:space="preserve">, and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such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(i) increase any Commitment of any Lender without the written consent of such Lender (it being understood that a waiver of any condition precedent set forth in </w:t>
      </w:r>
      <w:r>
        <w:rPr>
          <w:rFonts w:ascii="Times New Roman" w:hAnsi="Times New Roman"/>
          <w:sz w:val="20"/>
          <w:u w:val="single"/>
        </w:rPr>
        <w:t>Article IV</w:t>
      </w:r>
      <w:r>
        <w:rPr>
          <w:rFonts w:ascii="Times New Roman" w:hAnsi="Times New Roman"/>
          <w:sz w:val="20"/>
        </w:rPr>
        <w:t xml:space="preserve"> or the waiver of any Default shall not constitute an increase of any Commitment of any Lender); </w:t>
      </w:r>
    </w:p>
    <w:p>
      <w:pPr>
        <w:pStyle w:val="TextBody"/>
        <w:bidi w:val="0"/>
        <w:spacing w:before="120" w:after="0"/>
        <w:jc w:val="left"/>
        <w:rPr>
          <w:rFonts w:ascii="Times New Roman" w:hAnsi="Times New Roman"/>
          <w:sz w:val="20"/>
        </w:rPr>
      </w:pPr>
      <w:r>
        <w:rPr>
          <w:rFonts w:ascii="Times New Roman" w:hAnsi="Times New Roman"/>
          <w:sz w:val="20"/>
        </w:rPr>
        <w:t>(ii) reduce the principal of, or rate of interest specified herein on, any Loan, or any Letter of Credit Disbursement, or any fees or other amounts payable hereunder or under any other Loan Document, without the written consent of each Lender directly and adversely affected thereby (</w:t>
      </w:r>
      <w:r>
        <w:rPr>
          <w:rFonts w:ascii="Times New Roman" w:hAnsi="Times New Roman"/>
          <w:sz w:val="20"/>
          <w:u w:val="single"/>
        </w:rPr>
        <w:t>provided</w:t>
      </w:r>
      <w:r>
        <w:rPr>
          <w:rFonts w:ascii="Times New Roman" w:hAnsi="Times New Roman"/>
          <w:sz w:val="20"/>
        </w:rPr>
        <w:t xml:space="preserve"> that only the consent of the Required Lenders shall be necessary (x) to amend the definition of “Default Rate” or to waive the obligation of the Borrower to pay interest at the Default Rate or (y) to amend any financial covenant (or any defined term directly or indirectly used therein), even if the effect of such amendment would be to reduce the rate of interest on any Loan or other Obligation or to reduce any fee payable hereunder); </w:t>
      </w:r>
    </w:p>
    <w:p>
      <w:pPr>
        <w:pStyle w:val="TextBody"/>
        <w:bidi w:val="0"/>
        <w:spacing w:before="120" w:after="0"/>
        <w:jc w:val="left"/>
        <w:rPr>
          <w:rFonts w:ascii="Times New Roman" w:hAnsi="Times New Roman"/>
          <w:sz w:val="20"/>
        </w:rPr>
      </w:pPr>
      <w:r>
        <w:rPr>
          <w:rFonts w:ascii="Times New Roman" w:hAnsi="Times New Roman"/>
          <w:sz w:val="20"/>
        </w:rPr>
        <w:t xml:space="preserve">(iii) postpone any date scheduled for any payment of principal of, or interest on, any Loan or any letter of Credit Disbursement, or any fees or other amounts payable hereunder or under any other Loan Document, or reduce the amount of, waive or excuse any such payment, without the written consent of each Lender directly and adversely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change </w:t>
      </w:r>
      <w:r>
        <w:rPr>
          <w:rFonts w:ascii="Times New Roman" w:hAnsi="Times New Roman"/>
          <w:sz w:val="20"/>
          <w:u w:val="single"/>
        </w:rPr>
        <w:t>Section 2.12</w:t>
      </w:r>
      <w:r>
        <w:rPr>
          <w:rFonts w:ascii="Times New Roman" w:hAnsi="Times New Roman"/>
          <w:sz w:val="20"/>
        </w:rPr>
        <w:t xml:space="preserve"> in a manner that would alter the pro rata sharing of payments required thereby without the written consent of each Lender directly and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waive any condition set forth in </w:t>
      </w:r>
      <w:r>
        <w:rPr>
          <w:rFonts w:ascii="Times New Roman" w:hAnsi="Times New Roman"/>
          <w:sz w:val="20"/>
          <w:u w:val="single"/>
        </w:rPr>
        <w:t>Section 4.01</w:t>
      </w:r>
      <w:r>
        <w:rPr>
          <w:rFonts w:ascii="Times New Roman" w:hAnsi="Times New Roman"/>
          <w:sz w:val="20"/>
        </w:rPr>
        <w:t xml:space="preserve"> or </w:t>
      </w:r>
      <w:r>
        <w:rPr>
          <w:rFonts w:ascii="Times New Roman" w:hAnsi="Times New Roman"/>
          <w:sz w:val="20"/>
          <w:u w:val="single"/>
        </w:rPr>
        <w:t>Section 4.02</w:t>
      </w:r>
      <w:r>
        <w:rPr>
          <w:rFonts w:ascii="Times New Roman" w:hAnsi="Times New Roman"/>
          <w:sz w:val="20"/>
        </w:rPr>
        <w:t xml:space="preserve">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(vi) change any provision of this Section or the percentage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(vii) release or otherwise limit all or substantially all of the value of the Guarantees provided by the Borrower and its Subsidiaries (including, in each case, by limiting liability in respect thereof) under the Collateral Agreement, in each case without the written consent of each Lender (except as expressly provided in the Collateral Agreement (including any such release by the Administrative Agent in connection with any sale or other disposition of any Subsidiary upon the exercise of remedies under the Security Documents), it being understood and agreed that an amendment or other modification of the type of obligations guaranteed under the Collateral Agreement shall not be deemed to be a release or limitation of any Guarantee); or </w:t>
      </w:r>
    </w:p>
    <w:p>
      <w:pPr>
        <w:pStyle w:val="TextBody"/>
        <w:bidi w:val="0"/>
        <w:spacing w:before="120" w:after="0"/>
        <w:jc w:val="left"/>
        <w:rPr>
          <w:rFonts w:ascii="Times New Roman" w:hAnsi="Times New Roman"/>
          <w:sz w:val="20"/>
        </w:rPr>
      </w:pPr>
      <w:r>
        <w:rPr>
          <w:rFonts w:ascii="Times New Roman" w:hAnsi="Times New Roman"/>
          <w:sz w:val="20"/>
        </w:rPr>
        <w:t xml:space="preserve">(viii) release all or substantially all the Collateral from the Liens of the Security Documents, or otherwise subordinate such Liens, without the written consent of each Lender (except as expressly provided in the applicable Security Document (including any such release by the Administrative Agent in connection with any sale or other disposition of the Collateral upon the exercise of remedies under the Security Documents), it being understood and agreed that an amendment or other modification of the type of obligations secured by the Security Documents shall not be deemed to be a release of the Collateral from the Liens of the Security Documents),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amendment, waiver or consent shall amend, modify or otherwise affect the rights or duties hereunder or under any other Loan Document of the Administrative Agent, unless in writing executed by the Administrative Agent, in addition to the Borrower and the Lenders required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no Defaulting Lender shall have any right to approve or disapprove any amendment, waiver or consent hereunder (and any amendment, waiver or consent that by its terms requires the consent of all the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amendment, waiver or consent requiring the consent of all the Lenders or each affected Lender that by its terms affects any Defaulting Lender more adversely than the other affected Lenders shall require the consent of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notwithstanding anything in this Section to the contrary, if the Administrative Agent and the Borrower shall have jointly identified an obvious error or any error or omission of a technical nature, in each case, in any provision of the Loan Documents, then the Administrative Agent and the Borrower shall be permitted to amend such provision, and, in each case, such amendment shall become effective without any further action or consent of any other party to any Loan Document if the same is not objected to in writing by the Required Lenders to the Administrative Agent within ten Business Days following receipt of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Borrower shall pay or reimburse (i) the Administrative Agent for all of its reasonable and documented out-of-pocket costs and expenses reasonably incurred in connection with (A) the development, negotiation, preparation, execution and delivery of this Agreement and the other Loan Documents, including any amendment, supplement or modification to any of the foregoing, and (B) the consummation and administration of the transactions contemplated hereby and thereby, including the reasonable fees and disbursements of one counsel to the Administrative Agent and the Arrangers, taken as a whole (and, to the 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(ii) the Administrative Agent, each Lender and each Letter of Credit Issuer for all of its reasonable and documented out-of-pocket costs and expenses reasonably incurred in connection with the enforcement or preservation of any rights under this Agreement or any other Loan Document following the occurrence and during the continuance of an Event of Default, including the reasonable fees and disbursements of one counsel to the Administrative Agent, the Lenders, the Letter of Credit Issuers and each of their respective Affiliates, taken as a whole (other than during an Event of Default, in which case the Administrative Agent shall be entitled to its own counsel separate from the Lenders and the Letter of Credit Issuers) (and, to the extent reasonably necessary, one local counsel in each relevant jurisdiction for all such entities, taken as a whole, and, solely in the case of an actual or potential conflict of interest, one additional counsel in each relevant jurisdiction to the affected entities similarly situated,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Borrower</w:t>
      </w:r>
      <w:r>
        <w:rPr>
          <w:rFonts w:ascii="Times New Roman" w:hAnsi="Times New Roman"/>
          <w:sz w:val="20"/>
        </w:rPr>
        <w:t>. The Borrower shall indemnify the Administrative Agent (and any sub-agent thereof), each Lender, each Letter of Credit Issuer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brought by a third party or by the Borrower,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or (y) result from a claim not involving an act or omission of the Borrower and that is brought by an Indemnitee against another Indemnitee (other than against the Administrative Agent in its capacity as such). </w:t>
      </w:r>
      <w:r>
        <w:rPr>
          <w:rFonts w:ascii="Times New Roman" w:hAnsi="Times New Roman"/>
          <w:sz w:val="20"/>
          <w:u w:val="single"/>
        </w:rPr>
        <w:t>Paragraph (b)</w:t>
      </w:r>
      <w:r>
        <w:rPr>
          <w:rFonts w:ascii="Times New Roman" w:hAnsi="Times New Roman"/>
          <w:sz w:val="20"/>
        </w:rPr>
        <w:t xml:space="preserve"> of this Section shall not apply with respect to Taxes other than any Taxes that represent losses, claims, damages, etc. arising from any non-Tax claim.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Reimbursement by Lenders</w:t>
      </w:r>
      <w:r>
        <w:rPr>
          <w:rFonts w:ascii="Times New Roman" w:hAnsi="Times New Roman"/>
          <w:sz w:val="20"/>
        </w:rPr>
        <w:t xml:space="preserve">. To the extent that the Borrower for any reason fails to indefeasibly pay any amount required under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Section to be paid by it to the Administrative Agent or any Related Party of any of the foregoing, each Lender severally agrees to pay to the Administrative Agent or such Related Party, as the case may be, such Lender’s pro rata share (determined as of the time that the applicable unreimbursed expense or indemnity payment is sought based on each Lender’s Applicable Percentage at such time) of such unpaid amount (including any such unpaid amount in respect of a claim asserted by such Lender); provided that the unreimbursed expense or indemnified loss, claim, damage, liability or related expense, as the case may be, was incurred by or asserted against the Administrative Agent, or against any Related Party of any of the foregoing acting for the Administrative Agent. The obligations of the Lenders under this </w:t>
      </w:r>
      <w:r>
        <w:rPr>
          <w:rFonts w:ascii="Times New Roman" w:hAnsi="Times New Roman"/>
          <w:sz w:val="20"/>
          <w:u w:val="single"/>
        </w:rPr>
        <w:t>paragraph (c)</w:t>
      </w:r>
      <w:r>
        <w:rPr>
          <w:rFonts w:ascii="Times New Roman" w:hAnsi="Times New Roman"/>
          <w:sz w:val="20"/>
        </w:rPr>
        <w:t> are subject to the provisions of Section </w:t>
      </w:r>
      <w:r>
        <w:rPr>
          <w:rFonts w:ascii="Times New Roman" w:hAnsi="Times New Roman"/>
          <w:sz w:val="20"/>
          <w:u w:val="single"/>
        </w:rPr>
        <w:t>2.15(e)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Consequential Damages, Etc</w:t>
      </w:r>
      <w:r>
        <w:rPr>
          <w:rFonts w:ascii="Times New Roman" w:hAnsi="Times New Roman"/>
          <w:sz w:val="20"/>
        </w:rPr>
        <w:t>. To the fullest extent permitted by Applicable Law, neither the Borrower nor any Indemnitee shall assert, and each such Person hereby waives, any claim against the Borrower or any Indemnitee and any Lender, and any Related Party of any of the foregoing Persons (each such Person being called a “</w:t>
      </w:r>
      <w:r>
        <w:rPr>
          <w:rFonts w:ascii="Times New Roman" w:hAnsi="Times New Roman"/>
          <w:sz w:val="20"/>
          <w:u w:val="single"/>
        </w:rPr>
        <w:t>Protected</w:t>
      </w:r>
      <w:r>
        <w:rPr>
          <w:rFonts w:ascii="Times New Roman" w:hAnsi="Times New Roman"/>
          <w:sz w:val="20"/>
        </w:rPr>
        <w:t xml:space="preserve"> </w:t>
      </w:r>
      <w:r>
        <w:rPr>
          <w:rFonts w:ascii="Times New Roman" w:hAnsi="Times New Roman"/>
          <w:sz w:val="20"/>
          <w:u w:val="single"/>
        </w:rPr>
        <w:t>Person</w:t>
      </w:r>
      <w:r>
        <w:rPr>
          <w:rFonts w:ascii="Times New Roman" w:hAnsi="Times New Roman"/>
          <w:sz w:val="20"/>
        </w:rPr>
        <w:t xml:space="preserve">”), as applicable,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hAnsi="Times New Roman"/>
          <w:sz w:val="20"/>
          <w:u w:val="single"/>
        </w:rPr>
        <w:t>paragraph (b)</w:t>
      </w:r>
      <w:r>
        <w:rPr>
          <w:rFonts w:ascii="Times New Roman" w:hAnsi="Times New Roman"/>
          <w:sz w:val="20"/>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bad faith, or willful misconduct of such Indemnitee.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w:t>
      </w:r>
      <w:r>
        <w:rPr>
          <w:rFonts w:ascii="Times New Roman" w:hAnsi="Times New Roman"/>
          <w:sz w:val="20"/>
        </w:rPr>
        <w:t xml:space="preserve">. All amounts due under this Section shall be payable promptly after written demand therefor.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Survival</w:t>
      </w:r>
      <w:r>
        <w:rPr>
          <w:rFonts w:ascii="Times New Roman" w:hAnsi="Times New Roman"/>
          <w:sz w:val="20"/>
        </w:rPr>
        <w:t xml:space="preserve">. Each party’s obligations under this Section shall survive the termination of the Loan Documents and payment of the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any other attempted assignment or transfer by any party hereto shall be null and void), and no Lender may assign or otherwise transfer any of its rights or obligations hereunder except (i) to an assignee in accordance with the provisions of </w:t>
      </w:r>
      <w:r>
        <w:rPr>
          <w:rFonts w:ascii="Times New Roman" w:hAnsi="Times New Roman"/>
          <w:sz w:val="20"/>
          <w:u w:val="single"/>
        </w:rPr>
        <w:t>paragraph (b)</w:t>
      </w:r>
      <w:r>
        <w:rPr>
          <w:rFonts w:ascii="Times New Roman" w:hAnsi="Times New Roman"/>
          <w:sz w:val="20"/>
        </w:rPr>
        <w:t xml:space="preserve"> of this Section, (ii) by way of participation in accordance with the provisions of </w:t>
      </w:r>
      <w:r>
        <w:rPr>
          <w:rFonts w:ascii="Times New Roman" w:hAnsi="Times New Roman"/>
          <w:sz w:val="20"/>
          <w:u w:val="single"/>
        </w:rPr>
        <w:t>paragraph (d)</w:t>
      </w:r>
      <w:r>
        <w:rPr>
          <w:rFonts w:ascii="Times New Roman" w:hAnsi="Times New Roman"/>
          <w:sz w:val="20"/>
        </w:rPr>
        <w:t xml:space="preserve"> of this Section, or (iii) by way of pledge or assignment of a security interest subject to the restrictions of </w:t>
      </w:r>
      <w:r>
        <w:rPr>
          <w:rFonts w:ascii="Times New Roman" w:hAnsi="Times New Roman"/>
          <w:sz w:val="20"/>
          <w:u w:val="single"/>
        </w:rPr>
        <w:t>paragraph (e)</w:t>
      </w:r>
      <w:r>
        <w:rPr>
          <w:rFonts w:ascii="Times New Roman" w:hAnsi="Times New Roman"/>
          <w:sz w:val="20"/>
        </w:rPr>
        <w:t xml:space="preserve"> of this Section.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sz w:val="20"/>
          <w:u w:val="single"/>
        </w:rPr>
        <w:t>paragraph (d)</w:t>
      </w:r>
      <w:r>
        <w:rPr>
          <w:rFonts w:ascii="Times New Roman" w:hAnsi="Times New Roman"/>
          <w:sz w:val="20"/>
        </w:rPr>
        <w:t xml:space="preserve"> of this Section and, to the extent expressly contemplated hereby, the Related Parties of each of the Administrative Agent and the Lenders)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(including all or a portion of the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Loans at the time owing to it or contemporaneous assignments to or by related Approved Funds (determined after giving effect to such assignments) that equal at least the amount specified in </w:t>
      </w:r>
      <w:r>
        <w:rPr>
          <w:rFonts w:ascii="Times New Roman" w:hAnsi="Times New Roman"/>
          <w:sz w:val="20"/>
          <w:u w:val="single"/>
        </w:rPr>
        <w:t>paragraph (b)(i)(B)</w:t>
      </w:r>
      <w:r>
        <w:rPr>
          <w:rFonts w:ascii="Times New Roman" w:hAnsi="Times New Roman"/>
          <w:sz w:val="20"/>
        </w:rPr>
        <w:t xml:space="preserve"> of this Section in the aggregate or in the case of an assignment to a Lender, an Affiliate of a Lender or an Approved Fund, no minimum amount need be assigned; and in any case not described in </w:t>
      </w:r>
      <w:r>
        <w:rPr>
          <w:rFonts w:ascii="Times New Roman" w:hAnsi="Times New Roman"/>
          <w:sz w:val="20"/>
          <w:u w:val="single"/>
        </w:rPr>
        <w:t>paragraph (b)(i)(A)</w:t>
      </w:r>
      <w:r>
        <w:rPr>
          <w:rFonts w:ascii="Times New Roman" w:hAnsi="Times New Roman"/>
          <w:sz w:val="20"/>
        </w:rPr>
        <w:t xml:space="preserve"> of this Section,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hAnsi="Times New Roman"/>
          <w:sz w:val="20"/>
          <w:u w:val="single"/>
        </w:rPr>
        <w:t>Trade Date</w:t>
      </w:r>
      <w:r>
        <w:rPr>
          <w:rFonts w:ascii="Times New Roman" w:hAnsi="Times New Roman"/>
          <w:sz w:val="20"/>
        </w:rPr>
        <w:t xml:space="preserve">” is specified in the Assignment and Assumption, as of the Trade Date) shall not be less than $5,000,000, unless the Administrative Agent has consented to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 No assignment by a Letter of Credit Issuer shall transfer its L/C Commitment or its status or obligations as a Letter of Credit Issuer unless expressly agreed in writing by the Borrower, the Administrative Agent, and the applicable assignee.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as provided in this </w:t>
      </w:r>
      <w:r>
        <w:rPr>
          <w:rFonts w:ascii="Times New Roman" w:hAnsi="Times New Roman"/>
          <w:sz w:val="20"/>
          <w:u w:val="single"/>
        </w:rPr>
        <w:t>paragraph (b)(iii)</w:t>
      </w:r>
      <w:r>
        <w:rPr>
          <w:rFonts w:ascii="Times New Roman" w:hAnsi="Times New Roman"/>
          <w:sz w:val="20"/>
        </w:rPr>
        <w:t xml:space="preserve"> of this Section and, in addition, the consent of the Administrative Agent (such consent not to be unreasonably withheld or delayed) shall be required for assignments to a Person that is not a Lender, an Affiliate of such Lender or an Approved Fund with respect to such Lender. After the occurrence and during the continuance of any Event of Default, if the Administrative Agent fails to respond to such a request for consent by a Lender within ten (10) Business Days of the receipt of such notice, such Lender shall be deemed to have received consent from the Administrative Agent. The consent of each Letter of Credit Issuer (such consent not to be unreasonably withheld or delayed) shall be required for any assignment of Revolving Loans or Revolving Commitments to a Person that is not already a Revolving Lender or an Affiliate of a Revolving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of $3,500; </w:t>
      </w:r>
      <w:r>
        <w:rPr>
          <w:rFonts w:ascii="Times New Roman" w:hAnsi="Times New Roman"/>
          <w:sz w:val="20"/>
          <w:u w:val="single"/>
        </w:rPr>
        <w:t>provided</w:t>
      </w:r>
      <w:r>
        <w:rPr>
          <w:rFonts w:ascii="Times New Roman" w:hAnsi="Times New Roman"/>
          <w:sz w:val="20"/>
        </w:rPr>
        <w:t xml:space="preserve"> that the Administrative Agent may, in its sole discretion, elect to waive such processing and recordation fee in the case of any assignment. The assignee, if it is not a Lender, shall deliver to the Administrative Agent an Administrative Questionnaire.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Certain Persons</w:t>
      </w:r>
      <w:r>
        <w:rPr>
          <w:rFonts w:ascii="Times New Roman" w:hAnsi="Times New Roman"/>
          <w:sz w:val="20"/>
        </w:rPr>
        <w:t xml:space="preserve">. No such assignment shall be made to (A) the Borrower or any of the Borrower’s Affiliates or Subsidiaries or (B) any Defaulting Lender or any of its Subsidiaries, or any Person who, upon becoming a Lender hereunder, would constitute a Defaulting Lender or a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a holding company, investment vehicle or trust for, or owned and operated for the primary benefit of,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w:t>
      </w:r>
      <w:r>
        <w:rPr>
          <w:rFonts w:ascii="Times New Roman" w:hAnsi="Times New Roman"/>
          <w:sz w:val="20"/>
          <w:u w:val="single"/>
        </w:rPr>
        <w:t>paragraph (c)</w:t>
      </w:r>
      <w:r>
        <w:rPr>
          <w:rFonts w:ascii="Times New Roman" w:hAnsi="Times New Roman"/>
          <w:sz w:val="20"/>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2.18</w:t>
      </w:r>
      <w:r>
        <w:rPr>
          <w:rFonts w:ascii="Times New Roman" w:hAnsi="Times New Roman"/>
          <w:sz w:val="20"/>
        </w:rPr>
        <w:t xml:space="preserve"> and </w:t>
      </w:r>
      <w:r>
        <w:rPr>
          <w:rFonts w:ascii="Times New Roman" w:hAnsi="Times New Roman"/>
          <w:sz w:val="20"/>
          <w:u w:val="single"/>
        </w:rPr>
        <w:t xml:space="preserve">9.03 </w:t>
      </w:r>
      <w:r>
        <w:rPr>
          <w:rFonts w:ascii="Times New Roman" w:hAnsi="Times New Roman"/>
          <w:sz w:val="20"/>
        </w:rPr>
        <w:t xml:space="preserve">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hAnsi="Times New Roman"/>
          <w:sz w:val="20"/>
          <w:u w:val="single"/>
        </w:rPr>
        <w:t>paragraph (d)</w:t>
      </w:r>
      <w:r>
        <w:rPr>
          <w:rFonts w:ascii="Times New Roman" w:hAnsi="Times New Roman"/>
          <w:sz w:val="20"/>
        </w:rPr>
        <w:t xml:space="preserv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an agent of the Borrower, shall maintain at one of its U.S. offices a copy of each Assignment and Assumption delivered to it and a register for the recordation of the names and addresses of the Lenders, and principal amounts (and stated interest) of the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or the Borrower or any of the Borrower’s Affiliates or Subsidiaries)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Agreement (including all or a portion of the Loans owing to it); </w:t>
      </w:r>
      <w:r>
        <w:rPr>
          <w:rFonts w:ascii="Times New Roman" w:hAnsi="Times New Roman"/>
          <w:sz w:val="20"/>
          <w:u w:val="single"/>
        </w:rPr>
        <w:t xml:space="preserve">provided </w:t>
      </w:r>
      <w:r>
        <w:rPr>
          <w:rFonts w:ascii="Times New Roman" w:hAnsi="Times New Roman"/>
          <w:sz w:val="20"/>
        </w:rPr>
        <w:t xml:space="preserve">that (i) such Lender’s obligations under this Agreement shall remain unchanged, (ii) such Lender shall remain solely responsible to the other parties hereto for the performance of such obligations, and (iii) the Borrower, the Administrative Agent and Lenders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sz w:val="20"/>
          <w:u w:val="single"/>
        </w:rPr>
        <w:t>Section 9.03(b)</w:t>
      </w:r>
      <w:r>
        <w:rPr>
          <w:rFonts w:ascii="Times New Roman" w:hAnsi="Times New Roman"/>
          <w:sz w:val="20"/>
        </w:rPr>
        <w:t xml:space="preserve"> with respect to any payments made by such Lender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waiver or other modification that affects such Participant. The Borrower agrees that each Participant shall be entitled to the benefits of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and </w:t>
      </w:r>
      <w:r>
        <w:rPr>
          <w:rFonts w:ascii="Times New Roman" w:hAnsi="Times New Roman"/>
          <w:sz w:val="20"/>
          <w:u w:val="single"/>
        </w:rPr>
        <w:t>2.15</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2.15(g)</w:t>
      </w:r>
      <w:r>
        <w:rPr>
          <w:rFonts w:ascii="Times New Roman" w:hAnsi="Times New Roman"/>
          <w:sz w:val="20"/>
        </w:rPr>
        <w:t xml:space="preserve"> (it being understood that the documentation required under </w:t>
      </w:r>
      <w:r>
        <w:rPr>
          <w:rFonts w:ascii="Times New Roman" w:hAnsi="Times New Roman"/>
          <w:sz w:val="20"/>
          <w:u w:val="single"/>
        </w:rPr>
        <w:t>Section 2.15(g)</w:t>
      </w:r>
      <w:r>
        <w:rPr>
          <w:rFonts w:ascii="Times New Roman" w:hAnsi="Times New Roman"/>
          <w:sz w:val="20"/>
        </w:rPr>
        <w:t xml:space="preserve"> shall be delivered to the participating Lender)) to the same extent as if it were a Lender and had acquired its interest by assignment pursuant to </w:t>
      </w:r>
      <w:r>
        <w:rPr>
          <w:rFonts w:ascii="Times New Roman" w:hAnsi="Times New Roman"/>
          <w:sz w:val="20"/>
          <w:u w:val="single"/>
        </w:rPr>
        <w:t>paragraph (b)</w:t>
      </w:r>
      <w:r>
        <w:rPr>
          <w:rFonts w:ascii="Times New Roman" w:hAnsi="Times New Roman"/>
          <w:sz w:val="20"/>
        </w:rPr>
        <w:t xml:space="preserve"> of this Section; </w:t>
      </w:r>
      <w:r>
        <w:rPr>
          <w:rFonts w:ascii="Times New Roman" w:hAnsi="Times New Roman"/>
          <w:sz w:val="20"/>
          <w:u w:val="single"/>
        </w:rPr>
        <w:t>provided</w:t>
      </w:r>
      <w:r>
        <w:rPr>
          <w:rFonts w:ascii="Times New Roman" w:hAnsi="Times New Roman"/>
          <w:sz w:val="20"/>
        </w:rPr>
        <w:t xml:space="preserve"> that such Participant (A) agrees to be subject to the provisions of </w:t>
      </w:r>
      <w:r>
        <w:rPr>
          <w:rFonts w:ascii="Times New Roman" w:hAnsi="Times New Roman"/>
          <w:sz w:val="20"/>
          <w:u w:val="single"/>
        </w:rPr>
        <w:t>Section 2.18</w:t>
      </w:r>
      <w:r>
        <w:rPr>
          <w:rFonts w:ascii="Times New Roman" w:hAnsi="Times New Roman"/>
          <w:sz w:val="20"/>
        </w:rPr>
        <w:t xml:space="preserve"> as if it were an assignee under </w:t>
      </w:r>
      <w:r>
        <w:rPr>
          <w:rFonts w:ascii="Times New Roman" w:hAnsi="Times New Roman"/>
          <w:sz w:val="20"/>
          <w:u w:val="single"/>
        </w:rPr>
        <w:t>paragraph (b)</w:t>
      </w:r>
      <w:r>
        <w:rPr>
          <w:rFonts w:ascii="Times New Roman" w:hAnsi="Times New Roman"/>
          <w:sz w:val="20"/>
        </w:rPr>
        <w:t xml:space="preserve"> of this Section; and (B) shall not be entitled to receive any greater payment under </w:t>
      </w:r>
      <w:r>
        <w:rPr>
          <w:rFonts w:ascii="Times New Roman" w:hAnsi="Times New Roman"/>
          <w:sz w:val="20"/>
          <w:u w:val="single"/>
        </w:rPr>
        <w:t>Section 2.14</w:t>
      </w:r>
      <w:r>
        <w:rPr>
          <w:rFonts w:ascii="Times New Roman" w:hAnsi="Times New Roman"/>
          <w:sz w:val="20"/>
        </w:rPr>
        <w:t xml:space="preserve"> or </w:t>
      </w:r>
      <w:r>
        <w:rPr>
          <w:rFonts w:ascii="Times New Roman" w:hAnsi="Times New Roman"/>
          <w:sz w:val="20"/>
          <w:u w:val="single"/>
        </w:rPr>
        <w:t>2.15</w:t>
      </w:r>
      <w:r>
        <w:rPr>
          <w:rFonts w:ascii="Times New Roman" w:hAnsi="Times New Roman"/>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2.18(b)</w:t>
      </w:r>
      <w:r>
        <w:rPr>
          <w:rFonts w:ascii="Times New Roman" w:hAnsi="Times New Roman"/>
          <w:sz w:val="20"/>
        </w:rPr>
        <w:t xml:space="preserve"> with respect to any Participant. To the extent permitted by law, each Participant also shall be entitled to the benefits of </w:t>
      </w:r>
      <w:r>
        <w:rPr>
          <w:rFonts w:ascii="Times New Roman" w:hAnsi="Times New Roman"/>
          <w:sz w:val="20"/>
          <w:u w:val="single"/>
        </w:rPr>
        <w:t>Section 9.08</w:t>
      </w:r>
      <w:r>
        <w:rPr>
          <w:rFonts w:ascii="Times New Roman" w:hAnsi="Times New Roman"/>
          <w:sz w:val="20"/>
        </w:rPr>
        <w:t xml:space="preserve"> as though it were a Lender; provided that such Participant agrees to be subject to </w:t>
      </w:r>
      <w:r>
        <w:rPr>
          <w:rFonts w:ascii="Times New Roman" w:hAnsi="Times New Roman"/>
          <w:sz w:val="20"/>
          <w:u w:val="single"/>
        </w:rPr>
        <w:t>Section 2.12</w:t>
      </w:r>
      <w:r>
        <w:rPr>
          <w:rFonts w:ascii="Times New Roman" w:hAnsi="Times New Roman"/>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Loans or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Survival</w:t>
      </w:r>
      <w:r>
        <w:rPr>
          <w:rFonts w:ascii="Times New Roman" w:hAnsi="Times New Roman"/>
          <w:sz w:val="20"/>
        </w:rPr>
        <w:t xml:space="preserve">. All covenants, agreements, representations and warranties made by the Borrower herein and in any Loan Document or other documents delivered in connection herewith or therewith or pursuant hereto or thereto shall be considered to have been relied upon by the other parties hereto and shall survive the execution and delivery hereof and thereof and the making of the Borrowings hereunder, regardless of any investigation made by any such other party or on its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 and so long as the Revolving Facility has not expired or been terminated. The provisions of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w:t>
      </w:r>
      <w:r>
        <w:rPr>
          <w:rFonts w:ascii="Times New Roman" w:hAnsi="Times New Roman"/>
          <w:sz w:val="20"/>
          <w:u w:val="single"/>
        </w:rPr>
        <w:t>9.03</w:t>
      </w:r>
      <w:r>
        <w:rPr>
          <w:rFonts w:ascii="Times New Roman" w:hAnsi="Times New Roman"/>
          <w:sz w:val="20"/>
        </w:rPr>
        <w:t xml:space="preserve">, </w:t>
      </w:r>
      <w:r>
        <w:rPr>
          <w:rFonts w:ascii="Times New Roman" w:hAnsi="Times New Roman"/>
          <w:sz w:val="20"/>
          <w:u w:val="single"/>
        </w:rPr>
        <w:t>9.15</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shall survive and remain in full force and effect regardless of the consummation of the transactions contemplated hereby, the payment in full of the Obligations and the termination of this Agreement or any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Counterparts; Integration; Effectiveness; Electronic 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Counterparts; Integration; Effectiveness</w:t>
      </w:r>
      <w:r>
        <w:rPr>
          <w:rFonts w:ascii="Times New Roman" w:hAnsi="Times New Roman"/>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(e.g., “pdf” or “tif”) format shall be effective as delivery of a manually executed counterpart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Execution of Documents</w:t>
      </w:r>
      <w:r>
        <w:rPr>
          <w:rFonts w:ascii="Times New Roman" w:hAnsi="Times New Roman"/>
          <w:sz w:val="20"/>
        </w:rPr>
        <w:t xml:space="preserve">. The words “execution,” “execute”, “signed,” “signature,” and words of like import in or related to any document to be signed in connection with this Agreement, the other Loan Documents and the transactions contemplated hereby or thereby (including without limitation Assignment and Assumptions, amendments,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if and to the extent that the enforceability of any provision of this Agreement relating to Defaulting Lenders shall be limited by Debtor Relief Laws, as determined in good faith by the Administrative Agent, then such provision shall be deemed to be in effect only to the extent not so limited.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Right of Setoff</w:t>
      </w:r>
      <w:r>
        <w:rPr>
          <w:rFonts w:ascii="Times New Roman" w:hAnsi="Times New Roman"/>
          <w:sz w:val="20"/>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or their respective Affiliates,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2.20</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Governing Law; Jurisdiction;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hAnsi="Times New Roman"/>
          <w:sz w:val="20"/>
          <w:u w:val="single"/>
        </w:rPr>
        <w:t>paragraph (b)</w:t>
      </w:r>
      <w:r>
        <w:rPr>
          <w:rFonts w:ascii="Times New Roman" w:hAnsi="Times New Roman"/>
          <w:sz w:val="20"/>
        </w:rPr>
        <w:t xml:space="preserve">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9.01</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Treatment of Certain Information; Confidentiality</w:t>
      </w:r>
      <w:r>
        <w:rPr>
          <w:rFonts w:ascii="Times New Roman" w:hAnsi="Times New Roman"/>
          <w:sz w:val="20"/>
        </w:rPr>
        <w:t xml:space="preserve">. Each of the Administrative Agent and the Lenders agree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court, tribunal, regulatory, supervisory, governmental or quasi-governmental authority purporting to have jurisdiction over such Person or its Related Parties (including any self-regulatory authority, such as the National Association of Insurance Commissioners); (c) to the extent required by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that are not less restrictive than those of this Section, to (i) any actual or prospective assignee, novatee or transferee of or Participant or sub-Participant in (or any agent or advisor of any of the foregoing)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Revolving Facility, (ii) the CUSIP Service Bureau or any similar agency in connection with the issuance and monitoring of CUSIP numbers with respect to the Revolving Facility or (iii) any professional advisor, insurer, insurance broker or other service provider of, or any direct or indirect provider of credit protection to, the Administrative Agent, any Lender or any of their respective Affiliates;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who did not acquire such information as a result of a breach of this Section. In addition, the Administrative Agent and the Lenders may disclose the existence of this Agreement and information about this Agreement to market data collectors, similar service providers to the lending industry and service providers to the Administrative Agent or any Lender in connection with the administration of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Section, “</w:t>
      </w:r>
      <w:r>
        <w:rPr>
          <w:rFonts w:ascii="Times New Roman" w:hAnsi="Times New Roman"/>
          <w:sz w:val="20"/>
          <w:u w:val="single"/>
        </w:rPr>
        <w:t>Information</w:t>
      </w:r>
      <w:r>
        <w:rPr>
          <w:rFonts w:ascii="Times New Roman" w:hAnsi="Times New Roman"/>
          <w:sz w:val="20"/>
        </w:rPr>
        <w:t xml:space="preserve">” means all information received from the Borrower or any of its Subsidiaries relating to the Borrower or any of its Subsidiaries or any of their respective businesses, other than any such information that is available to the Administrative Agent or any Lender on a nonconfidential basis prior to disclosure by the Borrower or any of its Subsidiaries; </w:t>
      </w:r>
      <w:r>
        <w:rPr>
          <w:rFonts w:ascii="Times New Roman" w:hAnsi="Times New Roman"/>
          <w:sz w:val="20"/>
          <w:u w:val="single"/>
        </w:rPr>
        <w:t>provided</w:t>
      </w:r>
      <w:r>
        <w:rPr>
          <w:rFonts w:ascii="Times New Roman" w:hAnsi="Times New Roman"/>
          <w:sz w:val="20"/>
        </w:rPr>
        <w:t xml:space="preserve"> that, in the case of information received from the Borrower or any of its Subsidiaries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The parties hereto do not anticipate any disclosure of personal information of California residents to the Administrative Agent or the Arranger, or any collection or processing of personal information of California residents, in connection with the transactions contemplated hereunder and the Administrative Agent’s or the Arranger’s services contemplated hereunder; provided however, to the extent any California personal information subject to the California Privacy Rights Act (“</w:t>
      </w:r>
      <w:r>
        <w:rPr>
          <w:rFonts w:ascii="Times New Roman" w:hAnsi="Times New Roman"/>
          <w:sz w:val="20"/>
          <w:u w:val="single"/>
        </w:rPr>
        <w:t>CPRA</w:t>
      </w:r>
      <w:r>
        <w:rPr>
          <w:rFonts w:ascii="Times New Roman" w:hAnsi="Times New Roman"/>
          <w:sz w:val="20"/>
        </w:rPr>
        <w:t xml:space="preserve">”) and their implementing regulations is disclosed by the Borrower to the Administrative Agent or the Arranger and is covered by the California Privacy Rights Act and its implementing regulations, the Administrative Agent and the Arranger agree to process such personal information only for the limited and specified business purposes of facilitating the execution of the transactions contemplated hereby or as otherwise provided by, and in compliance with, the CPRA.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PATRIOT Act</w:t>
      </w:r>
      <w:r>
        <w:rPr>
          <w:rFonts w:ascii="Times New Roman" w:hAnsi="Times New Roman"/>
          <w:sz w:val="20"/>
        </w:rPr>
        <w:t xml:space="preserve">. The Administrative Agent and each Lender subject to the PATRIOT Act hereby notifies the Borrower that, pursuant to the requirements of the PATRIOT Act, it may be required to obtain, verify and record information that identifies the Borrower, which information includes the name and address of the Borrower and other information that will allow such Lender to identify the Borrower in accordance with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Interest Rate Limitation</w:t>
      </w:r>
      <w:r>
        <w:rPr>
          <w:rFonts w:ascii="Times New Roman" w:hAnsi="Times New Roman"/>
          <w:sz w:val="20"/>
        </w:rPr>
        <w:t>.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w:t>
      </w:r>
      <w:r>
        <w:rPr>
          <w:rFonts w:ascii="Times New Roman" w:hAnsi="Times New Roman"/>
          <w:sz w:val="20"/>
          <w:u w:val="single"/>
        </w:rPr>
        <w:t>charges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 Any amount collected by such Lender or other Person that exceeds the maximum amount collectible at the Maximum Rate shall be applied to the reduction of the principal balance of such Loan or other Obligation or refunded to the Borrower so that at no time shall the interest and charges paid or payable in respect of such Loan or other Obligation exceed the maximum amount collectible at the Maximum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Payments Set Aside</w:t>
      </w:r>
      <w:r>
        <w:rPr>
          <w:rFonts w:ascii="Times New Roman" w:hAnsi="Times New Roman"/>
          <w:sz w:val="20"/>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greater of the Federal Funds Rate from time to time in effect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No Advisory or Fiduciary Responsibility</w:t>
      </w:r>
      <w:r>
        <w:rPr>
          <w:rFonts w:ascii="Times New Roman" w:hAnsi="Times New Roman"/>
          <w:sz w:val="20"/>
        </w:rPr>
        <w:t xml:space="preserve">.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the Administrative Agent or any Lender is intended to be or has been created in respect of the transactions contemplated hereby or by the other Loan Documents, irrespective of whether the Administrative Agent or any Lender has advised or is advising the Borrower or any Subsidiary on other matters, (ii) the arranging and other services regarding this Agreement provided by the Administrative Agent and the Lenders are arm’s-length commercial transactions between the Borrower and its Affiliates, on the one hand, and the Administrative Agent and the Lenders,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 (b) (i) the Administrative Agent and the Lenders each is and has been acting solely as a principal and, except as expressly agreed in writing by the relevant parties, has not been, is not, and will not be acting as an advisor, agent or fiduciary for the Borrower or any of its Affiliates, or any other Person; (ii) none of the Administrative Agent and the Lenders has any obligation to the Borrower or any of its Affiliates with respect to the transactions contemplated hereby except those obligations expressly set forth herein and in the other Loan Documents; and (iii) the Administrative Agent and the Lenders and their respective Affiliates may be engaged, for their own accounts or the accounts of customers, in a broad range of transactions that involve interests that differ from those of the Borrower and its Affiliates, and none of the Administrative Agent and the Lenders has any obligation to disclose any of such interests to the Borrower or its Affiliates. To the fullest extent permitted by Applicable Law, the Borrower hereby waives and releases any claims that it may have against any of the Administrative Agent and the Lenders with respect to any breach or alleged breach of agency or fiduciary duty in connection with any aspect of any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Acknowledgement and Consent to Bail-In of Affected Financial</w:t>
      </w:r>
      <w:r>
        <w:rPr>
          <w:rFonts w:ascii="Times New Roman" w:hAnsi="Times New Roman"/>
          <w:sz w:val="20"/>
        </w:rPr>
        <w:t xml:space="preserve"> </w:t>
      </w:r>
      <w:r>
        <w:rPr>
          <w:rFonts w:ascii="Times New Roman" w:hAnsi="Times New Roman"/>
          <w:sz w:val="20"/>
          <w:u w:val="single"/>
        </w:rPr>
        <w:t>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Acknowledgement Regarding Any Supported QFCs. To the extent that the Loan Documents provide support, through a guarantee or otherwise, for Swap Contracts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(c) In the event a Covered Entity that is party to a Supported QFC (each, a “</w:t>
      </w:r>
      <w:r>
        <w:rPr>
          <w:rFonts w:ascii="Times New Roman" w:hAnsi="Times New Roman"/>
          <w:sz w:val="20"/>
          <w:u w:val="single"/>
        </w:rPr>
        <w:t>Covered</w:t>
      </w:r>
      <w:r>
        <w:rPr>
          <w:rFonts w:ascii="Times New Roman" w:hAnsi="Times New Roman"/>
          <w:sz w:val="20"/>
        </w:rPr>
        <w:t xml:space="preserve"> </w:t>
      </w:r>
      <w:r>
        <w:rPr>
          <w:rFonts w:ascii="Times New Roman" w:hAnsi="Times New Roman"/>
          <w:sz w:val="20"/>
          <w:u w:val="single"/>
        </w:rPr>
        <w:t>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 used in this </w:t>
      </w:r>
      <w:r>
        <w:rPr>
          <w:rFonts w:ascii="Times New Roman" w:hAnsi="Times New Roman"/>
          <w:sz w:val="20"/>
          <w:u w:val="single"/>
        </w:rPr>
        <w:t>Section 9.17</w:t>
      </w:r>
      <w:r>
        <w:rPr>
          <w:rFonts w:ascii="Times New Roman" w:hAnsi="Times New Roman"/>
          <w:sz w:val="20"/>
        </w:rPr>
        <w:t xml:space="preserve">, the following terms have the following meanings: </w:t>
      </w:r>
    </w:p>
    <w:p>
      <w:pPr>
        <w:pStyle w:val="TextBody"/>
        <w:bidi w:val="0"/>
        <w:spacing w:before="240" w:after="0"/>
        <w:jc w:val="left"/>
        <w:rPr/>
      </w:pPr>
      <w:r>
        <w:rPr>
          <w:u w:val="single"/>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u w:val="single"/>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48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4470" w:type="dxa"/>
        <w:jc w:val="right"/>
        <w:tblInd w:w="0" w:type="dxa"/>
        <w:tblLayout w:type="fixed"/>
        <w:tblCellMar>
          <w:top w:w="0" w:type="dxa"/>
          <w:left w:w="0" w:type="dxa"/>
          <w:bottom w:w="0" w:type="dxa"/>
          <w:right w:w="0" w:type="dxa"/>
        </w:tblCellMar>
      </w:tblPr>
      <w:tblGrid>
        <w:gridCol w:w="393"/>
        <w:gridCol w:w="64"/>
        <w:gridCol w:w="2758"/>
        <w:gridCol w:w="305"/>
        <w:gridCol w:w="60"/>
        <w:gridCol w:w="890"/>
      </w:tblGrid>
      <w:tr>
        <w:trPr/>
        <w:tc>
          <w:tcPr>
            <w:tcW w:w="393"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0" w:after="283"/>
              <w:jc w:val="left"/>
              <w:rPr>
                <w:sz w:val="4"/>
                <w:szCs w:val="4"/>
              </w:rPr>
            </w:pPr>
            <w:r>
              <w:rPr>
                <w:sz w:val="4"/>
                <w:szCs w:val="4"/>
              </w:rPr>
            </w:r>
          </w:p>
        </w:tc>
        <w:tc>
          <w:tcPr>
            <w:tcW w:w="950" w:type="dxa"/>
            <w:gridSpan w:val="2"/>
            <w:tcBorders/>
          </w:tcPr>
          <w:p>
            <w:pPr>
              <w:pStyle w:val="TableContents"/>
              <w:bidi w:val="0"/>
              <w:spacing w:before="0" w:after="283"/>
              <w:jc w:val="left"/>
              <w:rPr>
                <w:sz w:val="4"/>
                <w:szCs w:val="4"/>
              </w:rPr>
            </w:pPr>
            <w:r>
              <w:rPr>
                <w:sz w:val="4"/>
                <w:szCs w:val="4"/>
              </w:rPr>
            </w:r>
          </w:p>
        </w:tc>
      </w:tr>
      <w:tr>
        <w:trPr/>
        <w:tc>
          <w:tcPr>
            <w:tcW w:w="3215" w:type="dxa"/>
            <w:gridSpan w:val="3"/>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POWER SOLUTIONS</w:t>
            </w:r>
          </w:p>
          <w:p>
            <w:pPr>
              <w:pStyle w:val="TableContents"/>
              <w:bidi w:val="0"/>
              <w:spacing w:before="0" w:after="20"/>
              <w:jc w:val="left"/>
              <w:rPr/>
            </w:pPr>
            <w:r>
              <w:rPr/>
              <w:t> </w:t>
            </w:r>
            <w:r>
              <w:rPr>
                <w:rFonts w:ascii="Times New Roman" w:hAnsi="Times New Roman"/>
                <w:b/>
                <w:sz w:val="20"/>
              </w:rPr>
              <w:t xml:space="preserve">INTERNATIONAL, INC., </w:t>
            </w:r>
            <w:r>
              <w:rPr>
                <w:rFonts w:ascii="Times New Roman" w:hAnsi="Times New Roman"/>
                <w:sz w:val="20"/>
              </w:rPr>
              <w:t>as Borrower</w:t>
            </w:r>
          </w:p>
        </w:tc>
        <w:tc>
          <w:tcPr>
            <w:tcW w:w="305" w:type="dxa"/>
            <w:tcBorders/>
          </w:tcPr>
          <w:p>
            <w:pPr>
              <w:pStyle w:val="TableContents"/>
              <w:bidi w:val="0"/>
              <w:spacing w:before="0" w:after="283"/>
              <w:jc w:val="left"/>
              <w:rPr>
                <w:sz w:val="4"/>
                <w:szCs w:val="4"/>
              </w:rPr>
            </w:pPr>
            <w:r>
              <w:rPr>
                <w:sz w:val="4"/>
                <w:szCs w:val="4"/>
              </w:rPr>
            </w:r>
          </w:p>
        </w:tc>
        <w:tc>
          <w:tcPr>
            <w:tcW w:w="950"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3215" w:type="dxa"/>
            <w:gridSpan w:val="3"/>
            <w:vMerge w:val="continue"/>
            <w:tcBorders/>
          </w:tcPr>
          <w:p>
            <w:pPr>
              <w:pStyle w:val="Normal"/>
              <w:bidi w:val="0"/>
              <w:jc w:val="left"/>
              <w:rPr/>
            </w:pPr>
            <w:r>
              <w:rPr/>
            </w:r>
          </w:p>
        </w:tc>
        <w:tc>
          <w:tcPr>
            <w:tcW w:w="305"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27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c>
          <w:tcPr>
            <w:tcW w:w="1255" w:type="dxa"/>
            <w:gridSpan w:val="3"/>
            <w:tcBorders/>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2758" w:type="dxa"/>
            <w:tcBorders/>
          </w:tcPr>
          <w:p>
            <w:pPr>
              <w:pStyle w:val="TableContents"/>
              <w:bidi w:val="0"/>
              <w:spacing w:before="0" w:after="283"/>
              <w:jc w:val="left"/>
              <w:rPr/>
            </w:pPr>
            <w:r>
              <w:rPr/>
              <w:t>Name: Kenneth Li</w:t>
            </w:r>
          </w:p>
        </w:tc>
        <w:tc>
          <w:tcPr>
            <w:tcW w:w="1255" w:type="dxa"/>
            <w:gridSpan w:val="3"/>
            <w:tcBorders/>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2758" w:type="dxa"/>
            <w:tcBorders/>
          </w:tcPr>
          <w:p>
            <w:pPr>
              <w:pStyle w:val="TableContents"/>
              <w:bidi w:val="0"/>
              <w:spacing w:before="0" w:after="283"/>
              <w:jc w:val="left"/>
              <w:rPr/>
            </w:pPr>
            <w:r>
              <w:rPr/>
              <w:t>Title: Chief Financial Officer</w:t>
            </w:r>
          </w:p>
        </w:tc>
        <w:tc>
          <w:tcPr>
            <w:tcW w:w="1255"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3215"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tcPr>
          <w:p>
            <w:pPr>
              <w:pStyle w:val="TableContents"/>
              <w:bidi w:val="0"/>
              <w:spacing w:before="0" w:after="283"/>
              <w:jc w:val="left"/>
              <w:rPr>
                <w:sz w:val="4"/>
                <w:szCs w:val="4"/>
              </w:rPr>
            </w:pPr>
            <w:r>
              <w:rPr>
                <w:sz w:val="4"/>
                <w:szCs w:val="4"/>
              </w:rPr>
            </w:r>
          </w:p>
        </w:tc>
      </w:tr>
      <w:tr>
        <w:trPr/>
        <w:tc>
          <w:tcPr>
            <w:tcW w:w="3215" w:type="dxa"/>
            <w:gridSpan w:val="3"/>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BI-PHASE TECHNOLOGIES, LLC</w:t>
            </w:r>
          </w:p>
          <w:p>
            <w:pPr>
              <w:pStyle w:val="TableContents"/>
              <w:bidi w:val="0"/>
              <w:spacing w:before="0" w:after="0"/>
              <w:jc w:val="left"/>
              <w:rPr>
                <w:rFonts w:ascii="Times New Roman" w:hAnsi="Times New Roman"/>
                <w:b/>
                <w:sz w:val="20"/>
              </w:rPr>
            </w:pPr>
            <w:r>
              <w:rPr>
                <w:rFonts w:ascii="Times New Roman" w:hAnsi="Times New Roman"/>
                <w:b/>
                <w:sz w:val="20"/>
              </w:rPr>
              <w:t>MTL MANUFACTURING &amp; EQUIPMENT INC.</w:t>
            </w:r>
          </w:p>
          <w:p>
            <w:pPr>
              <w:pStyle w:val="TableContents"/>
              <w:bidi w:val="0"/>
              <w:spacing w:before="0" w:after="0"/>
              <w:jc w:val="left"/>
              <w:rPr>
                <w:rFonts w:ascii="Times New Roman" w:hAnsi="Times New Roman"/>
                <w:b/>
                <w:sz w:val="20"/>
              </w:rPr>
            </w:pPr>
            <w:r>
              <w:rPr>
                <w:rFonts w:ascii="Times New Roman" w:hAnsi="Times New Roman"/>
                <w:b/>
                <w:sz w:val="20"/>
              </w:rPr>
              <w:t>POWER GREAT LAKES, INC.</w:t>
            </w:r>
          </w:p>
          <w:p>
            <w:pPr>
              <w:pStyle w:val="TableContents"/>
              <w:bidi w:val="0"/>
              <w:spacing w:before="0" w:after="0"/>
              <w:jc w:val="left"/>
              <w:rPr>
                <w:rFonts w:ascii="Times New Roman" w:hAnsi="Times New Roman"/>
                <w:b/>
                <w:sz w:val="20"/>
              </w:rPr>
            </w:pPr>
            <w:r>
              <w:rPr>
                <w:rFonts w:ascii="Times New Roman" w:hAnsi="Times New Roman"/>
                <w:b/>
                <w:sz w:val="20"/>
              </w:rPr>
              <w:t>POWERTRAIN INTEGRATION</w:t>
            </w:r>
          </w:p>
          <w:p>
            <w:pPr>
              <w:pStyle w:val="TableContents"/>
              <w:bidi w:val="0"/>
              <w:spacing w:before="0" w:after="0"/>
              <w:jc w:val="left"/>
              <w:rPr>
                <w:rFonts w:ascii="Times New Roman" w:hAnsi="Times New Roman"/>
                <w:b/>
                <w:sz w:val="20"/>
              </w:rPr>
            </w:pPr>
            <w:r>
              <w:rPr>
                <w:rFonts w:ascii="Times New Roman" w:hAnsi="Times New Roman"/>
                <w:b/>
                <w:sz w:val="20"/>
              </w:rPr>
              <w:t>ACQUISITION, LLC</w:t>
            </w:r>
          </w:p>
          <w:p>
            <w:pPr>
              <w:pStyle w:val="TableContents"/>
              <w:bidi w:val="0"/>
              <w:spacing w:before="0" w:after="0"/>
              <w:jc w:val="left"/>
              <w:rPr>
                <w:rFonts w:ascii="Times New Roman" w:hAnsi="Times New Roman"/>
                <w:b/>
                <w:sz w:val="20"/>
              </w:rPr>
            </w:pPr>
            <w:r>
              <w:rPr>
                <w:rFonts w:ascii="Times New Roman" w:hAnsi="Times New Roman"/>
                <w:b/>
                <w:sz w:val="20"/>
              </w:rPr>
              <w:t>PROFESSIONAL POWER PRODUCTS, INC.</w:t>
            </w:r>
          </w:p>
          <w:p>
            <w:pPr>
              <w:pStyle w:val="TableContents"/>
              <w:bidi w:val="0"/>
              <w:spacing w:before="0" w:after="0"/>
              <w:jc w:val="left"/>
              <w:rPr>
                <w:rFonts w:ascii="Times New Roman" w:hAnsi="Times New Roman"/>
                <w:b/>
                <w:sz w:val="20"/>
              </w:rPr>
            </w:pPr>
            <w:r>
              <w:rPr>
                <w:rFonts w:ascii="Times New Roman" w:hAnsi="Times New Roman"/>
                <w:b/>
                <w:sz w:val="20"/>
              </w:rPr>
              <w:t>PSI INTERNATIONAL, LLC</w:t>
            </w:r>
          </w:p>
          <w:p>
            <w:pPr>
              <w:pStyle w:val="TableContents"/>
              <w:bidi w:val="0"/>
              <w:spacing w:before="0" w:after="20"/>
              <w:jc w:val="left"/>
              <w:rPr>
                <w:rFonts w:ascii="Times New Roman" w:hAnsi="Times New Roman"/>
                <w:sz w:val="20"/>
              </w:rPr>
            </w:pPr>
            <w:r>
              <w:rPr>
                <w:rFonts w:ascii="Times New Roman" w:hAnsi="Times New Roman"/>
                <w:b/>
                <w:sz w:val="20"/>
              </w:rPr>
              <w:t>THE W GROUP, INC.,</w:t>
              <w:br/>
            </w:r>
            <w:r>
              <w:rPr>
                <w:rFonts w:ascii="Times New Roman" w:hAnsi="Times New Roman"/>
                <w:sz w:val="20"/>
              </w:rPr>
              <w:t>each as a Loan Party</w:t>
            </w:r>
          </w:p>
        </w:tc>
        <w:tc>
          <w:tcPr>
            <w:tcW w:w="1255"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3215" w:type="dxa"/>
            <w:gridSpan w:val="3"/>
            <w:vMerge w:val="continue"/>
            <w:tcBorders/>
          </w:tcPr>
          <w:p>
            <w:pPr>
              <w:pStyle w:val="Normal"/>
              <w:bidi w:val="0"/>
              <w:jc w:val="left"/>
              <w:rPr/>
            </w:pPr>
            <w:r>
              <w:rPr/>
            </w:r>
          </w:p>
        </w:tc>
        <w:tc>
          <w:tcPr>
            <w:tcW w:w="305"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3215" w:type="dxa"/>
            <w:gridSpan w:val="3"/>
            <w:vMerge w:val="continue"/>
            <w:tcBorders/>
          </w:tcPr>
          <w:p>
            <w:pPr>
              <w:pStyle w:val="Normal"/>
              <w:bidi w:val="0"/>
              <w:jc w:val="left"/>
              <w:rPr/>
            </w:pPr>
            <w:r>
              <w:rPr/>
            </w:r>
          </w:p>
        </w:tc>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89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3215" w:type="dxa"/>
            <w:gridSpan w:val="3"/>
            <w:vMerge w:val="continue"/>
            <w:tcBorders/>
          </w:tcPr>
          <w:p>
            <w:pPr>
              <w:pStyle w:val="Normal"/>
              <w:bidi w:val="0"/>
              <w:jc w:val="left"/>
              <w:rPr/>
            </w:pPr>
            <w:r>
              <w:rPr/>
            </w:r>
          </w:p>
        </w:tc>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Name: Kenneth Li</w:t>
            </w:r>
          </w:p>
        </w:tc>
      </w:tr>
      <w:tr>
        <w:trPr/>
        <w:tc>
          <w:tcPr>
            <w:tcW w:w="3215" w:type="dxa"/>
            <w:gridSpan w:val="3"/>
            <w:vMerge w:val="continue"/>
            <w:tcBorders/>
          </w:tcPr>
          <w:p>
            <w:pPr>
              <w:pStyle w:val="Normal"/>
              <w:bidi w:val="0"/>
              <w:jc w:val="left"/>
              <w:rPr/>
            </w:pPr>
            <w:r>
              <w:rPr/>
            </w:r>
          </w:p>
        </w:tc>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Title: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27"/>
        <w:gridCol w:w="82"/>
        <w:gridCol w:w="3473"/>
      </w:tblGrid>
      <w:tr>
        <w:trPr/>
        <w:tc>
          <w:tcPr>
            <w:tcW w:w="527"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HSBC BANK USA, NATIONAL</w:t>
            </w:r>
          </w:p>
        </w:tc>
      </w:tr>
      <w:tr>
        <w:trPr/>
        <w:tc>
          <w:tcPr>
            <w:tcW w:w="4082" w:type="dxa"/>
            <w:gridSpan w:val="3"/>
            <w:tcBorders/>
          </w:tcPr>
          <w:p>
            <w:pPr>
              <w:pStyle w:val="TableContents"/>
              <w:bidi w:val="0"/>
              <w:spacing w:before="0" w:after="283"/>
              <w:jc w:val="left"/>
              <w:rPr/>
            </w:pPr>
            <w:r>
              <w:rPr/>
              <w:t> </w:t>
            </w:r>
            <w:r>
              <w:rPr>
                <w:b/>
              </w:rPr>
              <w:t>ASSOCIATION</w:t>
            </w:r>
            <w:r>
              <w:rPr/>
              <w:t>, as Administrative Agent</w:t>
            </w:r>
          </w:p>
        </w:tc>
      </w:tr>
      <w:tr>
        <w:trPr>
          <w:trHeight w:val="240" w:hRule="atLeast"/>
        </w:trPr>
        <w:tc>
          <w:tcPr>
            <w:tcW w:w="527" w:type="dxa"/>
            <w:tcBorders/>
            <w:vAlign w:val="center"/>
          </w:tcPr>
          <w:p>
            <w:pPr>
              <w:pStyle w:val="TableContents"/>
              <w:bidi w:val="0"/>
              <w:spacing w:before="0" w:after="283"/>
              <w:jc w:val="left"/>
              <w:rPr>
                <w:sz w:val="4"/>
                <w:szCs w:val="4"/>
              </w:rPr>
            </w:pPr>
            <w:r>
              <w:rPr>
                <w:sz w:val="4"/>
                <w:szCs w:val="4"/>
              </w:rPr>
            </w:r>
          </w:p>
        </w:tc>
        <w:tc>
          <w:tcPr>
            <w:tcW w:w="3555" w:type="dxa"/>
            <w:gridSpan w:val="2"/>
            <w:tcBorders/>
            <w:vAlign w:val="center"/>
          </w:tcPr>
          <w:p>
            <w:pPr>
              <w:pStyle w:val="TableContents"/>
              <w:bidi w:val="0"/>
              <w:spacing w:before="0" w:after="283"/>
              <w:jc w:val="left"/>
              <w:rPr>
                <w:sz w:val="4"/>
                <w:szCs w:val="4"/>
              </w:rPr>
            </w:pPr>
            <w:r>
              <w:rPr>
                <w:sz w:val="4"/>
                <w:szCs w:val="4"/>
              </w:rPr>
            </w:r>
          </w:p>
        </w:tc>
      </w:tr>
      <w:tr>
        <w:trPr/>
        <w:tc>
          <w:tcPr>
            <w:tcW w:w="527"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4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Leslie Morales</w:t>
            </w:r>
          </w:p>
        </w:tc>
      </w:tr>
      <w:tr>
        <w:trPr/>
        <w:tc>
          <w:tcPr>
            <w:tcW w:w="527"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Name: Leslie Morales</w:t>
            </w:r>
          </w:p>
        </w:tc>
      </w:tr>
      <w:tr>
        <w:trPr/>
        <w:tc>
          <w:tcPr>
            <w:tcW w:w="527"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Title: Associate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47"/>
        <w:gridCol w:w="68"/>
        <w:gridCol w:w="3567"/>
      </w:tblGrid>
      <w:tr>
        <w:trPr/>
        <w:tc>
          <w:tcPr>
            <w:tcW w:w="447"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HSBC BANK USA, NATIONAL</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ASSOCIATION</w:t>
            </w:r>
            <w:r>
              <w:rPr>
                <w:rFonts w:ascii="Times New Roman" w:hAnsi="Times New Roman"/>
                <w:sz w:val="20"/>
              </w:rPr>
              <w:t>, as a Lender and Letter of Credit Issuer</w:t>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3635" w:type="dxa"/>
            <w:gridSpan w:val="2"/>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56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Liyun Zhu</w:t>
            </w:r>
          </w:p>
        </w:tc>
      </w:tr>
      <w:tr>
        <w:trPr/>
        <w:tc>
          <w:tcPr>
            <w:tcW w:w="447"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283"/>
              <w:jc w:val="left"/>
              <w:rPr/>
            </w:pPr>
            <w:r>
              <w:rPr/>
              <w:t>Name: Liyun Zhu</w:t>
            </w:r>
          </w:p>
        </w:tc>
      </w:tr>
      <w:tr>
        <w:trPr/>
        <w:tc>
          <w:tcPr>
            <w:tcW w:w="447"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AUSTRALIA AND NEW ZEALAND</w:t>
            </w:r>
          </w:p>
        </w:tc>
      </w:tr>
      <w:tr>
        <w:trPr/>
        <w:tc>
          <w:tcPr>
            <w:tcW w:w="4082" w:type="dxa"/>
            <w:gridSpan w:val="3"/>
            <w:tcBorders/>
          </w:tcPr>
          <w:p>
            <w:pPr>
              <w:pStyle w:val="TableContents"/>
              <w:bidi w:val="0"/>
              <w:spacing w:before="0" w:after="283"/>
              <w:jc w:val="left"/>
              <w:rPr/>
            </w:pPr>
            <w:r>
              <w:rPr/>
              <w:t> </w:t>
            </w:r>
            <w:r>
              <w:rPr>
                <w:b/>
              </w:rPr>
              <w:t>BANKING GROUP</w:t>
            </w:r>
            <w:r>
              <w:rPr/>
              <w:t>, as a Lender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Grillo</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Robert Grillo</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BANK OF CHINA LIMITED, CHICAGO</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BRANCH</w:t>
            </w:r>
            <w:r>
              <w:rPr>
                <w:rFonts w:ascii="Times New Roman" w:hAnsi="Times New Roman"/>
                <w:sz w:val="20"/>
              </w:rPr>
              <w:t>, as a Lender and Letter of Credit Issuer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Libo Sun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Libo Sun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SVP&amp;Branch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BNP PARIBAS</w:t>
            </w:r>
            <w:r>
              <w:rPr>
                <w:rFonts w:ascii="Times New Roman" w:hAnsi="Times New Roman"/>
                <w:sz w:val="20"/>
              </w:rPr>
              <w:t>, as a Lender and Letter of Credit Issuer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Vikas Khandelwal</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Vikas Khandelwal</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Managing Director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Urs Waschkeit</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Urs Waschkeit</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Revolving 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2.01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Commitments, L/C Commitments, and Lenders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3.06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Litigation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3.18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Subsidiaries and Capitalization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6.01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Indebtedness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6.02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Liens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6.06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Investments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ASSIGNMENT AND ASSUMPTION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1 </w:t>
      </w:r>
    </w:p>
    <w:p>
      <w:pPr>
        <w:pStyle w:val="TextBody"/>
        <w:bidi w:val="0"/>
        <w:spacing w:before="240" w:after="0"/>
        <w:jc w:val="center"/>
        <w:rPr>
          <w:rFonts w:ascii="Times New Roman" w:hAnsi="Times New Roman"/>
          <w:sz w:val="20"/>
        </w:rPr>
      </w:pPr>
      <w:r>
        <w:rPr>
          <w:rFonts w:ascii="Times New Roman" w:hAnsi="Times New Roman"/>
          <w:sz w:val="20"/>
        </w:rPr>
        <w:t xml:space="preserve">STANDARD TERMS AND CONDITIONS FOR </w:t>
      </w:r>
    </w:p>
    <w:p>
      <w:pPr>
        <w:pStyle w:val="TextBody"/>
        <w:bidi w:val="0"/>
        <w:spacing w:before="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BORROWING REQUEST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Not Partnerships For U.S. Federal Income Tax Purposes)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Not Partnerships For U.S. Federal Income Tax Purposes)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B-3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Partnerships For U.S. Federal Income Tax Purposes)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B-4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Partnerships For U.S. Federal Income Tax Purposes)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COMPLIANCE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TO COMPLIANCE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B TO COMPLIANCE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DEFAULTS OR EVENTS OF DEFAULT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C TO COMPLIANCE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CALCULATIONS OF FINANCIAL COVENANT COMPLIANCE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D TO COMPLIANCE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PERFECTION CERTIFICATE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PERFECTION CERTIFICATE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E </w:t>
      </w:r>
    </w:p>
    <w:p>
      <w:pPr>
        <w:pStyle w:val="TextBody"/>
        <w:bidi w:val="0"/>
        <w:spacing w:before="240" w:after="0"/>
        <w:jc w:val="center"/>
        <w:rPr>
          <w:rFonts w:ascii="Times New Roman" w:hAnsi="Times New Roman"/>
          <w:sz w:val="20"/>
        </w:rPr>
      </w:pPr>
      <w:r>
        <w:rPr>
          <w:rFonts w:ascii="Times New Roman" w:hAnsi="Times New Roman"/>
          <w:sz w:val="20"/>
        </w:rPr>
        <w:t xml:space="preserve">FORM OF SUPPLEMENTAL PERFECTION CERTIFICATE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F </w:t>
      </w:r>
    </w:p>
    <w:p>
      <w:pPr>
        <w:pStyle w:val="TextBody"/>
        <w:bidi w:val="0"/>
        <w:spacing w:before="240" w:after="0"/>
        <w:jc w:val="center"/>
        <w:rPr>
          <w:rFonts w:ascii="Times New Roman" w:hAnsi="Times New Roman"/>
          <w:sz w:val="20"/>
        </w:rPr>
      </w:pPr>
      <w:r>
        <w:rPr>
          <w:rFonts w:ascii="Times New Roman" w:hAnsi="Times New Roman"/>
          <w:sz w:val="20"/>
        </w:rPr>
        <w:t xml:space="preserve">FORM OF SOLVENCY CERTIFICATE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G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REQUEST FOR LETTER OF CREDIT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p>
    <w:p>
      <w:pPr>
        <w:pStyle w:val="TextBody"/>
        <w:bidi w:val="0"/>
        <w:spacing w:before="0" w:after="0"/>
        <w:jc w:val="right"/>
        <w:rPr>
          <w:rFonts w:ascii="Times New Roman" w:hAnsi="Times New Roman"/>
          <w:b/>
          <w:sz w:val="20"/>
        </w:rPr>
      </w:pPr>
      <w:bookmarkStart w:id="4" w:name="d28951dex102.htm"/>
      <w:bookmarkStart w:id="5" w:name="ksd28951dex102"/>
      <w:bookmarkEnd w:id="4"/>
      <w:bookmarkEnd w:id="5"/>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GUARANTY AND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GUARANTY AND COLLATERAL AGREEMENT </w:t>
      </w:r>
      <w:r>
        <w:rPr>
          <w:rFonts w:ascii="Times New Roman" w:hAnsi="Times New Roman"/>
          <w:sz w:val="20"/>
        </w:rPr>
        <w:t>(this “</w:t>
      </w:r>
      <w:r>
        <w:rPr>
          <w:rFonts w:ascii="Times New Roman" w:hAnsi="Times New Roman"/>
          <w:sz w:val="20"/>
          <w:u w:val="single"/>
        </w:rPr>
        <w:t>Agreement</w:t>
      </w:r>
      <w:r>
        <w:rPr>
          <w:rFonts w:ascii="Times New Roman" w:hAnsi="Times New Roman"/>
          <w:sz w:val="20"/>
        </w:rPr>
        <w:t xml:space="preserve">”), dated as of September 25, 2026, among the Persons listed on the signature pages hereof as “Grantors” and those additional Persons that hereafter become parties hereto by executing the form of Joinder attached hereto as </w:t>
      </w:r>
      <w:r>
        <w:rPr>
          <w:rFonts w:ascii="Times New Roman" w:hAnsi="Times New Roman"/>
          <w:sz w:val="20"/>
          <w:u w:val="single"/>
        </w:rPr>
        <w:t>Annex 1</w:t>
      </w:r>
      <w:r>
        <w:rPr>
          <w:rFonts w:ascii="Times New Roman" w:hAnsi="Times New Roman"/>
          <w:sz w:val="20"/>
        </w:rPr>
        <w:t xml:space="preserve"> (each, a “</w:t>
      </w:r>
      <w:r>
        <w:rPr>
          <w:rFonts w:ascii="Times New Roman" w:hAnsi="Times New Roman"/>
          <w:sz w:val="20"/>
          <w:u w:val="single"/>
        </w:rPr>
        <w:t>Grantor</w:t>
      </w:r>
      <w:r>
        <w:rPr>
          <w:rFonts w:ascii="Times New Roman" w:hAnsi="Times New Roman"/>
          <w:sz w:val="20"/>
        </w:rPr>
        <w:t>” and collectively, the “</w:t>
      </w:r>
      <w:r>
        <w:rPr>
          <w:rFonts w:ascii="Times New Roman" w:hAnsi="Times New Roman"/>
          <w:sz w:val="20"/>
          <w:u w:val="single"/>
        </w:rPr>
        <w:t>Grantors</w:t>
      </w:r>
      <w:r>
        <w:rPr>
          <w:rFonts w:ascii="Times New Roman" w:hAnsi="Times New Roman"/>
          <w:sz w:val="20"/>
        </w:rPr>
        <w:t xml:space="preserve">”), and </w:t>
      </w:r>
      <w:r>
        <w:rPr>
          <w:rFonts w:ascii="Times New Roman" w:hAnsi="Times New Roman"/>
          <w:b/>
          <w:sz w:val="20"/>
        </w:rPr>
        <w:t xml:space="preserve">HSBC BANK USA, NATIONAL ASSOCIATION </w:t>
      </w:r>
      <w:r>
        <w:rPr>
          <w:rFonts w:ascii="Times New Roman" w:hAnsi="Times New Roman"/>
          <w:sz w:val="20"/>
        </w:rPr>
        <w:t>(the “</w:t>
      </w:r>
      <w:r>
        <w:rPr>
          <w:rFonts w:ascii="Times New Roman" w:hAnsi="Times New Roman"/>
          <w:sz w:val="20"/>
          <w:u w:val="single"/>
        </w:rPr>
        <w:t>Bank</w:t>
      </w:r>
      <w:r>
        <w:rPr>
          <w:rFonts w:ascii="Times New Roman" w:hAnsi="Times New Roman"/>
          <w:sz w:val="20"/>
        </w:rPr>
        <w:t>”), as administrative agent (in such capacity, together with its successors and assigns in such capacity, the “</w:t>
      </w:r>
      <w:r>
        <w:rPr>
          <w:rFonts w:ascii="Times New Roman" w:hAnsi="Times New Roman"/>
          <w:sz w:val="20"/>
          <w:u w:val="single"/>
        </w:rPr>
        <w:t>Agent</w:t>
      </w:r>
      <w:r>
        <w:rPr>
          <w:rFonts w:ascii="Times New Roman" w:hAnsi="Times New Roman"/>
          <w:sz w:val="20"/>
        </w:rPr>
        <w:t xml:space="preserve">”) for the Lenders (as defined in the Credit Agreement, as defined below) party to the Credit Agreement from time to time. Capitalized terms used herein but not defined shall be given the meaning of such terms in the Credit Agreement.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that certain Revolving Credit Agreement dated as of September 25, 2026 (as amended, modified or supplemented from time to time, the “</w:t>
      </w:r>
      <w:r>
        <w:rPr>
          <w:rFonts w:ascii="Times New Roman" w:hAnsi="Times New Roman"/>
          <w:sz w:val="20"/>
          <w:u w:val="single"/>
        </w:rPr>
        <w:t>Credit Agreement</w:t>
      </w:r>
      <w:r>
        <w:rPr>
          <w:rFonts w:ascii="Times New Roman" w:hAnsi="Times New Roman"/>
          <w:sz w:val="20"/>
        </w:rPr>
        <w:t>”) by and among Power Solutions International, Inc., a Delaware corporation, as borrower (“</w:t>
      </w:r>
      <w:r>
        <w:rPr>
          <w:rFonts w:ascii="Times New Roman" w:hAnsi="Times New Roman"/>
          <w:sz w:val="20"/>
          <w:u w:val="single"/>
        </w:rPr>
        <w:t>Borrower”</w:t>
      </w:r>
      <w:r>
        <w:rPr>
          <w:rFonts w:ascii="Times New Roman" w:hAnsi="Times New Roman"/>
          <w:sz w:val="20"/>
        </w:rPr>
        <w:t xml:space="preserve">), the Loan Parties party thereto, the Lenders (as defined in the Credit Agreement) and Agent, the Lenders and the Agent have each agreed to make certain financial accommodations available to the Borrower from time to time pursuant to the terms and conditions thereof;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Agent has agreed to act as agent for the benefit of the Lenders in connection with the transactions contemplated by the Credit Agreement and the other Loan Documents;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order to induce the Lenders and the Agent to enter into the Credit Agreement and the other Loan Documents, and to induce the Lenders and the Agent to make certain financial accommodations to the Borrower as provided for in the Credit Agreement and the other Loan Documents, (a) each Grantor (other than the Borrower) has agreed to guarantee the Guaranteed Obligations, and (b) each Grantor has agreed to grant to Agent, for the benefit of the Agent and the Lenders, a continuing security interest in and to the Collateral in order to secure the prompt and complete payment, observance and performance of, among other things, the Secured Obligations;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Grantor (other than the Borrower) is an Affiliate of the Borrower and, as such, will benefit by virtue of the financial accommodations extended to the Borrower by the Lenders, and the Agent.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for and in consideration of the recitals made above and other good and valuable consideration, the receipt, sufficiency and adequacy of which are hereby acknowledged, the parties hereto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terms (whether capitalized or lower case) used in this Agreement that are defined in the Code (as defined below) shall be construed and defined as set forth in the Code unless otherwise defined herein or in the Credit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to the extent that the Code is used to define any term used herein and if such term is defined differently in different Articles of the Code, the definition of such term contained in Article 9 of the Code shall govern. In addition to those terms defined elsewhere in this Agreement, as used in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Agent</w:t>
      </w:r>
      <w:r>
        <w:rPr>
          <w:rFonts w:ascii="Times New Roman" w:hAnsi="Times New Roman"/>
          <w:sz w:val="20"/>
        </w:rPr>
        <w:t xml:space="preserve">” has the meaning specified therefor in the preamble to this Agreement.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Agent’s Lien</w:t>
      </w:r>
      <w:r>
        <w:rPr>
          <w:rFonts w:ascii="Times New Roman" w:hAnsi="Times New Roman"/>
          <w:sz w:val="20"/>
        </w:rPr>
        <w:t xml:space="preserve">” means the Liens granted by the Loan Parties in favor of the Agent under the Loan Documents to secure the Obligations.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Agreement</w:t>
      </w:r>
      <w:r>
        <w:rPr>
          <w:rFonts w:ascii="Times New Roman" w:hAnsi="Times New Roman"/>
          <w:sz w:val="20"/>
        </w:rPr>
        <w:t xml:space="preserve">” has the meaning specified therefor in the preamble to this Agreement.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Books</w:t>
      </w:r>
      <w:r>
        <w:rPr>
          <w:rFonts w:ascii="Times New Roman" w:hAnsi="Times New Roman"/>
          <w:sz w:val="20"/>
        </w:rPr>
        <w:t xml:space="preserve">” means books and records (including each Grantor’s Records indicating, summarizing, or evidencing such Grantor’s assets (including the Collateral) or liabilities, each Grantor’s Records relating to such Grantor’s business operations or financial condition, and each Grantor’s goods or General Intangibles related to such information).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Borrower</w:t>
      </w:r>
      <w:r>
        <w:rPr>
          <w:rFonts w:ascii="Times New Roman" w:hAnsi="Times New Roman"/>
          <w:sz w:val="20"/>
        </w:rPr>
        <w:t xml:space="preserve">” has the meaning specified therefor in the recitals to this Agreement.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Code</w:t>
      </w:r>
      <w:r>
        <w:rPr>
          <w:rFonts w:ascii="Times New Roman" w:hAnsi="Times New Roman"/>
          <w:sz w:val="20"/>
        </w:rPr>
        <w:t xml:space="preserve">” means the Uniform Commercial Code as in effect in the State of New York, or when the laws of any other jurisdiction govern the perfection or enforcement of any Lien, the Uniform Commercial Code of such jurisdiction.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sz w:val="20"/>
          <w:u w:val="single"/>
        </w:rPr>
        <w:t>Collateral</w:t>
      </w:r>
      <w:r>
        <w:rPr>
          <w:rFonts w:ascii="Times New Roman" w:hAnsi="Times New Roman"/>
          <w:sz w:val="20"/>
        </w:rPr>
        <w:t xml:space="preserve">” has the meaning specified therefor in </w:t>
      </w:r>
      <w:r>
        <w:rPr>
          <w:rFonts w:ascii="Times New Roman" w:hAnsi="Times New Roman"/>
          <w:sz w:val="20"/>
          <w:u w:val="single"/>
        </w:rPr>
        <w:t>Section 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sz w:val="20"/>
          <w:u w:val="single"/>
        </w:rPr>
        <w:t>Collateral Access Agreement</w:t>
      </w:r>
      <w:r>
        <w:rPr>
          <w:rFonts w:ascii="Times New Roman" w:hAnsi="Times New Roman"/>
          <w:sz w:val="20"/>
        </w:rPr>
        <w:t xml:space="preserve">” means a landlord waiver, bailee letter, or acknowledgement agreement of any lessor, warehouseman, processor, consignee, or other Person in possession of, having a Lien upon, or having rights or interests in Loan Parties’ books and records, Equipment, or Inventory, in each case, in form and substance reasonably satisfactory to Agent.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sz w:val="20"/>
          <w:u w:val="single"/>
        </w:rPr>
        <w:t>Collections</w:t>
      </w:r>
      <w:r>
        <w:rPr>
          <w:rFonts w:ascii="Times New Roman" w:hAnsi="Times New Roman"/>
          <w:sz w:val="20"/>
        </w:rPr>
        <w:t xml:space="preserve">” means all cash, checks, notes, instruments, and other items of payment (including insurance proceeds, cash proceeds of asset sales, rental proceeds, and tax refunds).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Commercial Tort Claims</w:t>
      </w:r>
      <w:r>
        <w:rPr>
          <w:rFonts w:ascii="Times New Roman" w:hAnsi="Times New Roman"/>
          <w:sz w:val="20"/>
        </w:rPr>
        <w:t xml:space="preserve">” means commercial tort claims (as that term is defined in the Code), and includes those commercial tort claims listed on </w:t>
      </w:r>
      <w:r>
        <w:rPr>
          <w:rFonts w:ascii="Times New Roman" w:hAnsi="Times New Roman"/>
          <w:sz w:val="20"/>
          <w:u w:val="single"/>
        </w:rPr>
        <w:t>Schedule 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(xi) “</w:t>
      </w:r>
      <w:r>
        <w:rPr>
          <w:rFonts w:ascii="Times New Roman" w:hAnsi="Times New Roman"/>
          <w:sz w:val="20"/>
          <w:u w:val="single"/>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120" w:after="0"/>
        <w:jc w:val="left"/>
        <w:rPr>
          <w:rFonts w:ascii="Times New Roman" w:hAnsi="Times New Roman"/>
          <w:sz w:val="20"/>
        </w:rPr>
      </w:pPr>
      <w:r>
        <w:rPr>
          <w:rFonts w:ascii="Times New Roman" w:hAnsi="Times New Roman"/>
          <w:sz w:val="20"/>
        </w:rPr>
        <w:t>(xii) “</w:t>
      </w:r>
      <w:r>
        <w:rPr>
          <w:rFonts w:ascii="Times New Roman" w:hAnsi="Times New Roman"/>
          <w:sz w:val="20"/>
          <w:u w:val="single"/>
        </w:rPr>
        <w:t>Copyright Security Agreement</w:t>
      </w:r>
      <w:r>
        <w:rPr>
          <w:rFonts w:ascii="Times New Roman" w:hAnsi="Times New Roman"/>
          <w:sz w:val="20"/>
        </w:rPr>
        <w:t xml:space="preserve">” means each Copyright Security Agreement executed and delivered by Grantors, or any of them, and Agent, in substantially the form of Exhibit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(xiii) “</w:t>
      </w:r>
      <w:r>
        <w:rPr>
          <w:rFonts w:ascii="Times New Roman" w:hAnsi="Times New Roman"/>
          <w:sz w:val="20"/>
          <w:u w:val="single"/>
        </w:rPr>
        <w:t>Copyrights</w:t>
      </w:r>
      <w:r>
        <w:rPr>
          <w:rFonts w:ascii="Times New Roman" w:hAnsi="Times New Roman"/>
          <w:sz w:val="20"/>
        </w:rPr>
        <w:t xml:space="preserve">” means any and all rights in any works of authorship, including (A) copyrights and moral rights, (B) copyright registrations and recordings thereof and all applications in connection therewith including those listed on </w:t>
      </w:r>
      <w:r>
        <w:rPr>
          <w:rFonts w:ascii="Times New Roman" w:hAnsi="Times New Roman"/>
          <w:sz w:val="20"/>
          <w:u w:val="single"/>
        </w:rPr>
        <w:t>Schedule 2</w:t>
      </w:r>
      <w:r>
        <w:rPr>
          <w:rFonts w:ascii="Times New Roman" w:hAnsi="Times New Roman"/>
          <w:sz w:val="20"/>
        </w:rPr>
        <w:t xml:space="preserve">, (C) income, license fees, royalties, damages, and payments now and hereafter due or payable under and with respect thereto, including payments under all licenses entered into in connection therewith and damages and payments for past, present, or future infringements thereof, (D) the right to sue for past, present, and future infringements thereof, and (E) all of each Grantor’s rights corresponding thereto throughout the world. </w:t>
      </w:r>
    </w:p>
    <w:p>
      <w:pPr>
        <w:pStyle w:val="TextBody"/>
        <w:bidi w:val="0"/>
        <w:spacing w:before="120" w:after="0"/>
        <w:jc w:val="left"/>
        <w:rPr>
          <w:rFonts w:ascii="Times New Roman" w:hAnsi="Times New Roman"/>
          <w:sz w:val="20"/>
        </w:rPr>
      </w:pPr>
      <w:r>
        <w:rPr>
          <w:rFonts w:ascii="Times New Roman" w:hAnsi="Times New Roman"/>
          <w:sz w:val="20"/>
        </w:rPr>
        <w:t>(xiv) “</w:t>
      </w:r>
      <w:r>
        <w:rPr>
          <w:rFonts w:ascii="Times New Roman" w:hAnsi="Times New Roman"/>
          <w:sz w:val="20"/>
          <w:u w:val="single"/>
        </w:rPr>
        <w:t>Credit Agreement</w:t>
      </w:r>
      <w:r>
        <w:rPr>
          <w:rFonts w:ascii="Times New Roman" w:hAnsi="Times New Roman"/>
          <w:sz w:val="20"/>
        </w:rPr>
        <w:t xml:space="preserve">” has the meaning specified therefor in the recitals to this Agreement. </w:t>
      </w:r>
    </w:p>
    <w:p>
      <w:pPr>
        <w:pStyle w:val="TextBody"/>
        <w:bidi w:val="0"/>
        <w:spacing w:before="120" w:after="0"/>
        <w:jc w:val="left"/>
        <w:rPr>
          <w:rFonts w:ascii="Times New Roman" w:hAnsi="Times New Roman"/>
          <w:sz w:val="20"/>
        </w:rPr>
      </w:pPr>
      <w:r>
        <w:rPr>
          <w:rFonts w:ascii="Times New Roman" w:hAnsi="Times New Roman"/>
          <w:sz w:val="20"/>
        </w:rPr>
        <w:t>(xv) “</w:t>
      </w:r>
      <w:r>
        <w:rPr>
          <w:rFonts w:ascii="Times New Roman" w:hAnsi="Times New Roman"/>
          <w:sz w:val="20"/>
          <w:u w:val="single"/>
        </w:rPr>
        <w:t>Foreclosed Grantor</w:t>
      </w:r>
      <w:r>
        <w:rPr>
          <w:rFonts w:ascii="Times New Roman" w:hAnsi="Times New Roman"/>
          <w:sz w:val="20"/>
        </w:rPr>
        <w:t xml:space="preserve">” has the meaning specified therefor in </w:t>
      </w:r>
      <w:r>
        <w:rPr>
          <w:rFonts w:ascii="Times New Roman" w:hAnsi="Times New Roman"/>
          <w:sz w:val="20"/>
          <w:u w:val="single"/>
        </w:rPr>
        <w:t>Section 2(i)(iv)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(xvi) “</w:t>
      </w:r>
      <w:r>
        <w:rPr>
          <w:rFonts w:ascii="Times New Roman" w:hAnsi="Times New Roman"/>
          <w:sz w:val="20"/>
          <w:u w:val="single"/>
        </w:rPr>
        <w:t>General Intangibles</w:t>
      </w:r>
      <w:r>
        <w:rPr>
          <w:rFonts w:ascii="Times New Roman" w:hAnsi="Times New Roman"/>
          <w:sz w:val="20"/>
        </w:rPr>
        <w:t xml:space="preserve">” means general intangibles (as that term is defined in the Code), and includes payment intangibles, software, contract rights, rights to payment, rights under Swap Contracts (including the right to receive payment on account of the termination (voluntarily or involuntarily) of such Swap Contracts), rights arising under common law, statutes, or regulations, choses or things in action, goodwill, Intellectual Property, Intellectual Property Licenses, purchase orders, customer lists, monies due or recoverable from pension funds, route lists, rights to payment and other rights under any royalty or licensing agreements, including Intellectual Property Licenses, infringement claims, pension plan refunds, pension plan refund claims, insurance premium rebates, tax refunds, and tax refund claims, interests in a partnership or limited liability company which do not constitute a security under Article 8 of the Code, and any other personal property other than Commercial Tort Claims, money, Accounts, Chattel Paper, Deposit Accounts, goods, Investment Property, Negotiable Collateral, and oil, gas, or other minerals before extraction. </w:t>
      </w:r>
    </w:p>
    <w:p>
      <w:pPr>
        <w:pStyle w:val="TextBody"/>
        <w:bidi w:val="0"/>
        <w:spacing w:before="120" w:after="0"/>
        <w:jc w:val="left"/>
        <w:rPr>
          <w:rFonts w:ascii="Times New Roman" w:hAnsi="Times New Roman"/>
          <w:sz w:val="20"/>
        </w:rPr>
      </w:pPr>
      <w:r>
        <w:rPr>
          <w:rFonts w:ascii="Times New Roman" w:hAnsi="Times New Roman"/>
          <w:sz w:val="20"/>
        </w:rPr>
        <w:t>(xvii) “</w:t>
      </w:r>
      <w:r>
        <w:rPr>
          <w:rFonts w:ascii="Times New Roman" w:hAnsi="Times New Roman"/>
          <w:sz w:val="20"/>
          <w:u w:val="single"/>
        </w:rPr>
        <w:t>Grantor</w:t>
      </w:r>
      <w:r>
        <w:rPr>
          <w:rFonts w:ascii="Times New Roman" w:hAnsi="Times New Roman"/>
          <w:sz w:val="20"/>
        </w:rPr>
        <w:t>” and “</w:t>
      </w:r>
      <w:r>
        <w:rPr>
          <w:rFonts w:ascii="Times New Roman" w:hAnsi="Times New Roman"/>
          <w:sz w:val="20"/>
          <w:u w:val="single"/>
        </w:rPr>
        <w:t>Grantors</w:t>
      </w:r>
      <w:r>
        <w:rPr>
          <w:rFonts w:ascii="Times New Roman" w:hAnsi="Times New Roman"/>
          <w:sz w:val="20"/>
        </w:rPr>
        <w:t xml:space="preserve">” have the respective meanings specified therefor in the preamble to this Agreement. </w:t>
      </w:r>
    </w:p>
    <w:p>
      <w:pPr>
        <w:pStyle w:val="TextBody"/>
        <w:bidi w:val="0"/>
        <w:spacing w:before="120" w:after="0"/>
        <w:jc w:val="left"/>
        <w:rPr>
          <w:rFonts w:ascii="Times New Roman" w:hAnsi="Times New Roman"/>
          <w:sz w:val="20"/>
        </w:rPr>
      </w:pPr>
      <w:r>
        <w:rPr>
          <w:rFonts w:ascii="Times New Roman" w:hAnsi="Times New Roman"/>
          <w:sz w:val="20"/>
        </w:rPr>
        <w:t>(xviii) “</w:t>
      </w:r>
      <w:r>
        <w:rPr>
          <w:rFonts w:ascii="Times New Roman" w:hAnsi="Times New Roman"/>
          <w:sz w:val="20"/>
          <w:u w:val="single"/>
        </w:rPr>
        <w:t>Guaranteed Obligations</w:t>
      </w:r>
      <w:r>
        <w:rPr>
          <w:rFonts w:ascii="Times New Roman" w:hAnsi="Times New Roman"/>
          <w:sz w:val="20"/>
        </w:rPr>
        <w:t xml:space="preserve">” means all of the Obligations now or hereafter existing, whether for principal, interest (including any interest that accrues on the Loans after the commencement of an Insolvency Proceeding, regardless of whether allowed or allowable in whole or in part as a claim in any such Insolvency Proceeding), fees (including the fees provided for in the Fee Letter) or expenses (including any fees or expenses that accrue after the commencement of an Insolvency Proceeding, regardless of whether allowed or allowable in whole or in part as a claim in any such Insolvency Proceeding), or otherwise, and any and all expenses payable in accordance with the terms of the Credit Agreement incurred by Agent, or any other Lender in enforcing any rights under the any of the Loan Documents. Without limiting the generality of the foregoing, Guaranteed Obligations shall include all amounts that constitute part of the Guaranteed Obligations and would be owed by the Borrower to Agent, or any other Lender but for the fact that they are unenforceable or not allowable, including due to the existence of a bankruptcy, reorganization, other Insolvency Proceeding or similar proceeding involving the Borrower or any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(xix) “</w:t>
      </w:r>
      <w:r>
        <w:rPr>
          <w:rFonts w:ascii="Times New Roman" w:hAnsi="Times New Roman"/>
          <w:sz w:val="20"/>
          <w:u w:val="single"/>
        </w:rPr>
        <w:t>Guarantor</w:t>
      </w:r>
      <w:r>
        <w:rPr>
          <w:rFonts w:ascii="Times New Roman" w:hAnsi="Times New Roman"/>
          <w:sz w:val="20"/>
        </w:rPr>
        <w:t xml:space="preserve">” means each Grantor other than the Borrower.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Guaranty</w:t>
      </w:r>
      <w:r>
        <w:rPr>
          <w:rFonts w:ascii="Times New Roman" w:hAnsi="Times New Roman"/>
          <w:sz w:val="20"/>
        </w:rPr>
        <w:t xml:space="preserve">” means the guaranty set forth in </w:t>
      </w:r>
      <w:r>
        <w:rPr>
          <w:rFonts w:ascii="Times New Roman" w:hAnsi="Times New Roman"/>
          <w:sz w:val="20"/>
          <w:u w:val="single"/>
        </w:rPr>
        <w:t>Section 2</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(xxi) “</w:t>
      </w:r>
      <w:r>
        <w:rPr>
          <w:rFonts w:ascii="Times New Roman" w:hAnsi="Times New Roman"/>
          <w:sz w:val="20"/>
          <w:u w:val="single"/>
        </w:rPr>
        <w:t>Insolvency Proceeding</w:t>
      </w:r>
      <w:r>
        <w:rPr>
          <w:rFonts w:ascii="Times New Roman" w:hAnsi="Times New Roman"/>
          <w:sz w:val="20"/>
        </w:rPr>
        <w:t xml:space="preserve">” means any proceeding commenced by or against any Person under any provision of any Debtor Relief Law. </w:t>
      </w:r>
    </w:p>
    <w:p>
      <w:pPr>
        <w:pStyle w:val="TextBody"/>
        <w:bidi w:val="0"/>
        <w:spacing w:before="120" w:after="0"/>
        <w:jc w:val="left"/>
        <w:rPr>
          <w:rFonts w:ascii="Times New Roman" w:hAnsi="Times New Roman"/>
          <w:sz w:val="20"/>
        </w:rPr>
      </w:pPr>
      <w:r>
        <w:rPr>
          <w:rFonts w:ascii="Times New Roman" w:hAnsi="Times New Roman"/>
          <w:sz w:val="20"/>
        </w:rPr>
        <w:t>(xxii) “</w:t>
      </w:r>
      <w:r>
        <w:rPr>
          <w:rFonts w:ascii="Times New Roman" w:hAnsi="Times New Roman"/>
          <w:sz w:val="20"/>
          <w:u w:val="single"/>
        </w:rPr>
        <w:t>Intellectual Property</w:t>
      </w:r>
      <w:r>
        <w:rPr>
          <w:rFonts w:ascii="Times New Roman" w:hAnsi="Times New Roman"/>
          <w:sz w:val="20"/>
        </w:rPr>
        <w:t xml:space="preserve">” means any and all Patents, Copyrights, Trademarks, trade secrets, know-how, inventions (whether or not patentable), algorithms, software programs (including source code and object code), processes, product designs, industrial designs, blueprints, drawings, data, customer lists, URLs and domain names, specifications, documentations, reports, catalogs, literature, and any other forms of technology or proprietary information of any kind, including all Intellectual Property rights therein and all applications for registration or registrations thereof. </w:t>
      </w:r>
    </w:p>
    <w:p>
      <w:pPr>
        <w:pStyle w:val="TextBody"/>
        <w:bidi w:val="0"/>
        <w:spacing w:before="120" w:after="0"/>
        <w:jc w:val="left"/>
        <w:rPr>
          <w:rFonts w:ascii="Times New Roman" w:hAnsi="Times New Roman"/>
          <w:sz w:val="20"/>
        </w:rPr>
      </w:pPr>
      <w:r>
        <w:rPr>
          <w:rFonts w:ascii="Times New Roman" w:hAnsi="Times New Roman"/>
          <w:sz w:val="20"/>
        </w:rPr>
        <w:t>(xxiii) “</w:t>
      </w:r>
      <w:r>
        <w:rPr>
          <w:rFonts w:ascii="Times New Roman" w:hAnsi="Times New Roman"/>
          <w:sz w:val="20"/>
          <w:u w:val="single"/>
        </w:rPr>
        <w:t>Intellectual Property Licenses</w:t>
      </w:r>
      <w:r>
        <w:rPr>
          <w:rFonts w:ascii="Times New Roman" w:hAnsi="Times New Roman"/>
          <w:sz w:val="20"/>
        </w:rPr>
        <w:t>” means, with respect to any Person (the “</w:t>
      </w:r>
      <w:r>
        <w:rPr>
          <w:rFonts w:ascii="Times New Roman" w:hAnsi="Times New Roman"/>
          <w:sz w:val="20"/>
          <w:u w:val="single"/>
        </w:rPr>
        <w:t>Specified Party</w:t>
      </w:r>
      <w:r>
        <w:rPr>
          <w:rFonts w:ascii="Times New Roman" w:hAnsi="Times New Roman"/>
          <w:sz w:val="20"/>
        </w:rPr>
        <w:t xml:space="preserve">”), (A) any licenses or other similar rights provided to the Specified Party in or with respect to Intellectual Property owned or controlled by any other Person, and (B) any licenses or other similar rights provided to any other Person in or with respect to Intellectual Property owned or controlled by the Specified Party, in each case, including (x) any software license agreements (other than license agreements for commercially available off-the-shelf software that is generally available to the public which have been licensed to a Grantor pursuant to end-user licenses), (y) the license agreements listed on </w:t>
      </w:r>
      <w:r>
        <w:rPr>
          <w:rFonts w:ascii="Times New Roman" w:hAnsi="Times New Roman"/>
          <w:sz w:val="20"/>
          <w:u w:val="single"/>
        </w:rPr>
        <w:t>Schedule 3</w:t>
      </w:r>
      <w:r>
        <w:rPr>
          <w:rFonts w:ascii="Times New Roman" w:hAnsi="Times New Roman"/>
          <w:sz w:val="20"/>
        </w:rPr>
        <w:t xml:space="preserve">, and (z) the right to use any of the licenses or other similar rights described in this definition in connection with the enforcement of the Lenders’ rights under the Loan Documents. </w:t>
      </w:r>
    </w:p>
    <w:p>
      <w:pPr>
        <w:pStyle w:val="TextBody"/>
        <w:bidi w:val="0"/>
        <w:spacing w:before="120" w:after="0"/>
        <w:jc w:val="left"/>
        <w:rPr>
          <w:rFonts w:ascii="Times New Roman" w:hAnsi="Times New Roman"/>
          <w:sz w:val="20"/>
        </w:rPr>
      </w:pPr>
      <w:r>
        <w:rPr>
          <w:rFonts w:ascii="Times New Roman" w:hAnsi="Times New Roman"/>
          <w:sz w:val="20"/>
        </w:rPr>
        <w:t>(xxiv) “</w:t>
      </w:r>
      <w:r>
        <w:rPr>
          <w:rFonts w:ascii="Times New Roman" w:hAnsi="Times New Roman"/>
          <w:sz w:val="20"/>
          <w:u w:val="single"/>
        </w:rPr>
        <w:t>Investment Property</w:t>
      </w:r>
      <w:r>
        <w:rPr>
          <w:rFonts w:ascii="Times New Roman" w:hAnsi="Times New Roman"/>
          <w:sz w:val="20"/>
        </w:rPr>
        <w:t xml:space="preserve">” means (A) any and all investment property (as that term is defined in the Code), and (B) any and all of the following (regardless of whether classified as investment property under the Code): all Pledged Interests, Pledged Operating Agreements, and Pledged Partnership Agreements. </w:t>
      </w:r>
    </w:p>
    <w:p>
      <w:pPr>
        <w:pStyle w:val="TextBody"/>
        <w:bidi w:val="0"/>
        <w:spacing w:before="120" w:after="0"/>
        <w:jc w:val="left"/>
        <w:rPr>
          <w:rFonts w:ascii="Times New Roman" w:hAnsi="Times New Roman"/>
          <w:sz w:val="20"/>
        </w:rPr>
      </w:pPr>
      <w:r>
        <w:rPr>
          <w:rFonts w:ascii="Times New Roman" w:hAnsi="Times New Roman"/>
          <w:sz w:val="20"/>
        </w:rPr>
        <w:t>(xxv) “</w:t>
      </w:r>
      <w:r>
        <w:rPr>
          <w:rFonts w:ascii="Times New Roman" w:hAnsi="Times New Roman"/>
          <w:sz w:val="20"/>
          <w:u w:val="single"/>
        </w:rPr>
        <w:t>Joinder</w:t>
      </w:r>
      <w:r>
        <w:rPr>
          <w:rFonts w:ascii="Times New Roman" w:hAnsi="Times New Roman"/>
          <w:sz w:val="20"/>
        </w:rPr>
        <w:t xml:space="preserve">” means each Joinder to this Agreement executed and delivered by Agent and each of the other parties listed on the signature pages thereto, in substantially the form of Annex 1. </w:t>
      </w:r>
    </w:p>
    <w:p>
      <w:pPr>
        <w:pStyle w:val="TextBody"/>
        <w:bidi w:val="0"/>
        <w:spacing w:before="120" w:after="0"/>
        <w:jc w:val="left"/>
        <w:rPr>
          <w:rFonts w:ascii="Times New Roman" w:hAnsi="Times New Roman"/>
          <w:sz w:val="20"/>
        </w:rPr>
      </w:pPr>
      <w:r>
        <w:rPr>
          <w:rFonts w:ascii="Times New Roman" w:hAnsi="Times New Roman"/>
          <w:sz w:val="20"/>
        </w:rPr>
        <w:t>(xxvi) “</w:t>
      </w:r>
      <w:r>
        <w:rPr>
          <w:rFonts w:ascii="Times New Roman" w:hAnsi="Times New Roman"/>
          <w:sz w:val="20"/>
          <w:u w:val="single"/>
        </w:rPr>
        <w:t>Negotiable Collateral</w:t>
      </w:r>
      <w:r>
        <w:rPr>
          <w:rFonts w:ascii="Times New Roman" w:hAnsi="Times New Roman"/>
          <w:sz w:val="20"/>
        </w:rPr>
        <w:t xml:space="preserve">” means letters of credit, letter-of-credit rights, instruments, promissory notes and documents (as each such term is defined in the Code). </w:t>
      </w:r>
    </w:p>
    <w:p>
      <w:pPr>
        <w:pStyle w:val="TextBody"/>
        <w:bidi w:val="0"/>
        <w:spacing w:before="120" w:after="0"/>
        <w:jc w:val="left"/>
        <w:rPr>
          <w:rFonts w:ascii="Times New Roman" w:hAnsi="Times New Roman"/>
          <w:sz w:val="20"/>
        </w:rPr>
      </w:pPr>
      <w:r>
        <w:rPr>
          <w:rFonts w:ascii="Times New Roman" w:hAnsi="Times New Roman"/>
          <w:sz w:val="20"/>
        </w:rPr>
        <w:t>(xxvii) “</w:t>
      </w:r>
      <w:r>
        <w:rPr>
          <w:rFonts w:ascii="Times New Roman" w:hAnsi="Times New Roman"/>
          <w:sz w:val="20"/>
          <w:u w:val="single"/>
        </w:rPr>
        <w:t>Patents</w:t>
      </w:r>
      <w:r>
        <w:rPr>
          <w:rFonts w:ascii="Times New Roman" w:hAnsi="Times New Roman"/>
          <w:sz w:val="20"/>
        </w:rPr>
        <w:t xml:space="preserve">” means patents and patent applications, including (A) the patents and patent applications listed on </w:t>
      </w:r>
      <w:r>
        <w:rPr>
          <w:rFonts w:ascii="Times New Roman" w:hAnsi="Times New Roman"/>
          <w:sz w:val="20"/>
          <w:u w:val="single"/>
        </w:rPr>
        <w:t>Schedule 4</w:t>
      </w:r>
      <w:r>
        <w:rPr>
          <w:rFonts w:ascii="Times New Roman" w:hAnsi="Times New Roman"/>
          <w:sz w:val="20"/>
        </w:rPr>
        <w:t xml:space="preserve">, (B) all continuations, divisionals, continuations-in- part, re-examinations, reissues, and renewals thereof and improvements thereon, (C) all income, royalties, damages and payments now and hereafter due or payable under and with respect thereto, including payments under all licenses entered into in connection therewith and damages and payments for past, present, or future infringements thereof, (D) the right to sue for past, present, and future infringements thereof, and (E) all of each Grantor’s rights corresponding thereto throughout the world.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(xxviii) “</w:t>
      </w:r>
      <w:r>
        <w:rPr>
          <w:rFonts w:ascii="Times New Roman" w:hAnsi="Times New Roman"/>
          <w:sz w:val="20"/>
          <w:u w:val="single"/>
        </w:rPr>
        <w:t>Patent Security Agreement</w:t>
      </w:r>
      <w:r>
        <w:rPr>
          <w:rFonts w:ascii="Times New Roman" w:hAnsi="Times New Roman"/>
          <w:sz w:val="20"/>
        </w:rPr>
        <w:t xml:space="preserve">” means each Patent Security Agreement executed and delivered by Grantors, or any of them, and Agent, in substantially the form of Exhibit B. </w:t>
      </w:r>
    </w:p>
    <w:p>
      <w:pPr>
        <w:pStyle w:val="TextBody"/>
        <w:bidi w:val="0"/>
        <w:spacing w:before="120" w:after="0"/>
        <w:jc w:val="left"/>
        <w:rPr>
          <w:rFonts w:ascii="Times New Roman" w:hAnsi="Times New Roman"/>
          <w:sz w:val="20"/>
        </w:rPr>
      </w:pPr>
      <w:r>
        <w:rPr>
          <w:rFonts w:ascii="Times New Roman" w:hAnsi="Times New Roman"/>
          <w:sz w:val="20"/>
        </w:rPr>
        <w:t>(xxix) “</w:t>
      </w:r>
      <w:r>
        <w:rPr>
          <w:rFonts w:ascii="Times New Roman" w:hAnsi="Times New Roman"/>
          <w:sz w:val="20"/>
          <w:u w:val="single"/>
        </w:rPr>
        <w:t>Permitted Investments</w:t>
      </w:r>
      <w:r>
        <w:rPr>
          <w:rFonts w:ascii="Times New Roman" w:hAnsi="Times New Roman"/>
          <w:sz w:val="20"/>
        </w:rPr>
        <w:t xml:space="preserve">” means any Investment permitted by Section 6.06 of the Credit Agreement. </w:t>
      </w:r>
    </w:p>
    <w:p>
      <w:pPr>
        <w:pStyle w:val="TextBody"/>
        <w:bidi w:val="0"/>
        <w:spacing w:before="120" w:after="0"/>
        <w:jc w:val="left"/>
        <w:rPr>
          <w:rFonts w:ascii="Times New Roman" w:hAnsi="Times New Roman"/>
          <w:sz w:val="20"/>
        </w:rPr>
      </w:pPr>
      <w:r>
        <w:rPr>
          <w:rFonts w:ascii="Times New Roman" w:hAnsi="Times New Roman"/>
          <w:sz w:val="20"/>
        </w:rPr>
        <w:t>(xxx) “</w:t>
      </w:r>
      <w:r>
        <w:rPr>
          <w:rFonts w:ascii="Times New Roman" w:hAnsi="Times New Roman"/>
          <w:sz w:val="20"/>
          <w:u w:val="single"/>
        </w:rPr>
        <w:t>Permitted Liens</w:t>
      </w:r>
      <w:r>
        <w:rPr>
          <w:rFonts w:ascii="Times New Roman" w:hAnsi="Times New Roman"/>
          <w:sz w:val="20"/>
        </w:rPr>
        <w:t xml:space="preserve">” means any Lien permitted by Section 6.02 of the Credit Agreement. </w:t>
      </w:r>
    </w:p>
    <w:p>
      <w:pPr>
        <w:pStyle w:val="TextBody"/>
        <w:bidi w:val="0"/>
        <w:spacing w:before="120" w:after="0"/>
        <w:jc w:val="left"/>
        <w:rPr>
          <w:rFonts w:ascii="Times New Roman" w:hAnsi="Times New Roman"/>
          <w:sz w:val="20"/>
        </w:rPr>
      </w:pPr>
      <w:r>
        <w:rPr>
          <w:rFonts w:ascii="Times New Roman" w:hAnsi="Times New Roman"/>
          <w:sz w:val="20"/>
        </w:rPr>
        <w:t>(xxxi) “</w:t>
      </w:r>
      <w:r>
        <w:rPr>
          <w:rFonts w:ascii="Times New Roman" w:hAnsi="Times New Roman"/>
          <w:sz w:val="20"/>
          <w:u w:val="single"/>
        </w:rPr>
        <w:t>Pledged Companies</w:t>
      </w:r>
      <w:r>
        <w:rPr>
          <w:rFonts w:ascii="Times New Roman" w:hAnsi="Times New Roman"/>
          <w:sz w:val="20"/>
        </w:rPr>
        <w:t xml:space="preserve">” means each Person listed on </w:t>
      </w:r>
      <w:r>
        <w:rPr>
          <w:rFonts w:ascii="Times New Roman" w:hAnsi="Times New Roman"/>
          <w:sz w:val="20"/>
          <w:u w:val="single"/>
        </w:rPr>
        <w:t>Schedule 5</w:t>
      </w:r>
      <w:r>
        <w:rPr>
          <w:rFonts w:ascii="Times New Roman" w:hAnsi="Times New Roman"/>
          <w:sz w:val="20"/>
        </w:rPr>
        <w:t xml:space="preserve"> as a “Pledged Company”, together with each other Person, all or a portion of whose Equity Interests are acquired or otherwise owned by a Grantor after the Closing Date. </w:t>
      </w:r>
    </w:p>
    <w:p>
      <w:pPr>
        <w:pStyle w:val="TextBody"/>
        <w:bidi w:val="0"/>
        <w:spacing w:before="120" w:after="0"/>
        <w:jc w:val="left"/>
        <w:rPr>
          <w:rFonts w:ascii="Times New Roman" w:hAnsi="Times New Roman"/>
          <w:sz w:val="20"/>
        </w:rPr>
      </w:pPr>
      <w:r>
        <w:rPr>
          <w:rFonts w:ascii="Times New Roman" w:hAnsi="Times New Roman"/>
          <w:sz w:val="20"/>
        </w:rPr>
        <w:t>(xxxii) “</w:t>
      </w:r>
      <w:r>
        <w:rPr>
          <w:rFonts w:ascii="Times New Roman" w:hAnsi="Times New Roman"/>
          <w:sz w:val="20"/>
          <w:u w:val="single"/>
        </w:rPr>
        <w:t>Pledged Interests</w:t>
      </w:r>
      <w:r>
        <w:rPr>
          <w:rFonts w:ascii="Times New Roman" w:hAnsi="Times New Roman"/>
          <w:sz w:val="20"/>
        </w:rPr>
        <w:t xml:space="preserve">” means all of each Grantor’s right, title and interest in and to all of the Equity Interests now owned or hereafter acquired by such Grantor, regardless of class or designation, including in each of the Pledged Companies, and all substitutions therefor and replacements thereof, all proceeds thereof and all rights relating thereto, also including any certificates representing the Equity Interests, the right to receive any certificates representing any of the Equity Interests, all warrants, options, share appreciation rights and other rights, contractual or otherwise, in respect thereof and the right to receive all dividends, distributions of income, profits, surplus, or other compensation by way of income or liquidating distributions, in cash or in kind, and all cash, instruments, and other property from time to time received, receivable, or otherwise distributed in respect of or in addition to, in substitution of, on account of, or in exchange for any or all of the foregoing. </w:t>
      </w:r>
    </w:p>
    <w:p>
      <w:pPr>
        <w:pStyle w:val="TextBody"/>
        <w:bidi w:val="0"/>
        <w:spacing w:before="120" w:after="0"/>
        <w:jc w:val="left"/>
        <w:rPr>
          <w:rFonts w:ascii="Times New Roman" w:hAnsi="Times New Roman"/>
          <w:sz w:val="20"/>
        </w:rPr>
      </w:pPr>
      <w:r>
        <w:rPr>
          <w:rFonts w:ascii="Times New Roman" w:hAnsi="Times New Roman"/>
          <w:sz w:val="20"/>
        </w:rPr>
        <w:t>(xxxiii) “</w:t>
      </w:r>
      <w:r>
        <w:rPr>
          <w:rFonts w:ascii="Times New Roman" w:hAnsi="Times New Roman"/>
          <w:sz w:val="20"/>
          <w:u w:val="single"/>
        </w:rPr>
        <w:t>Pledged Interests Addendum</w:t>
      </w:r>
      <w:r>
        <w:rPr>
          <w:rFonts w:ascii="Times New Roman" w:hAnsi="Times New Roman"/>
          <w:sz w:val="20"/>
        </w:rPr>
        <w:t xml:space="preserve">” means a Pledged Interests Addendum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(xxxiv) “</w:t>
      </w:r>
      <w:r>
        <w:rPr>
          <w:rFonts w:ascii="Times New Roman" w:hAnsi="Times New Roman"/>
          <w:sz w:val="20"/>
          <w:u w:val="single"/>
        </w:rPr>
        <w:t>Pledged Operating Agreements</w:t>
      </w:r>
      <w:r>
        <w:rPr>
          <w:rFonts w:ascii="Times New Roman" w:hAnsi="Times New Roman"/>
          <w:sz w:val="20"/>
        </w:rPr>
        <w:t xml:space="preserve">” means all of each Grantor’s rights, powers, and remedies under the limited liability company operating agreements of each of the Pledged Companies that are limited liability companies. </w:t>
      </w:r>
    </w:p>
    <w:p>
      <w:pPr>
        <w:pStyle w:val="TextBody"/>
        <w:bidi w:val="0"/>
        <w:spacing w:before="120" w:after="0"/>
        <w:jc w:val="left"/>
        <w:rPr>
          <w:rFonts w:ascii="Times New Roman" w:hAnsi="Times New Roman"/>
          <w:sz w:val="20"/>
        </w:rPr>
      </w:pPr>
      <w:r>
        <w:rPr>
          <w:rFonts w:ascii="Times New Roman" w:hAnsi="Times New Roman"/>
          <w:sz w:val="20"/>
        </w:rPr>
        <w:t>(xxxv) “</w:t>
      </w:r>
      <w:r>
        <w:rPr>
          <w:rFonts w:ascii="Times New Roman" w:hAnsi="Times New Roman"/>
          <w:sz w:val="20"/>
          <w:u w:val="single"/>
        </w:rPr>
        <w:t>Pledged Partnership Agreements</w:t>
      </w:r>
      <w:r>
        <w:rPr>
          <w:rFonts w:ascii="Times New Roman" w:hAnsi="Times New Roman"/>
          <w:sz w:val="20"/>
        </w:rPr>
        <w:t xml:space="preserve">” means all of each Grantor’s rights, powers, and remedies under the partnership agreements of each of the Pledged Companies that are partnerships. </w:t>
      </w:r>
    </w:p>
    <w:p>
      <w:pPr>
        <w:pStyle w:val="TextBody"/>
        <w:bidi w:val="0"/>
        <w:spacing w:before="120" w:after="0"/>
        <w:jc w:val="left"/>
        <w:rPr>
          <w:rFonts w:ascii="Times New Roman" w:hAnsi="Times New Roman"/>
          <w:sz w:val="20"/>
        </w:rPr>
      </w:pPr>
      <w:r>
        <w:rPr>
          <w:rFonts w:ascii="Times New Roman" w:hAnsi="Times New Roman"/>
          <w:sz w:val="20"/>
        </w:rPr>
        <w:t>(xxxvi) “</w:t>
      </w:r>
      <w:r>
        <w:rPr>
          <w:rFonts w:ascii="Times New Roman" w:hAnsi="Times New Roman"/>
          <w:sz w:val="20"/>
          <w:u w:val="single"/>
        </w:rPr>
        <w:t>Proceeds</w:t>
      </w:r>
      <w:r>
        <w:rPr>
          <w:rFonts w:ascii="Times New Roman" w:hAnsi="Times New Roman"/>
          <w:sz w:val="20"/>
        </w:rPr>
        <w:t xml:space="preserve">” has the meaning specified therefor in </w:t>
      </w:r>
      <w:r>
        <w:rPr>
          <w:rFonts w:ascii="Times New Roman" w:hAnsi="Times New Roman"/>
          <w:sz w:val="20"/>
          <w:u w:val="single"/>
        </w:rPr>
        <w:t>Section 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(xxxvii) “</w:t>
      </w:r>
      <w:r>
        <w:rPr>
          <w:rFonts w:ascii="Times New Roman" w:hAnsi="Times New Roman"/>
          <w:sz w:val="20"/>
          <w:u w:val="single"/>
        </w:rPr>
        <w:t>PTO</w:t>
      </w:r>
      <w:r>
        <w:rPr>
          <w:rFonts w:ascii="Times New Roman" w:hAnsi="Times New Roman"/>
          <w:sz w:val="20"/>
        </w:rPr>
        <w:t xml:space="preserve">” means the United States Patent and Trademark Office. </w:t>
      </w:r>
    </w:p>
    <w:p>
      <w:pPr>
        <w:pStyle w:val="TextBody"/>
        <w:bidi w:val="0"/>
        <w:spacing w:before="120" w:after="0"/>
        <w:jc w:val="left"/>
        <w:rPr>
          <w:rFonts w:ascii="Times New Roman" w:hAnsi="Times New Roman"/>
          <w:sz w:val="20"/>
        </w:rPr>
      </w:pPr>
      <w:r>
        <w:rPr>
          <w:rFonts w:ascii="Times New Roman" w:hAnsi="Times New Roman"/>
          <w:sz w:val="20"/>
        </w:rPr>
        <w:t>(xxxviii) “</w:t>
      </w:r>
      <w:r>
        <w:rPr>
          <w:rFonts w:ascii="Times New Roman" w:hAnsi="Times New Roman"/>
          <w:sz w:val="20"/>
          <w:u w:val="single"/>
        </w:rPr>
        <w:t>Real Property</w:t>
      </w:r>
      <w:r>
        <w:rPr>
          <w:rFonts w:ascii="Times New Roman" w:hAnsi="Times New Roman"/>
          <w:sz w:val="20"/>
        </w:rPr>
        <w:t xml:space="preserve">” means any estates or interests in real property now owned or hereafter acquired by any Grantor or any Subsidiary of any Grantor and the improvements thereto. </w:t>
      </w:r>
    </w:p>
    <w:p>
      <w:pPr>
        <w:pStyle w:val="TextBody"/>
        <w:bidi w:val="0"/>
        <w:spacing w:before="120" w:after="0"/>
        <w:jc w:val="left"/>
        <w:rPr>
          <w:rFonts w:ascii="Times New Roman" w:hAnsi="Times New Roman"/>
          <w:sz w:val="20"/>
        </w:rPr>
      </w:pPr>
      <w:r>
        <w:rPr>
          <w:rFonts w:ascii="Times New Roman" w:hAnsi="Times New Roman"/>
          <w:sz w:val="20"/>
        </w:rPr>
        <w:t>(xxxix) “</w:t>
      </w:r>
      <w:r>
        <w:rPr>
          <w:rFonts w:ascii="Times New Roman" w:hAnsi="Times New Roman"/>
          <w:sz w:val="20"/>
          <w:u w:val="single"/>
        </w:rPr>
        <w:t>Record</w:t>
      </w:r>
      <w:r>
        <w:rPr>
          <w:rFonts w:ascii="Times New Roman" w:hAnsi="Times New Roman"/>
          <w:sz w:val="20"/>
        </w:rPr>
        <w:t xml:space="preserve">” means information that is inscribed on a tangible medium or which is stored in an electronic or other medium and is retrievable in perceivable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(xl) “</w:t>
      </w:r>
      <w:r>
        <w:rPr>
          <w:rFonts w:ascii="Times New Roman" w:hAnsi="Times New Roman"/>
          <w:sz w:val="20"/>
          <w:u w:val="single"/>
        </w:rPr>
        <w:t>Secured Obligations</w:t>
      </w:r>
      <w:r>
        <w:rPr>
          <w:rFonts w:ascii="Times New Roman" w:hAnsi="Times New Roman"/>
          <w:sz w:val="20"/>
        </w:rPr>
        <w:t xml:space="preserve">” means each and all of the following: (A) all of the present and future Obligations of each of the Grantors arising from, or owing under or pursuant to, this Agreement (including the Guaranty), the Credit Agreement, or any of the other Loan Documents and whether in respect of Indebtedness or other obligations of the Grantors to any of the Agent or the Lenders under the Credit Agreement or any other Loan Document, and (B) all other Obligations of the Borrower and all other Guaranteed Obligations of each Guarantor (including, in the case of each of clauses (A) and (B), reasonable attorney’s fees and expenses payable in accordance with the terms of the Credit Agreement and any interest, fees, or expenses that accrue after the filing of an Insolvency Proceeding, regardless of whether allowed or allowable in whole or in part as a claim in any Insolvency Proceeding). </w:t>
      </w:r>
    </w:p>
    <w:p>
      <w:pPr>
        <w:pStyle w:val="TextBody"/>
        <w:bidi w:val="0"/>
        <w:spacing w:before="120" w:after="0"/>
        <w:jc w:val="left"/>
        <w:rPr>
          <w:rFonts w:ascii="Times New Roman" w:hAnsi="Times New Roman"/>
          <w:sz w:val="20"/>
        </w:rPr>
      </w:pPr>
      <w:r>
        <w:rPr>
          <w:rFonts w:ascii="Times New Roman" w:hAnsi="Times New Roman"/>
          <w:sz w:val="20"/>
        </w:rPr>
        <w:t>(xli) “</w:t>
      </w:r>
      <w:r>
        <w:rPr>
          <w:rFonts w:ascii="Times New Roman" w:hAnsi="Times New Roman"/>
          <w:sz w:val="20"/>
          <w:u w:val="single"/>
        </w:rPr>
        <w:t>Security Interest</w:t>
      </w:r>
      <w:r>
        <w:rPr>
          <w:rFonts w:ascii="Times New Roman" w:hAnsi="Times New Roman"/>
          <w:sz w:val="20"/>
        </w:rPr>
        <w:t xml:space="preserve">” has the meaning specified therefor in </w:t>
      </w:r>
      <w:r>
        <w:rPr>
          <w:rFonts w:ascii="Times New Roman" w:hAnsi="Times New Roman"/>
          <w:sz w:val="20"/>
          <w:u w:val="single"/>
        </w:rPr>
        <w:t>Section 3</w:t>
      </w:r>
      <w:r>
        <w:rPr>
          <w:rFonts w:ascii="Times New Roman" w:hAnsi="Times New Roman"/>
          <w:sz w:val="20"/>
        </w:rPr>
        <w:t>. (xlii) “</w:t>
      </w:r>
      <w:r>
        <w:rPr>
          <w:rFonts w:ascii="Times New Roman" w:hAnsi="Times New Roman"/>
          <w:sz w:val="20"/>
          <w:u w:val="single"/>
        </w:rPr>
        <w:t>Supporting Obligations</w:t>
      </w:r>
      <w:r>
        <w:rPr>
          <w:rFonts w:ascii="Times New Roman" w:hAnsi="Times New Roman"/>
          <w:sz w:val="20"/>
        </w:rPr>
        <w:t xml:space="preserve">” means supporting obligations (as such term is defined in the Code) and includes letters of credit and guaranties issued in support of Accounts, Chattel Paper, documents, General Intangibles, instruments or Investment Property. </w:t>
      </w:r>
    </w:p>
    <w:p>
      <w:pPr>
        <w:pStyle w:val="TextBody"/>
        <w:bidi w:val="0"/>
        <w:spacing w:before="120" w:after="0"/>
        <w:jc w:val="left"/>
        <w:rPr>
          <w:rFonts w:ascii="Times New Roman" w:hAnsi="Times New Roman"/>
          <w:sz w:val="20"/>
        </w:rPr>
      </w:pPr>
      <w:r>
        <w:rPr>
          <w:rFonts w:ascii="Times New Roman" w:hAnsi="Times New Roman"/>
          <w:sz w:val="20"/>
        </w:rPr>
        <w:t>(xliii) “</w:t>
      </w:r>
      <w:r>
        <w:rPr>
          <w:rFonts w:ascii="Times New Roman" w:hAnsi="Times New Roman"/>
          <w:sz w:val="20"/>
          <w:u w:val="single"/>
        </w:rPr>
        <w:t>Trademarks</w:t>
      </w:r>
      <w:r>
        <w:rPr>
          <w:rFonts w:ascii="Times New Roman" w:hAnsi="Times New Roman"/>
          <w:sz w:val="20"/>
        </w:rPr>
        <w:t xml:space="preserve">” means any and all trademarks, trade names, registered trademarks, trademark applications, service marks, registered service marks and service mark applications, including (A) the trade names, registered trademarks, trademark applications, registered service marks and service mark applications listed on </w:t>
      </w:r>
      <w:r>
        <w:rPr>
          <w:rFonts w:ascii="Times New Roman" w:hAnsi="Times New Roman"/>
          <w:sz w:val="20"/>
          <w:u w:val="single"/>
        </w:rPr>
        <w:t>Schedule 6</w:t>
      </w:r>
      <w:r>
        <w:rPr>
          <w:rFonts w:ascii="Times New Roman" w:hAnsi="Times New Roman"/>
          <w:sz w:val="20"/>
        </w:rPr>
        <w:t xml:space="preserve">, (B) all renewals thereof, (C) all income, royalties, damages and payments now and hereafter due or payable under and with respect thereto, including payments under all licenses entered into in connection therewith and damages and payments for past or future infringements or dilutions thereof, (D) the right to sue for past, present and future infringements and dilutions thereof, (E) the goodwill of each Grantor’s business symbolized by the foregoing or connected therewith, and (F) all of each Grantor’s rights corresponding thereto throughout the world. </w:t>
      </w:r>
    </w:p>
    <w:p>
      <w:pPr>
        <w:pStyle w:val="TextBody"/>
        <w:bidi w:val="0"/>
        <w:spacing w:before="120" w:after="0"/>
        <w:jc w:val="left"/>
        <w:rPr>
          <w:rFonts w:ascii="Times New Roman" w:hAnsi="Times New Roman"/>
          <w:sz w:val="20"/>
        </w:rPr>
      </w:pPr>
      <w:r>
        <w:rPr>
          <w:rFonts w:ascii="Times New Roman" w:hAnsi="Times New Roman"/>
          <w:sz w:val="20"/>
        </w:rPr>
        <w:t>(xliv) “</w:t>
      </w:r>
      <w:r>
        <w:rPr>
          <w:rFonts w:ascii="Times New Roman" w:hAnsi="Times New Roman"/>
          <w:sz w:val="20"/>
          <w:u w:val="single"/>
        </w:rPr>
        <w:t>Trademark Security Agreement</w:t>
      </w:r>
      <w:r>
        <w:rPr>
          <w:rFonts w:ascii="Times New Roman" w:hAnsi="Times New Roman"/>
          <w:sz w:val="20"/>
        </w:rPr>
        <w:t xml:space="preserve">” means each Trademark Security Agreement executed and delivered by Grantors, or any of them, and Agent, in substantially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(xlv) “</w:t>
      </w:r>
      <w:r>
        <w:rPr>
          <w:rFonts w:ascii="Times New Roman" w:hAnsi="Times New Roman"/>
          <w:sz w:val="20"/>
          <w:u w:val="single"/>
        </w:rPr>
        <w:t>URL</w:t>
      </w:r>
      <w:r>
        <w:rPr>
          <w:rFonts w:ascii="Times New Roman" w:hAnsi="Times New Roman"/>
          <w:sz w:val="20"/>
        </w:rPr>
        <w:t xml:space="preserve">” means “uniform resource locator,” an internet web address. </w:t>
      </w:r>
    </w:p>
    <w:p>
      <w:pPr>
        <w:pStyle w:val="TextBody"/>
        <w:bidi w:val="0"/>
        <w:spacing w:before="120" w:after="0"/>
        <w:jc w:val="left"/>
        <w:rPr>
          <w:rFonts w:ascii="Times New Roman" w:hAnsi="Times New Roman"/>
          <w:sz w:val="20"/>
        </w:rPr>
      </w:pPr>
      <w:r>
        <w:rPr>
          <w:rFonts w:ascii="Times New Roman" w:hAnsi="Times New Roman"/>
          <w:sz w:val="20"/>
        </w:rPr>
        <w:t xml:space="preserve">(b) The rules of interpretation set forth in Section 1.02 of the Credit Agreement shall be applicable to this Agreement and are incorporated herein by this reference. In addition, any reference herein to the satisfaction, repayment, or payment in full of the Secured Obligations or the Guaranteed Obligations shall mean (i) the payment or repayment in full in cash of (A) the principal amount of, and interest accrued with respect to, all outstanding Loans, together with the payment of any premium applicable to the repayment of the Loans, (B) all fees and expenses that have accrued of the Agent or the Lenders payable under by the Borrower under the Credit Agreement, regardless of whether demand has been made therefor, (C) all fees or charges that have accrued hereunder or under any other Loan Document, (ii) the receipt by Agent of cash collateral in order to secure any other contingent Secured Obligations or Guaranteed Obligations for which a claim or demand for payment has been made at such time or in respect of matters or circumstances known to Agent or a Lender at the time that are reasonably expected to result in any loss, cost, damage or expense (including attorney’s fees and legal expenses), such cash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in such amount as Agent reasonably determines is appropriate to secure such contingent Secured Obligations or Guaranteed Obligations, (iii) the payment or repayment in full in cash of all other Secured Obligations or Guaranteed Obligations (as the case may be) other than contingent inchoate indemnification obligations and (iv) the termination of all of the Commitments of the Lenders. Any reference herein to any Person shall be construed to include such Person’s successors and assigns. Any requirement of a writing contained herein shall be satisfied by the transmission of a Record. </w:t>
      </w:r>
    </w:p>
    <w:p>
      <w:pPr>
        <w:pStyle w:val="TextBody"/>
        <w:bidi w:val="0"/>
        <w:spacing w:before="120" w:after="0"/>
        <w:jc w:val="left"/>
        <w:rPr>
          <w:rFonts w:ascii="Times New Roman" w:hAnsi="Times New Roman"/>
          <w:sz w:val="20"/>
        </w:rPr>
      </w:pPr>
      <w:r>
        <w:rPr>
          <w:rFonts w:ascii="Times New Roman" w:hAnsi="Times New Roman"/>
          <w:sz w:val="20"/>
        </w:rPr>
        <w:t xml:space="preserve">(c) All of the schedules and exhibits attached to this Agreement shall be deemed incorporated 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Guaranty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recognition of the direct and indirect benefits to be received by Guarantors from the proceeds of the Loans and the issuance of the letters of credit and by virtue of the financial accommodations to be made to the Borrower, each of the Guarantors, jointly and severally, hereby unconditionally and irrevocably guarantees as a primary obligor and not merely as a surety the full and prompt payment when due, whether upon maturity, acceleration, or otherwise, of all of the Guaranteed Obligations. If any or all of the Obligations constituting Guaranteed Obligations becomes due and payable, each of the Guarantors, unconditionally and irrevocably, and without the need for demand, protest, or any other notice or formality, promises to pay such indebtedness to Agent, for the benefit of the Lenders, together with any and all expenses that may be incurred by Agent or any other Lender in demanding, enforcing, or collecting any of the Guaranteed Obligations (including the enforcement of any collateral for such Guaranteed Obligations or any collateral for the obligations of the Guarantors under this Guaranty). If a claim is ever made upon Agent or any other Lender for repayment or recovery of any amount or amounts received in payment of or on account of any or all of the Guaranteed Obligations and any of Agent or any other Lender repays all or part of said amount by reason of (i) any judgment, decree, or order of any court or administrative body having jurisdiction over such payee or any of its property, or (ii) any settlement or compromise of any such claim effected by such payee with any such claimant (including the Borrower or any Guarantor), then and in each such event, each of the Guarantors agrees that any such judgment, decree, order, settlement, or compromise shall be binding upon the Guarantors, notwithstanding any revocation (or purported revocation) of this Guaranty or other instrument evidencing any liability of any Grantor, and the Guarantors shall be and remain liable to the aforesaid payees hereunder for the amount so repaid or recovered to the same extent as if such amount had never originally been received by any such payee. </w:t>
      </w:r>
    </w:p>
    <w:p>
      <w:pPr>
        <w:pStyle w:val="TextBody"/>
        <w:bidi w:val="0"/>
        <w:spacing w:before="120" w:after="0"/>
        <w:jc w:val="left"/>
        <w:rPr>
          <w:rFonts w:ascii="Times New Roman" w:hAnsi="Times New Roman"/>
          <w:sz w:val="20"/>
        </w:rPr>
      </w:pPr>
      <w:r>
        <w:rPr>
          <w:rFonts w:ascii="Times New Roman" w:hAnsi="Times New Roman"/>
          <w:sz w:val="20"/>
        </w:rPr>
        <w:t xml:space="preserve">(b) Additionally, each of the Guarantors unconditionally and irrevocably guarantees the payment of any and all of the Guaranteed Obligations to Agent, for the benefit of the Lenders, whether or not due or payable by any Loan Party upon the occurrence of any of the events specified in Section 7.01(h) or Section 7.01(i) of the Credit Agreement, and irrevocably and unconditionally promises to pay such indebtedness to Agent, for the benefit of the Lenders, without the requirement of demand, protest, or any other notice or other formality, in lawful money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liability of each of the Guarantors hereunder is primary, absolute, and unconditional, and is independent of any security for or other guaranty of the Guaranteed Obligations, whether executed by any other Guarantor or by any other Person, and the liability of each of the Guarantors hereunder shall not be affected or impaired by (i) any payment on, or in reduction of, any such other guaranty or undertaking, (ii) any dissolution, termination, or increase, decrease, or change in personnel by any Grantor, (iii) any payment made to Agent or any other Lender on account of the Obligations which Agent or such other Lender repays to any Grantor pursuant to court order in any bankruptcy, reorganization, arrangement, moratorium or other debtor relief proceeding (or any settlement or compromise of any claim made in such a proceeding relating to such payment), and each of the Guarantors waives any right to the deferral or modification of its obligations hereunder by reason of any such proceeding, (iv) any action or inaction by Agent or any other Lender, or (v) any invalidity, irregularity, avoidability, or unenforceability of all or any part of the Obligations or of any security therefor. </w:t>
      </w:r>
    </w:p>
    <w:p>
      <w:pPr>
        <w:pStyle w:val="TextBody"/>
        <w:bidi w:val="0"/>
        <w:spacing w:before="120" w:after="0"/>
        <w:jc w:val="left"/>
        <w:rPr>
          <w:rFonts w:ascii="Times New Roman" w:hAnsi="Times New Roman"/>
          <w:sz w:val="20"/>
        </w:rPr>
      </w:pPr>
      <w:r>
        <w:rPr>
          <w:rFonts w:ascii="Times New Roman" w:hAnsi="Times New Roman"/>
          <w:sz w:val="20"/>
        </w:rPr>
        <w:t xml:space="preserve">(d) This Guaranty includes all present and future Guaranteed Obligations including any under transactions continuing, compromising, extending, increasing, modifying, releasing, or renewing the Guaranteed Obligations, changing the interest rate, payment terms, or other terms and conditions thereof, or creating new or additional Guaranteed Obligations after prior Guaranteed Obligations have been satisfied in whole or in part. To the maximum extent permitted by Applicable Law, each Guarantor hereby waives any right to revoke this Guaranty as to future Guaranteed Obligations. If such a revocation is effective notwithstanding the foregoing waiver, each Guarantor acknowledges and agrees that (i) no such revocation shall be effective until written notice thereof has been received by Agent, (ii) no such revocation shall apply to any Guaranteed Obligations in existence on the date of receipt by Agent of such written notice (including any subsequent continuation, extension, or renewal thereof, or change in the interest rate, payment terms, or other terms and conditions thereof), (iii) no such revocation shall apply to any Guaranteed Obligations made or created after such date to the extent made or created pursuant to a legally binding commitment of any Lender in existence on the date of such revocation, (iv) no payment by any Guarantor, the Borrower, or from any other source, prior to the date of Agent’s receipt of written notice of such revocation shall reduce the maximum obligation of such Guarantor hereunder, and (v) any payment by the Borrower or from any source other than such Guarantor subsequent to the date of such revocation shall first be applied to that portion of the Guaranteed Obligations as to which the revocation is effective and which are not, therefore, guaranteed hereunder, and to the extent so applied shall not reduce the maximum obligation of such Guarantor hereunder. This Guaranty shall be binding upon each Guarantor, its successors and assigns and inure to the benefit of and be enforceable by Agent (for the benefit of the Lenders) and its successors, transferees, or assigns. </w:t>
      </w:r>
    </w:p>
    <w:p>
      <w:pPr>
        <w:pStyle w:val="TextBody"/>
        <w:bidi w:val="0"/>
        <w:spacing w:before="120" w:after="0"/>
        <w:jc w:val="left"/>
        <w:rPr>
          <w:rFonts w:ascii="Times New Roman" w:hAnsi="Times New Roman"/>
          <w:sz w:val="20"/>
        </w:rPr>
      </w:pPr>
      <w:r>
        <w:rPr>
          <w:rFonts w:ascii="Times New Roman" w:hAnsi="Times New Roman"/>
          <w:sz w:val="20"/>
        </w:rPr>
        <w:t xml:space="preserve">(e) The guaranty by each of the Guarantors hereunder is a guaranty of payment and not of collection. The obligations of each of the Guarantors hereunder are independent of the obligations of any other Guarantor or Grantor or any other Person and a separate action or actions may be brought and prosecuted against one or more of the Guarantors whether or not action is brought against any other Guarantor or Grantor or any other Person and whether or not any other Guarantor or Grantor or any other Person be joined in any such action or actions. Each of the Guarantors waives, to the fullest extent permitted by Applicable Law, the benefit of any statute of limitations affecting its liability hereunder or the enforcement hereof. Any payment by any Grantor or other circumstance which operates to toll any statute of limitations as to any Grantor shall operate to toll the statute of limitations as to each of the Guarantors.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Each of the Guarantors authorizes Agent and the other Lenders without notice or demand, and without affecting or impairing its liability hereunder, from time to time to: </w:t>
      </w:r>
    </w:p>
    <w:p>
      <w:pPr>
        <w:pStyle w:val="TextBody"/>
        <w:bidi w:val="0"/>
        <w:spacing w:before="120" w:after="0"/>
        <w:jc w:val="left"/>
        <w:rPr>
          <w:rFonts w:ascii="Times New Roman" w:hAnsi="Times New Roman"/>
          <w:sz w:val="20"/>
        </w:rPr>
      </w:pPr>
      <w:r>
        <w:rPr>
          <w:rFonts w:ascii="Times New Roman" w:hAnsi="Times New Roman"/>
          <w:sz w:val="20"/>
        </w:rPr>
        <w:t xml:space="preserve">(i) change the manner, place, or terms of payment of, or change or extend the time of payment of, renew, increase, accelerate, or alter: (A) any of the Obligations (including any increase or decrease in the principal amount thereof or the rate of interest or fees thereon); or (B) any security therefor or any liability incurred directly or indirectly in respect thereof, and this Guaranty shall apply to the Obligations as so changed, extended, renewed, or altered; </w:t>
      </w:r>
    </w:p>
    <w:p>
      <w:pPr>
        <w:pStyle w:val="TextBody"/>
        <w:bidi w:val="0"/>
        <w:spacing w:before="120" w:after="0"/>
        <w:jc w:val="left"/>
        <w:rPr>
          <w:rFonts w:ascii="Times New Roman" w:hAnsi="Times New Roman"/>
          <w:sz w:val="20"/>
        </w:rPr>
      </w:pPr>
      <w:r>
        <w:rPr>
          <w:rFonts w:ascii="Times New Roman" w:hAnsi="Times New Roman"/>
          <w:sz w:val="20"/>
        </w:rPr>
        <w:t xml:space="preserve">(ii) take and hold security for the payment of the Obligations and sell, exchange, release, impair, surrender, realize upon, collect, settle, or otherwise deal with in any manner and in any order any property at any time pledged or mortgaged to secure the Obligations or any of the Guaranteed Obligations (including any of the obligations of all or any of the Guarantors under this Guaranty) incurred directly or indirectly in respect thereof or hereof, or any offset on account thereof; </w:t>
      </w:r>
    </w:p>
    <w:p>
      <w:pPr>
        <w:pStyle w:val="TextBody"/>
        <w:bidi w:val="0"/>
        <w:spacing w:before="120" w:after="0"/>
        <w:jc w:val="left"/>
        <w:rPr>
          <w:rFonts w:ascii="Times New Roman" w:hAnsi="Times New Roman"/>
          <w:sz w:val="20"/>
        </w:rPr>
      </w:pPr>
      <w:r>
        <w:rPr>
          <w:rFonts w:ascii="Times New Roman" w:hAnsi="Times New Roman"/>
          <w:sz w:val="20"/>
        </w:rPr>
        <w:t xml:space="preserve">(iii) exercise or refrain from exercising any rights against any Grantor; </w:t>
      </w:r>
    </w:p>
    <w:p>
      <w:pPr>
        <w:pStyle w:val="TextBody"/>
        <w:bidi w:val="0"/>
        <w:spacing w:before="120" w:after="0"/>
        <w:jc w:val="left"/>
        <w:rPr>
          <w:rFonts w:ascii="Times New Roman" w:hAnsi="Times New Roman"/>
          <w:sz w:val="20"/>
        </w:rPr>
      </w:pPr>
      <w:r>
        <w:rPr>
          <w:rFonts w:ascii="Times New Roman" w:hAnsi="Times New Roman"/>
          <w:sz w:val="20"/>
        </w:rPr>
        <w:t xml:space="preserve">(iv) release or substitute any one or more endorsers, guarantors, any Grantor, or other obligors; </w:t>
      </w:r>
    </w:p>
    <w:p>
      <w:pPr>
        <w:pStyle w:val="TextBody"/>
        <w:bidi w:val="0"/>
        <w:spacing w:before="120" w:after="0"/>
        <w:jc w:val="left"/>
        <w:rPr>
          <w:rFonts w:ascii="Times New Roman" w:hAnsi="Times New Roman"/>
          <w:sz w:val="20"/>
        </w:rPr>
      </w:pPr>
      <w:r>
        <w:rPr>
          <w:rFonts w:ascii="Times New Roman" w:hAnsi="Times New Roman"/>
          <w:sz w:val="20"/>
        </w:rPr>
        <w:t xml:space="preserve">(v) settle or compromise any of the Obligations, any security therefor, or any liability (including any of those of any of the Guarantors under this Guaranty) incurred directly or indirectly in respect thereof or hereof, and may subordinate the payment of all or any part thereof to the payment of any liability (whether due or not) of any Grantor to its creditors; </w:t>
      </w:r>
    </w:p>
    <w:p>
      <w:pPr>
        <w:pStyle w:val="TextBody"/>
        <w:bidi w:val="0"/>
        <w:spacing w:before="120" w:after="0"/>
        <w:jc w:val="left"/>
        <w:rPr>
          <w:rFonts w:ascii="Times New Roman" w:hAnsi="Times New Roman"/>
          <w:sz w:val="20"/>
        </w:rPr>
      </w:pPr>
      <w:r>
        <w:rPr>
          <w:rFonts w:ascii="Times New Roman" w:hAnsi="Times New Roman"/>
          <w:sz w:val="20"/>
        </w:rPr>
        <w:t xml:space="preserve">(vi) apply any sums by whomever paid or however realized to any liability or liabilities of any Grantor to Agent, or any other Lender, regardless of what liability or liabilities of such Grantor remain unpaid; </w:t>
      </w:r>
    </w:p>
    <w:p>
      <w:pPr>
        <w:pStyle w:val="TextBody"/>
        <w:bidi w:val="0"/>
        <w:spacing w:before="120" w:after="0"/>
        <w:jc w:val="left"/>
        <w:rPr>
          <w:rFonts w:ascii="Times New Roman" w:hAnsi="Times New Roman"/>
          <w:sz w:val="20"/>
        </w:rPr>
      </w:pPr>
      <w:r>
        <w:rPr>
          <w:rFonts w:ascii="Times New Roman" w:hAnsi="Times New Roman"/>
          <w:sz w:val="20"/>
        </w:rPr>
        <w:t xml:space="preserve">(vii) consent to or waive any breach of, or any act, omission, or default under, this Agreement, any other Loan Document or any of the instruments or agreements referred to herein or therein, or otherwise amend, modify, or supplement this Agreement, any other Loan Document or any of such other instruments or agreements; or </w:t>
      </w:r>
    </w:p>
    <w:p>
      <w:pPr>
        <w:pStyle w:val="TextBody"/>
        <w:bidi w:val="0"/>
        <w:spacing w:before="120" w:after="0"/>
        <w:jc w:val="left"/>
        <w:rPr>
          <w:rFonts w:ascii="Times New Roman" w:hAnsi="Times New Roman"/>
          <w:sz w:val="20"/>
        </w:rPr>
      </w:pPr>
      <w:r>
        <w:rPr>
          <w:rFonts w:ascii="Times New Roman" w:hAnsi="Times New Roman"/>
          <w:sz w:val="20"/>
        </w:rPr>
        <w:t xml:space="preserve">(viii) take any other action that could, under otherwise applicable principles of law, give rise to a legal or equitable discharge of one or more of the Guarantors from all or part of its liabilities under this Guaranty. </w:t>
      </w:r>
    </w:p>
    <w:p>
      <w:pPr>
        <w:pStyle w:val="TextBody"/>
        <w:bidi w:val="0"/>
        <w:spacing w:before="120" w:after="0"/>
        <w:jc w:val="left"/>
        <w:rPr>
          <w:rFonts w:ascii="Times New Roman" w:hAnsi="Times New Roman"/>
          <w:sz w:val="20"/>
        </w:rPr>
      </w:pPr>
      <w:r>
        <w:rPr>
          <w:rFonts w:ascii="Times New Roman" w:hAnsi="Times New Roman"/>
          <w:sz w:val="20"/>
        </w:rPr>
        <w:t xml:space="preserve">(g) It is not necessary for Agent, or any other Lender, to inquire into the capacity or powers of any of the Guarantors or the officers, directors, partners or agents acting or purporting to act on their behalf, and any Obligations made or created in reliance upon the professed exercise of such powers shall be guaranteed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Each Guarantor jointly and severally guarantees that the Guaranteed Obligations will be paid strictly in accordance with the terms of the Loan Documents, regardless of any law, regulation, or order now or hereafter in effect in any jurisdiction affecting any of such terms or the rights of any Lender with respect thereto. The obligations of each Guarantor under this Guaranty are independent of the Guaranteed Obligations, and a separate action or actions may be brought and prosecuted against each Guarantor to enforce such obligations, irrespective of whether any action is brought against any other Guarantor or whether any other Guarantor is joined in any such action or actions. The liability of each Guarantor under this Guaranty shall be absolute and unconditional irrespective of, and each Guarantor hereby irrevocably waives any defense it may now or hereafter have in any way relating to, any or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any Loan Document or any agreement or instrument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(ii) any change in the time, manner, or place of payment of, or in any other term of, all or any of the Guaranteed Obligations, or any other amendment or waiver of or any consent to departure from any Loan Document, including any increase in the Guaranteed Obligations resulting from the extension of additional credit; </w:t>
      </w:r>
    </w:p>
    <w:p>
      <w:pPr>
        <w:pStyle w:val="TextBody"/>
        <w:bidi w:val="0"/>
        <w:spacing w:before="120" w:after="0"/>
        <w:jc w:val="left"/>
        <w:rPr>
          <w:rFonts w:ascii="Times New Roman" w:hAnsi="Times New Roman"/>
          <w:sz w:val="20"/>
        </w:rPr>
      </w:pPr>
      <w:r>
        <w:rPr>
          <w:rFonts w:ascii="Times New Roman" w:hAnsi="Times New Roman"/>
          <w:sz w:val="20"/>
        </w:rPr>
        <w:t xml:space="preserve">(iii) any taking, exchange, release, or non-perfection of any Lien in and to any Collateral, or any taking, release, amendment, waiver of, or consent to departure from any other guaranty, for all or any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(iv) the existence of any claim, set-off, defense, or other right that any Guarantor may have at any time against any Person, including Agent, or any other Lender; </w:t>
      </w:r>
    </w:p>
    <w:p>
      <w:pPr>
        <w:pStyle w:val="TextBody"/>
        <w:bidi w:val="0"/>
        <w:spacing w:before="120" w:after="0"/>
        <w:jc w:val="left"/>
        <w:rPr>
          <w:rFonts w:ascii="Times New Roman" w:hAnsi="Times New Roman"/>
          <w:sz w:val="20"/>
        </w:rPr>
      </w:pPr>
      <w:r>
        <w:rPr>
          <w:rFonts w:ascii="Times New Roman" w:hAnsi="Times New Roman"/>
          <w:sz w:val="20"/>
        </w:rPr>
        <w:t xml:space="preserve">(v) any defense, set-off, counterclaim, or claim, of any kind or nature, arising directly or indirectly from the present or future lack of perfection, sufficiency, validity, or enforceability of the Guaranteed Obligations or any security therefor; </w:t>
      </w:r>
    </w:p>
    <w:p>
      <w:pPr>
        <w:pStyle w:val="TextBody"/>
        <w:bidi w:val="0"/>
        <w:spacing w:before="120" w:after="0"/>
        <w:jc w:val="left"/>
        <w:rPr>
          <w:rFonts w:ascii="Times New Roman" w:hAnsi="Times New Roman"/>
          <w:sz w:val="20"/>
        </w:rPr>
      </w:pPr>
      <w:r>
        <w:rPr>
          <w:rFonts w:ascii="Times New Roman" w:hAnsi="Times New Roman"/>
          <w:sz w:val="20"/>
        </w:rPr>
        <w:t xml:space="preserve">(vi) any right or defense arising by reason of any claim or defense based upon an election of remedies by any Lender including any defense based upon an impairment or elimination of such Guarantor’s rights of subrogation, reimbursement, contribution, or indemnity of such Guarantor against any other Grantor or any guarantors or sureties; </w:t>
      </w:r>
    </w:p>
    <w:p>
      <w:pPr>
        <w:pStyle w:val="TextBody"/>
        <w:bidi w:val="0"/>
        <w:spacing w:before="120" w:after="0"/>
        <w:jc w:val="left"/>
        <w:rPr>
          <w:rFonts w:ascii="Times New Roman" w:hAnsi="Times New Roman"/>
          <w:sz w:val="20"/>
        </w:rPr>
      </w:pPr>
      <w:r>
        <w:rPr>
          <w:rFonts w:ascii="Times New Roman" w:hAnsi="Times New Roman"/>
          <w:sz w:val="20"/>
        </w:rPr>
        <w:t xml:space="preserve">(vii) any change, restructuring, or termination of the corporate, limited liability company, or partnership structure or existence of any Grantor; or </w:t>
      </w:r>
    </w:p>
    <w:p>
      <w:pPr>
        <w:pStyle w:val="TextBody"/>
        <w:bidi w:val="0"/>
        <w:spacing w:before="120" w:after="0"/>
        <w:jc w:val="left"/>
        <w:rPr>
          <w:rFonts w:ascii="Times New Roman" w:hAnsi="Times New Roman"/>
          <w:sz w:val="20"/>
        </w:rPr>
      </w:pPr>
      <w:r>
        <w:rPr>
          <w:rFonts w:ascii="Times New Roman" w:hAnsi="Times New Roman"/>
          <w:sz w:val="20"/>
        </w:rPr>
        <w:t xml:space="preserve">(viii) any other circumstance that might otherwise constitute a defense available to, or a discharge of, any Grantor or any other guarantor or surety (other than the defense of payment or performance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Guarantors waives any right (except as shall be required by applicable statute and cannot be waived) to require Agent, or any other Lender to (i) proceed against any other Grantor or any other Person, (ii) proceed against or exhaust any security held from any other Grantor or any other Person, or (iii) protect, secure, perfect, or insure any security interest or Lien on any property subject thereto or exhaust any right to take any action against any other Grantor, any other Person, or any collateral, or (iv) pursue any other remedy in any Lender’s power whatsoever. Each of the Guarantors waives any defense based on or arising out of any defense of any Grantor or any other Person, other than payment of the Guaranteed Obligations to the extent of such payment, based on or arising out of the disability of any Grantor or any other Person, or the validity, legality, or unenforceability of the Obligations or any part thereof from any cause, or the cessation from any cause of the liability of any Grantor other than payment of the Obligations to the extent of such payment. Agent may, at the election of the Required Lenders, foreclose upon any Collateral held by Agent by one or more judicial or non-judicial sales or other dispositions, whether or not every aspect of any such sale is commercially reasonable or otherwise fails to comply with Applicable Law or may exercise any other right or remedy Agent, or any other Lender may have against any Grantor or any other Person, or any security, in each case, without affecting or impairing in any way the liability of any of the Guarantors hereunder except to the extent the Guaranteed Obligations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Guarantors waives all presentments, demands for performance, protests and notices, including notices of nonperformance, notices of protest, notices of dishonor, notices of acceptance of this Guaranty, and notices of the existence, creation, or incurring of new or additional Obligations or other financial accommodations. Each of the Guarantors waives notice of any Default or Event of Default under any of the Loan Documents. Each of the Guarantors assumes all responsibility for being and keeping itself informed of each Grantor’s financial condition and assets and of all other circumstances bearing upon the risk of nonpayment of the Obligations and the nature, scope, and extent of the risks which each of the Guarantors assumes and incurs hereunder, and agrees that neither Agent nor any of the other Lenders shall have any duty to advise any of the Guarantors of information known to them regarding such circumstances or risks. </w:t>
      </w:r>
    </w:p>
    <w:p>
      <w:pPr>
        <w:pStyle w:val="TextBody"/>
        <w:bidi w:val="0"/>
        <w:spacing w:before="120" w:after="0"/>
        <w:jc w:val="left"/>
        <w:rPr>
          <w:rFonts w:ascii="Times New Roman" w:hAnsi="Times New Roman"/>
          <w:sz w:val="20"/>
        </w:rPr>
      </w:pPr>
      <w:r>
        <w:rPr>
          <w:rFonts w:ascii="Times New Roman" w:hAnsi="Times New Roman"/>
          <w:sz w:val="20"/>
        </w:rPr>
        <w:t xml:space="preserve">(iii) To the fullest extent permitted by Applicable Law, each Guarantor hereby waives: (A) any right to assert against any Lender, any defense (legal or equitable), set-off, counterclaim, or claim which each Guarantor may now or at any time hereafter have against the Borrower or any other party liable to any Lender; (B) any defense, set-off, counterclaim, or claim, of any kind or nature, arising directly or indirectly from the present or future lack of perfection, sufficiency, validity, or enforceability of the Guaranteed Obligations or any security therefor; (C) any right or defense arising by reason of any claim or defense based upon an election of remedies by any Lender including any defense based upon an impairment or elimination of such Guarantor’s rights of subrogation, reimbursement, contribution, or indemnity of such Guarantor against the Borrower or other guarantors or sureties;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w:t>
      </w:r>
    </w:p>
    <w:p>
      <w:pPr>
        <w:pStyle w:val="TextBody"/>
        <w:bidi w:val="0"/>
        <w:spacing w:before="120" w:after="0"/>
        <w:jc w:val="left"/>
        <w:rPr>
          <w:rFonts w:ascii="Times New Roman" w:hAnsi="Times New Roman"/>
          <w:sz w:val="20"/>
        </w:rPr>
      </w:pPr>
      <w:r>
        <w:rPr>
          <w:rFonts w:ascii="Times New Roman" w:hAnsi="Times New Roman"/>
          <w:sz w:val="20"/>
        </w:rPr>
        <w:t xml:space="preserve">(iv) No Guarantor will exercise any rights that it may now or hereafter acquire against any Grantor or any other guarantor that arise from the existence, payment, performance or enforcement of such Guarantor’s obligations under this Guaranty, including any right of subrogation, reimbursement, exoneration, contribution or indemnification and any right to participate in any claim or remedy of Agent, or any other Lender against any Grantor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guarantor or any Collateral, whether or not such claim, remedy or right arises in equity or under contract, statute or common law, including the right to take or receive from any Grantor or any other guarantor, directly or indirectly, in cash or other property or by set-off or in any other manner, payment or security solely on account of such claim, remedy or right, unless and until all of the Guaranteed Obligations and all other amounts payable under this Guaranty shall have been paid in full in cash and all of the Commitments have been terminated. If any amount shall be paid to any Guarantor in violation of the immediately preceding sentence, such amount shall be held in trust for the benefit of Agent, for the benefit of the Lenders, and shall forthwith be paid to Agent to be credited and applied to the Guaranteed Obligations and all other amounts payable under this Guaranty, whether matured or unmatured, in accordance with the terms of the Credit Agreement, or to be held as Collateral for any Guaranteed Obligations or other amounts payable under this Guaranty thereafter arising. Notwithstanding anything to the contrary contained in this Guaranty, no Guarantor may exercise any rights of subrogation, contribution, indemnity, reimbursement or other similar rights against, and may not proceed or seek recourse against or with respect to any property or asset of, any other Grantor (the “</w:t>
      </w:r>
      <w:r>
        <w:rPr>
          <w:rFonts w:ascii="Times New Roman" w:hAnsi="Times New Roman"/>
          <w:sz w:val="20"/>
          <w:u w:val="single"/>
        </w:rPr>
        <w:t>Foreclosed Grantor</w:t>
      </w:r>
      <w:r>
        <w:rPr>
          <w:rFonts w:ascii="Times New Roman" w:hAnsi="Times New Roman"/>
          <w:sz w:val="20"/>
        </w:rPr>
        <w:t xml:space="preserve">”), including after payment in full of the Obligations, if all or any portion of the Obligations have been satisfied in connection with an exercise of remedies in respect of the Equity Interests of such Foreclosed Grantor whether pursuant to this Agreement or otherwise. </w:t>
      </w:r>
    </w:p>
    <w:p>
      <w:pPr>
        <w:pStyle w:val="TextBody"/>
        <w:bidi w:val="0"/>
        <w:spacing w:before="120" w:after="0"/>
        <w:jc w:val="left"/>
        <w:rPr>
          <w:rFonts w:ascii="Times New Roman" w:hAnsi="Times New Roman"/>
          <w:sz w:val="20"/>
        </w:rPr>
      </w:pPr>
      <w:r>
        <w:rPr>
          <w:rFonts w:ascii="Times New Roman" w:hAnsi="Times New Roman"/>
          <w:sz w:val="20"/>
        </w:rPr>
        <w:t xml:space="preserve">(v) Each of the Guarantors acknowledges and agrees that it is a guarantor, not a surety, under this Agreement and hereby waives, to the maximum extent permitted by Applicable Law, all rights and defenses of a guarantor or surety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Grant of Security</w:t>
      </w:r>
      <w:r>
        <w:rPr>
          <w:rFonts w:ascii="Times New Roman" w:hAnsi="Times New Roman"/>
          <w:sz w:val="20"/>
        </w:rPr>
        <w:t>. Each Grantor hereby unconditionally grants, collaterally assigns, and pledges to Agent, for the benefit of each Lender, to secure the Secured Obligations, a continuing security interest (hereinafter referred to as the “</w:t>
      </w:r>
      <w:r>
        <w:rPr>
          <w:rFonts w:ascii="Times New Roman" w:hAnsi="Times New Roman"/>
          <w:sz w:val="20"/>
          <w:u w:val="single"/>
        </w:rPr>
        <w:t>Security Interest</w:t>
      </w:r>
      <w:r>
        <w:rPr>
          <w:rFonts w:ascii="Times New Roman" w:hAnsi="Times New Roman"/>
          <w:sz w:val="20"/>
        </w:rPr>
        <w:t>”) in all of such Grantor’s right, title, and interest in and to the following, whether now owned or hereafter acquired or arising and wherever located (the “</w:t>
      </w:r>
      <w:r>
        <w:rPr>
          <w:rFonts w:ascii="Times New Roman" w:hAnsi="Times New Roman"/>
          <w:sz w:val="20"/>
          <w:u w:val="single"/>
        </w:rPr>
        <w:t>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Accounts; </w:t>
      </w:r>
    </w:p>
    <w:p>
      <w:pPr>
        <w:pStyle w:val="TextBody"/>
        <w:bidi w:val="0"/>
        <w:spacing w:before="120" w:after="0"/>
        <w:jc w:val="left"/>
        <w:rPr>
          <w:rFonts w:ascii="Times New Roman" w:hAnsi="Times New Roman"/>
          <w:sz w:val="20"/>
        </w:rPr>
      </w:pPr>
      <w:r>
        <w:rPr>
          <w:rFonts w:ascii="Times New Roman" w:hAnsi="Times New Roman"/>
          <w:sz w:val="20"/>
        </w:rPr>
        <w:t xml:space="preserve">(b) Books and Documents; </w:t>
      </w:r>
    </w:p>
    <w:p>
      <w:pPr>
        <w:pStyle w:val="TextBody"/>
        <w:bidi w:val="0"/>
        <w:spacing w:before="120" w:after="0"/>
        <w:jc w:val="left"/>
        <w:rPr>
          <w:rFonts w:ascii="Times New Roman" w:hAnsi="Times New Roman"/>
          <w:sz w:val="20"/>
        </w:rPr>
      </w:pPr>
      <w:r>
        <w:rPr>
          <w:rFonts w:ascii="Times New Roman" w:hAnsi="Times New Roman"/>
          <w:sz w:val="20"/>
        </w:rPr>
        <w:t xml:space="preserve">(c) Chattel Paper; </w:t>
      </w:r>
    </w:p>
    <w:p>
      <w:pPr>
        <w:pStyle w:val="TextBody"/>
        <w:bidi w:val="0"/>
        <w:spacing w:before="120" w:after="0"/>
        <w:jc w:val="left"/>
        <w:rPr>
          <w:rFonts w:ascii="Times New Roman" w:hAnsi="Times New Roman"/>
          <w:sz w:val="20"/>
        </w:rPr>
      </w:pPr>
      <w:r>
        <w:rPr>
          <w:rFonts w:ascii="Times New Roman" w:hAnsi="Times New Roman"/>
          <w:sz w:val="20"/>
        </w:rPr>
        <w:t xml:space="preserve">(d) Commercial Tort Claims; </w:t>
      </w:r>
    </w:p>
    <w:p>
      <w:pPr>
        <w:pStyle w:val="TextBody"/>
        <w:bidi w:val="0"/>
        <w:spacing w:before="120" w:after="0"/>
        <w:jc w:val="left"/>
        <w:rPr>
          <w:rFonts w:ascii="Times New Roman" w:hAnsi="Times New Roman"/>
          <w:sz w:val="20"/>
        </w:rPr>
      </w:pPr>
      <w:r>
        <w:rPr>
          <w:rFonts w:ascii="Times New Roman" w:hAnsi="Times New Roman"/>
          <w:sz w:val="20"/>
        </w:rPr>
        <w:t xml:space="preserve">(e) Deposit Accounts; </w:t>
      </w:r>
    </w:p>
    <w:p>
      <w:pPr>
        <w:pStyle w:val="TextBody"/>
        <w:bidi w:val="0"/>
        <w:spacing w:before="120" w:after="0"/>
        <w:jc w:val="left"/>
        <w:rPr>
          <w:rFonts w:ascii="Times New Roman" w:hAnsi="Times New Roman"/>
          <w:sz w:val="20"/>
        </w:rPr>
      </w:pPr>
      <w:r>
        <w:rPr>
          <w:rFonts w:ascii="Times New Roman" w:hAnsi="Times New Roman"/>
          <w:sz w:val="20"/>
        </w:rPr>
        <w:t xml:space="preserve">(f) Equipment; </w:t>
      </w:r>
    </w:p>
    <w:p>
      <w:pPr>
        <w:pStyle w:val="TextBody"/>
        <w:bidi w:val="0"/>
        <w:spacing w:before="120" w:after="0"/>
        <w:jc w:val="left"/>
        <w:rPr>
          <w:rFonts w:ascii="Times New Roman" w:hAnsi="Times New Roman"/>
          <w:sz w:val="20"/>
        </w:rPr>
      </w:pPr>
      <w:r>
        <w:rPr>
          <w:rFonts w:ascii="Times New Roman" w:hAnsi="Times New Roman"/>
          <w:sz w:val="20"/>
        </w:rPr>
        <w:t xml:space="preserve">(g) Farm Products; </w:t>
      </w:r>
    </w:p>
    <w:p>
      <w:pPr>
        <w:pStyle w:val="TextBody"/>
        <w:bidi w:val="0"/>
        <w:spacing w:before="120" w:after="0"/>
        <w:jc w:val="left"/>
        <w:rPr>
          <w:rFonts w:ascii="Times New Roman" w:hAnsi="Times New Roman"/>
          <w:sz w:val="20"/>
        </w:rPr>
      </w:pPr>
      <w:r>
        <w:rPr>
          <w:rFonts w:ascii="Times New Roman" w:hAnsi="Times New Roman"/>
          <w:sz w:val="20"/>
        </w:rPr>
        <w:t xml:space="preserve">(h) Fixtures; </w:t>
      </w:r>
    </w:p>
    <w:p>
      <w:pPr>
        <w:pStyle w:val="TextBody"/>
        <w:bidi w:val="0"/>
        <w:spacing w:before="120" w:after="0"/>
        <w:jc w:val="left"/>
        <w:rPr>
          <w:rFonts w:ascii="Times New Roman" w:hAnsi="Times New Roman"/>
          <w:sz w:val="20"/>
        </w:rPr>
      </w:pPr>
      <w:r>
        <w:rPr>
          <w:rFonts w:ascii="Times New Roman" w:hAnsi="Times New Roman"/>
          <w:sz w:val="20"/>
        </w:rPr>
        <w:t xml:space="preserve">(i) General Intangibles; </w:t>
      </w:r>
    </w:p>
    <w:p>
      <w:pPr>
        <w:pStyle w:val="TextBody"/>
        <w:bidi w:val="0"/>
        <w:spacing w:before="120" w:after="0"/>
        <w:jc w:val="left"/>
        <w:rPr>
          <w:rFonts w:ascii="Times New Roman" w:hAnsi="Times New Roman"/>
          <w:sz w:val="20"/>
        </w:rPr>
      </w:pPr>
      <w:r>
        <w:rPr>
          <w:rFonts w:ascii="Times New Roman" w:hAnsi="Times New Roman"/>
          <w:sz w:val="20"/>
        </w:rPr>
        <w:t xml:space="preserve">(j) Inventory;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Investment Property; </w:t>
      </w:r>
    </w:p>
    <w:p>
      <w:pPr>
        <w:pStyle w:val="TextBody"/>
        <w:bidi w:val="0"/>
        <w:spacing w:before="120" w:after="0"/>
        <w:jc w:val="left"/>
        <w:rPr>
          <w:rFonts w:ascii="Times New Roman" w:hAnsi="Times New Roman"/>
          <w:sz w:val="20"/>
        </w:rPr>
      </w:pPr>
      <w:r>
        <w:rPr>
          <w:rFonts w:ascii="Times New Roman" w:hAnsi="Times New Roman"/>
          <w:sz w:val="20"/>
        </w:rPr>
        <w:t xml:space="preserve">(l) Intellectual Property and Intellectual Property Licenses; </w:t>
      </w:r>
    </w:p>
    <w:p>
      <w:pPr>
        <w:pStyle w:val="TextBody"/>
        <w:bidi w:val="0"/>
        <w:spacing w:before="120" w:after="0"/>
        <w:jc w:val="left"/>
        <w:rPr>
          <w:rFonts w:ascii="Times New Roman" w:hAnsi="Times New Roman"/>
          <w:sz w:val="20"/>
        </w:rPr>
      </w:pPr>
      <w:r>
        <w:rPr>
          <w:rFonts w:ascii="Times New Roman" w:hAnsi="Times New Roman"/>
          <w:sz w:val="20"/>
        </w:rPr>
        <w:t xml:space="preserve">(m) Negotiable Collateral; </w:t>
      </w:r>
    </w:p>
    <w:p>
      <w:pPr>
        <w:pStyle w:val="TextBody"/>
        <w:bidi w:val="0"/>
        <w:spacing w:before="120" w:after="0"/>
        <w:jc w:val="left"/>
        <w:rPr>
          <w:rFonts w:ascii="Times New Roman" w:hAnsi="Times New Roman"/>
          <w:sz w:val="20"/>
        </w:rPr>
      </w:pPr>
      <w:r>
        <w:rPr>
          <w:rFonts w:ascii="Times New Roman" w:hAnsi="Times New Roman"/>
          <w:sz w:val="20"/>
        </w:rPr>
        <w:t xml:space="preserve">(n) Pledged Interests (including Pledged Operating Agreements and Pledged Partnership Agreements); </w:t>
      </w:r>
    </w:p>
    <w:p>
      <w:pPr>
        <w:pStyle w:val="TextBody"/>
        <w:bidi w:val="0"/>
        <w:spacing w:before="120" w:after="0"/>
        <w:jc w:val="left"/>
        <w:rPr>
          <w:rFonts w:ascii="Times New Roman" w:hAnsi="Times New Roman"/>
          <w:sz w:val="20"/>
        </w:rPr>
      </w:pPr>
      <w:r>
        <w:rPr>
          <w:rFonts w:ascii="Times New Roman" w:hAnsi="Times New Roman"/>
          <w:sz w:val="20"/>
        </w:rPr>
        <w:t xml:space="preserve">(o) Securities Accounts; </w:t>
      </w:r>
    </w:p>
    <w:p>
      <w:pPr>
        <w:pStyle w:val="TextBody"/>
        <w:bidi w:val="0"/>
        <w:spacing w:before="120" w:after="0"/>
        <w:jc w:val="left"/>
        <w:rPr>
          <w:rFonts w:ascii="Times New Roman" w:hAnsi="Times New Roman"/>
          <w:sz w:val="20"/>
        </w:rPr>
      </w:pPr>
      <w:r>
        <w:rPr>
          <w:rFonts w:ascii="Times New Roman" w:hAnsi="Times New Roman"/>
          <w:sz w:val="20"/>
        </w:rPr>
        <w:t xml:space="preserve">(p) Supporting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(q) money, Cash Equivalents, or other assets of such Grantor that now or hereafter come into the possession, custody, or control of Agent (or its agent or designee) or any other Lender; and </w:t>
      </w:r>
    </w:p>
    <w:p>
      <w:pPr>
        <w:pStyle w:val="TextBody"/>
        <w:bidi w:val="0"/>
        <w:spacing w:before="120" w:after="0"/>
        <w:jc w:val="left"/>
        <w:rPr>
          <w:rFonts w:ascii="Times New Roman" w:hAnsi="Times New Roman"/>
          <w:sz w:val="20"/>
        </w:rPr>
      </w:pPr>
      <w:r>
        <w:rPr>
          <w:rFonts w:ascii="Times New Roman" w:hAnsi="Times New Roman"/>
          <w:sz w:val="20"/>
        </w:rPr>
        <w:t>(r) all of the proceeds (as such term is defined in the Code) and products, whether tangible or intangible, of any of the foregoing, including proceeds of insurance or Commercial Tort Claims covering or relating to any or all of the foregoing, and any and all Accounts, Books, Chattel Paper, Deposit Accounts, Equipment, Fixtures, General Intangibles, Inventory, Investment Property, Intellectual Property, Negotiable Collateral, Pledged Interests, Securities Accounts, Supporting Obligations, money, or other tangible or intangible property resulting from the sale, lease, license, exchange, collection, or other disposition of any of the foregoing, the proceeds of any award in condemnation with respect to any of the foregoing, any rebates or refunds, whether for taxes or otherwise, and all proceeds of any such proceeds, or any portion thereof or interest therein, and the proceeds thereof, and all proceeds of any loss of, damage to, or destruction of the above, whether insured or not insured, and, to the extent not otherwise included, any indemnity, warranty, or guaranty payable by reason of loss or damage to, or otherwise with respect to any of the foregoing (the “</w:t>
      </w:r>
      <w:r>
        <w:rPr>
          <w:rFonts w:ascii="Times New Roman" w:hAnsi="Times New Roman"/>
          <w:sz w:val="20"/>
          <w:u w:val="single"/>
        </w:rPr>
        <w:t>Proceeds</w:t>
      </w:r>
      <w:r>
        <w:rPr>
          <w:rFonts w:ascii="Times New Roman" w:hAnsi="Times New Roman"/>
          <w:sz w:val="20"/>
        </w:rPr>
        <w:t xml:space="preserve">”). Without limiting the generality of the foregoing, the term “Proceeds” includes whatever is receivable or received when Investment Property or proceeds are sold, exchanged, collected, or otherwise disposed of, whether such disposition is voluntary or involuntary, and includes proceeds of any indemnity or guaranty payable to any Grantor or Agent from time to time with respect to any of the Investment Property.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this Agreement to the contrary, the term “Collateral” shall not include any Excluded Asset.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Security for Secured Obligations</w:t>
      </w:r>
      <w:r>
        <w:rPr>
          <w:rFonts w:ascii="Times New Roman" w:hAnsi="Times New Roman"/>
          <w:sz w:val="20"/>
        </w:rPr>
        <w:t xml:space="preserve">. The Security Interest created hereby secures the payment and performance of the Secured Obligations, whether now existing or arising hereafter. Without limiting the generality of the foregoing, this Agreement secures the payment of all amounts which constitute part of the Secured Obligations and would be owed by Grantors, or any of them, to Agent, the Lenders or any of them, but for the fact that they are unenforceable or not allowable (in whole or in part) as a claim in an Insolvency Proceeding involving any Grantor due to the existence of such Insolvency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Grantors Remain Liable</w:t>
      </w:r>
      <w:r>
        <w:rPr>
          <w:rFonts w:ascii="Times New Roman" w:hAnsi="Times New Roman"/>
          <w:sz w:val="20"/>
        </w:rPr>
        <w:t xml:space="preserve">. Anything herein to the contrary notwithstanding, (a) each of the Grantors shall remain liable under the contracts and agreements included in the Collateral, including the Pledged Operating Agreements and the Pledged Partnership Agreements, to perform all of the duties and obligations thereunder to the same extent as if this Agreement had not been executed, (b) the exercise by Agent or any other Lender of any of the rights hereunder shall not release any Grantor from any of its duties or obligations under such contracts and agreements included in the Collateral, and (c) none of the Lenders shall have any obligation or liability under such contracts and agreements included in the Collateral by reason of this Agreement, nor shall any of the Lenders be obligated to perform any of the obligations or duties of any Grantors thereunder or to take any action to collect or enforce any claim for payment assigned hereunder. Until an Event of Default shall occur and be continuing, except as otherwise provided in this Agreement, the Credit Agreement, or any other Loan Document, Grantors shall have the right to possession and enjoyment of the Collateral for the purpose of conducting the ordinary course of their respective businesses, subject to and upon the terms hereof and of the Credit Agreement and the other Loan Documents. Without limiting the generality of the foregoing, it is the intention of the parties hereto that record and beneficial ownership of the Pledged Interests, including all voting, consensual, dividend, and distribution rights, shall remain in the applicable Grantor until (i) the occurrence and continuance of an Event of Default and (ii) Agent has notified the applicable Grantor of Agent’s election to exercise such rights with respect to the Pledged Interests pursuant to </w:t>
      </w:r>
      <w:r>
        <w:rPr>
          <w:rFonts w:ascii="Times New Roman" w:hAnsi="Times New Roman"/>
          <w:sz w:val="20"/>
          <w:u w:val="single"/>
        </w:rPr>
        <w:t>Section 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w:t>
      </w:r>
      <w:r>
        <w:rPr>
          <w:rFonts w:ascii="Times New Roman" w:hAnsi="Times New Roman"/>
          <w:sz w:val="20"/>
        </w:rPr>
        <w:t xml:space="preserve">. In order to induce Agent to enter into this Agreement for the benefit of the Lenders, each Grantor makes the following representations and warranties to the Agent and the Lenders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Loan (or other extension of credit) made thereafter, as though made on and as of the date of such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The name and jurisdiction of organization of each Grantor and each of its Subsidiaries is set forth on </w:t>
      </w:r>
      <w:r>
        <w:rPr>
          <w:rFonts w:ascii="Times New Roman" w:hAnsi="Times New Roman"/>
          <w:sz w:val="20"/>
          <w:u w:val="single"/>
        </w:rPr>
        <w:t>Schedule 7</w:t>
      </w:r>
      <w:r>
        <w:rPr>
          <w:rFonts w:ascii="Times New Roman" w:hAnsi="Times New Roman"/>
          <w:sz w:val="20"/>
        </w:rPr>
        <w:t xml:space="preserve"> (as such Schedule may be updated from time to time to reflect changes resulting from transactions permitted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The chief executive office of each Grantor and each of its Subsidiaries is located at the address indicated on </w:t>
      </w:r>
      <w:r>
        <w:rPr>
          <w:rFonts w:ascii="Times New Roman" w:hAnsi="Times New Roman"/>
          <w:sz w:val="20"/>
          <w:u w:val="single"/>
        </w:rPr>
        <w:t>Schedule 7</w:t>
      </w:r>
      <w:r>
        <w:rPr>
          <w:rFonts w:ascii="Times New Roman" w:hAnsi="Times New Roman"/>
          <w:sz w:val="20"/>
        </w:rPr>
        <w:t xml:space="preserve"> (as such Schedule may be updated from time to time to reflect changes resulting from transactions permitted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(c) Each Grantor’s and each of its Subsidiaries’ tax identification numbers and organizational identification numbers, if any, are identified on </w:t>
      </w:r>
      <w:r>
        <w:rPr>
          <w:rFonts w:ascii="Times New Roman" w:hAnsi="Times New Roman"/>
          <w:sz w:val="20"/>
          <w:u w:val="single"/>
        </w:rPr>
        <w:t>Schedule 7</w:t>
      </w:r>
      <w:r>
        <w:rPr>
          <w:rFonts w:ascii="Times New Roman" w:hAnsi="Times New Roman"/>
          <w:sz w:val="20"/>
        </w:rPr>
        <w:t xml:space="preserve"> (as such Schedule may be updated from time to time to reflect changes resulting from transactions permitted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 of the Closing Date, no Grantor and no Subsidiary of a Grantor holds any commercial tort claim that exceeds $100,000 in amount, except as set forth on </w:t>
      </w:r>
      <w:r>
        <w:rPr>
          <w:rFonts w:ascii="Times New Roman" w:hAnsi="Times New Roman"/>
          <w:sz w:val="20"/>
          <w:u w:val="single"/>
        </w:rPr>
        <w:t>Schedule 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Set forth on </w:t>
      </w:r>
      <w:r>
        <w:rPr>
          <w:rFonts w:ascii="Times New Roman" w:hAnsi="Times New Roman"/>
          <w:sz w:val="20"/>
          <w:u w:val="single"/>
        </w:rPr>
        <w:t>Schedule 9</w:t>
      </w:r>
      <w:r>
        <w:rPr>
          <w:rFonts w:ascii="Times New Roman" w:hAnsi="Times New Roman"/>
          <w:sz w:val="20"/>
        </w:rPr>
        <w:t xml:space="preserve"> is a listing of all of Grantors’ and their Subsidiaries’ Deposit Accounts, Securities Accounts, Commodity Accounts, lockboxes and similar accounts (and each account that is an Excluded Account is marked as such on </w:t>
      </w:r>
      <w:r>
        <w:rPr>
          <w:rFonts w:ascii="Times New Roman" w:hAnsi="Times New Roman"/>
          <w:sz w:val="20"/>
          <w:u w:val="single"/>
        </w:rPr>
        <w:t>Schedule 9</w:t>
      </w:r>
      <w:r>
        <w:rPr>
          <w:rFonts w:ascii="Times New Roman" w:hAnsi="Times New Roman"/>
          <w:sz w:val="20"/>
        </w:rPr>
        <w:t xml:space="preserve">), including, with respect to each bank or securities intermediary (a) the name and address of such Person, and (b) the account numbers of the Deposit Accounts or Securities Accounts maintained with such Person.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Schedule 8</w:t>
      </w:r>
      <w:r>
        <w:rPr>
          <w:rFonts w:ascii="Times New Roman" w:hAnsi="Times New Roman"/>
          <w:sz w:val="20"/>
        </w:rPr>
        <w:t xml:space="preserve"> sets forth all Real Property owned by any of the Grantors as of the Closing Date. </w:t>
      </w:r>
    </w:p>
    <w:p>
      <w:pPr>
        <w:pStyle w:val="TextBody"/>
        <w:bidi w:val="0"/>
        <w:spacing w:before="120" w:after="0"/>
        <w:jc w:val="left"/>
        <w:rPr>
          <w:rFonts w:ascii="Times New Roman" w:hAnsi="Times New Roman"/>
          <w:sz w:val="20"/>
        </w:rPr>
      </w:pPr>
      <w:r>
        <w:rPr>
          <w:rFonts w:ascii="Times New Roman" w:hAnsi="Times New Roman"/>
          <w:sz w:val="20"/>
        </w:rPr>
        <w:t>(g) As of the Closing Date: (i)</w:t>
      </w:r>
      <w:r>
        <w:rPr>
          <w:rFonts w:ascii="Times New Roman" w:hAnsi="Times New Roman"/>
          <w:sz w:val="20"/>
          <w:u w:val="single"/>
        </w:rPr>
        <w:t> Schedule 2</w:t>
      </w:r>
      <w:r>
        <w:rPr>
          <w:rFonts w:ascii="Times New Roman" w:hAnsi="Times New Roman"/>
          <w:sz w:val="20"/>
        </w:rPr>
        <w:t xml:space="preserve"> provides a complete and correct list of all registered Copyrights owned by any Grantor, all applications for registration of Copyrights owned by any Grantor, and all other Copyrights owned by any Grantor and material to the conduct of the business of any Grantor; (ii)</w:t>
      </w:r>
      <w:r>
        <w:rPr>
          <w:rFonts w:ascii="Times New Roman" w:hAnsi="Times New Roman"/>
          <w:sz w:val="20"/>
          <w:u w:val="single"/>
        </w:rPr>
        <w:t> Schedule 3</w:t>
      </w:r>
      <w:r>
        <w:rPr>
          <w:rFonts w:ascii="Times New Roman" w:hAnsi="Times New Roman"/>
          <w:sz w:val="20"/>
        </w:rPr>
        <w:t xml:space="preserve"> provides a complete and correct list of all Intellectual Property Licenses entered into by any Grantor pursuant to which (A) any Grantor has provided any license or other rights in Intellectual Property owned or controlled by such Grantor to any other Person (other than non-exclusive software licenses granted in the ordinary course of business) or (B) any Person has granted to any Grantor any license or other rights in Intellectual Property owned or controlled by such Person that is material to the business of such Grantor, including any Intellectual Property that is incorporated in any Inventory, software, or other product marketed, sold, licensed, or distributed by such Grantor; (iii)</w:t>
      </w:r>
      <w:r>
        <w:rPr>
          <w:rFonts w:ascii="Times New Roman" w:hAnsi="Times New Roman"/>
          <w:sz w:val="20"/>
          <w:u w:val="single"/>
        </w:rPr>
        <w:t> Schedule 4</w:t>
      </w:r>
      <w:r>
        <w:rPr>
          <w:rFonts w:ascii="Times New Roman" w:hAnsi="Times New Roman"/>
          <w:sz w:val="20"/>
        </w:rPr>
        <w:t xml:space="preserve"> provides a complete and correct list of all Patents owned by any Grantor and all applications for Patents owned by any Grantor; and (iv)</w:t>
      </w:r>
      <w:r>
        <w:rPr>
          <w:rFonts w:ascii="Times New Roman" w:hAnsi="Times New Roman"/>
          <w:sz w:val="20"/>
          <w:u w:val="single"/>
        </w:rPr>
        <w:t> Schedule 6</w:t>
      </w:r>
      <w:r>
        <w:rPr>
          <w:rFonts w:ascii="Times New Roman" w:hAnsi="Times New Roman"/>
          <w:sz w:val="20"/>
        </w:rPr>
        <w:t xml:space="preserve"> provides a complete and correct list of all registered Trademarks owned by any Grantor, all applications for registration of Trademarks owned by any Grantor, and all other Trademarks owned by any Grantor and material to the conduct of the business of any Grantor. </w:t>
      </w:r>
    </w:p>
    <w:p>
      <w:pPr>
        <w:pStyle w:val="TextBody"/>
        <w:bidi w:val="0"/>
        <w:spacing w:before="120" w:after="0"/>
        <w:jc w:val="left"/>
        <w:rPr>
          <w:rFonts w:ascii="Times New Roman" w:hAnsi="Times New Roman"/>
          <w:sz w:val="20"/>
        </w:rPr>
      </w:pPr>
      <w:r>
        <w:rPr>
          <w:rFonts w:ascii="Times New Roman" w:hAnsi="Times New Roman"/>
          <w:sz w:val="20"/>
        </w:rPr>
        <w:t xml:space="preserve">(h) (A) each Grantor owns exclusively or holds licenses in all Intellectual Property that is necessary in or material to the conduct of its business, and (B) all employees and contractors of each Grantor who were involved in the creation or development of any Intellectual Property for such Grantor that is necessary in or material to the business of such Grantor have signed agreements containing assignment of Intellectual Property rights to such Grantor and obligations of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(i) to each Grantor’s knowledge after reasonable inquiry, no Person has infringed or misappropriated or is currently infringing or misappropriating any Intellectual Property rights owned by such Grantor, in each case, that either individually or in the aggregate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(A) to each Grantor’s knowledge after reasonable inquiry, (I) such Grantor has never infringed or misappropriated and is not currently infringing or misappropriating any Intellectual Property rights of any Person, and (2) no product manufactured, used, distributed, licensed, or sold by or service provided by such Grantor has ever infringed or misappropriated or is currently infringing or misappropriating any Intellectual Property rights of any Person, in each case, except where such infringement either individually or in the aggregate could not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expected to result in a Material Adverse Effect, and (B) there are no infringement or misappropriation claims or proceedings pending, or to any Grantor’s knowledge after reasonable inquiry, threatened in writing against any Grantor, and no Grantor has received any written notice or other communication of any actual or alleged infringement or misappropriation of any Intellectual Property rights of any Person, in each case, except where such infringement either individually or in the aggregate could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to each Grantor’s knowledge after reasonable inquiry, all registered Copyrights, registered Trademarks, and issued Patents that are owned by such Grantor are valid, subsisting and enforceable and in compliance with all legal requirements, filings, and payments and other actions that are required to maintain such Intellectual Property in full force and effect, except where such noncompliance or inaction could not reasonably be expected to have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(iv) each Grantor has taken reasonable steps to maintain the confidentiality of and otherwise protect and enforce its rights in all trade secrets owned by such Grantor that are necessary in or material to the conduct of the business of such Grantor.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creates a valid security interest in the Collateral of each Grantor, to the extent a security interest therein can be created under the Code, securing the payment of the Secured Obligations. Except to the extent a security interest in the Collateral cannot be perfected by the filing of a financing statement under the Code, all filings and other actions necessary or desirable to perfect and protect such security interest have been duly taken or will have been taken upon the filing of financing statements listing each applicable Grantor, as a debtor, and Agent, as secured party, in the jurisdictions listed next to such Grantor’s name on </w:t>
      </w:r>
      <w:r>
        <w:rPr>
          <w:rFonts w:ascii="Times New Roman" w:hAnsi="Times New Roman"/>
          <w:sz w:val="20"/>
          <w:u w:val="single"/>
        </w:rPr>
        <w:t>Schedule 10</w:t>
      </w:r>
      <w:r>
        <w:rPr>
          <w:rFonts w:ascii="Times New Roman" w:hAnsi="Times New Roman"/>
          <w:sz w:val="20"/>
        </w:rPr>
        <w:t xml:space="preserve">. Upon the making of such filings, Agent shall have a first priority perfected security interest in the Collateral of each Grantor to the extent such security interest can be perfected by the filing of a financing statement. Upon filing of any Copyright Security Agreement with the United States Copyright Office, filing of any Patent Security Agreement and any Trademark Security Agreement with the PTO, and the filing of appropriate financing statements in the jurisdictions listed on </w:t>
      </w:r>
      <w:r>
        <w:rPr>
          <w:rFonts w:ascii="Times New Roman" w:hAnsi="Times New Roman"/>
          <w:sz w:val="20"/>
          <w:u w:val="single"/>
        </w:rPr>
        <w:t>Schedule 10</w:t>
      </w:r>
      <w:r>
        <w:rPr>
          <w:rFonts w:ascii="Times New Roman" w:hAnsi="Times New Roman"/>
          <w:sz w:val="20"/>
        </w:rPr>
        <w:t xml:space="preserve">, all action necessary or desirable to protect and perfect the Security Interest in and on each Grantor’s Patents, Trademarks, or Copyrights has been taken and such perfected Security Interest is enforceable as such as against any and all creditors of and purchasers from any Grantor. All action by any Grantor, as described in this clause (i), necessary to protect and perfect such security interest on each item of Collateral has been duly taken. </w:t>
      </w:r>
    </w:p>
    <w:p>
      <w:pPr>
        <w:pStyle w:val="TextBody"/>
        <w:bidi w:val="0"/>
        <w:spacing w:before="120" w:after="0"/>
        <w:jc w:val="left"/>
        <w:rPr>
          <w:rFonts w:ascii="Times New Roman" w:hAnsi="Times New Roman"/>
          <w:sz w:val="20"/>
        </w:rPr>
      </w:pPr>
      <w:r>
        <w:rPr>
          <w:rFonts w:ascii="Times New Roman" w:hAnsi="Times New Roman"/>
          <w:sz w:val="20"/>
        </w:rPr>
        <w:t xml:space="preserve">(j) (i) Except for the Security Interest created hereby, each Grantor is and will at all times be the sole holder of record and the legal and beneficial owner, free and clear of all Liens other than Permitted Liens, of the Pledged Interests indicated on </w:t>
      </w:r>
      <w:r>
        <w:rPr>
          <w:rFonts w:ascii="Times New Roman" w:hAnsi="Times New Roman"/>
          <w:sz w:val="20"/>
          <w:u w:val="single"/>
        </w:rPr>
        <w:t>Schedule 5</w:t>
      </w:r>
      <w:r>
        <w:rPr>
          <w:rFonts w:ascii="Times New Roman" w:hAnsi="Times New Roman"/>
          <w:sz w:val="20"/>
        </w:rPr>
        <w:t xml:space="preserve"> as being owned by such Grantor and, when acquired by such Grantor, any Pledged Interests acquired after the Closing Date; (ii) all of the Pledged Interests are duly authorized, validly issued, fully paid and nonassessable and the Pledged Interests constitute or will constitute the percentage of the issued and outstanding Equity Interests of the Pledged Companies of such Grantor identified on </w:t>
      </w:r>
      <w:r>
        <w:rPr>
          <w:rFonts w:ascii="Times New Roman" w:hAnsi="Times New Roman"/>
          <w:sz w:val="20"/>
          <w:u w:val="single"/>
        </w:rPr>
        <w:t>Schedule</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as supplemented or modified by any Pledged Interests Addendum or any Joinder to this Agreement; (iii) such Grantor has the right and requisite authority to pledge, the Investment Property pledged by such Grantor to Agent as provided herein; (iv) all actions necessary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desirable to perfect and establish the first priority of, or otherwise protect, Agent’s Liens in the Investment Property, and the proceeds thereof, have been duly taken, upon (A) the execution and delivery of this Agreement; (B) the taking of possession by Agent (or its agent or designee) of any certificates representing the Pledged Interests, together with undated powers (or other documents of transfer acceptable to Agent) endorsed in blank by the applicable Grantor; (C) the filing of financing statements in the applicable jurisdiction set forth on </w:t>
      </w:r>
      <w:r>
        <w:rPr>
          <w:rFonts w:ascii="Times New Roman" w:hAnsi="Times New Roman"/>
          <w:sz w:val="20"/>
          <w:u w:val="single"/>
        </w:rPr>
        <w:t>Schedule 10</w:t>
      </w:r>
      <w:r>
        <w:rPr>
          <w:rFonts w:ascii="Times New Roman" w:hAnsi="Times New Roman"/>
          <w:sz w:val="20"/>
        </w:rPr>
        <w:t xml:space="preserve"> for such Grantor with respect to the Pledged Interests of such Grantor that are not represented by certificates; and (D) with respect to any Securities Accounts, the delivery of control agreements with respect thereto; and (v) each Grantor has delivered to and deposited with Agent all certificates representing the Pledged Interests owned by such Grantor to the extent such Pledged Interests are represented by certificates, and undated powers (or other documents of transfer acceptable to Agent) endorsed in blank with respect to such certificates. None of the Pledged Interests owned or held by such Grantor has been issued or transferred in violation of any securities registration, securities disclosure, or similar laws of any jurisdiction to which such issuance or transfer may be subject. </w:t>
      </w:r>
    </w:p>
    <w:p>
      <w:pPr>
        <w:pStyle w:val="TextBody"/>
        <w:bidi w:val="0"/>
        <w:spacing w:before="120" w:after="0"/>
        <w:jc w:val="left"/>
        <w:rPr>
          <w:rFonts w:ascii="Times New Roman" w:hAnsi="Times New Roman"/>
          <w:sz w:val="20"/>
        </w:rPr>
      </w:pPr>
      <w:r>
        <w:rPr>
          <w:rFonts w:ascii="Times New Roman" w:hAnsi="Times New Roman"/>
          <w:sz w:val="20"/>
        </w:rPr>
        <w:t xml:space="preserve">(k) Except for those previously obtained and in full force and effect, no consent, approval, authorization, or other order or other action by, and no notice to or filing with, any Governmental Authority or any other Person is required (i) for the grant of a Security Interest by such Grantor in and to the Collateral pursuant to this Agreement or for the execution, delivery, or performance of this Agreement by such Grantor, or (ii) for the exercise by Agent of the voting or other rights provided for in this Agreement with respect to the Investment Property or the remedies in respect of the Collateral pursuant to this Agreement, except as may be required in connection with such disposition of Investment Property by laws affecting the offering and sale of securities generally and except for consents, approvals, authorizations, or other orders or actions that have been obtained or given (as applicable) and that are still in force. No Intellectual Property License of any Grantor that is necessary in or material to the conduct of such Grantor’s business requires any consent of any other Person that has not been obtained in order for such Grantor to grant the security interest granted hereunder in such Grantor’s right, title or interest in or to such Intellectual Property License. </w:t>
      </w:r>
    </w:p>
    <w:p>
      <w:pPr>
        <w:pStyle w:val="TextBody"/>
        <w:bidi w:val="0"/>
        <w:spacing w:before="120" w:after="0"/>
        <w:jc w:val="left"/>
        <w:rPr>
          <w:rFonts w:ascii="Times New Roman" w:hAnsi="Times New Roman"/>
          <w:sz w:val="20"/>
        </w:rPr>
      </w:pPr>
      <w:r>
        <w:rPr>
          <w:rFonts w:ascii="Times New Roman" w:hAnsi="Times New Roman"/>
          <w:sz w:val="20"/>
        </w:rPr>
        <w:t xml:space="preserve">(l) As to all limited liability company or partnership interests, issued under any Pledged Operating Agreement or Pledged Partnership Agreement, as applicable, each Grantor hereby represents and warrants that the Pledged Interests issued pursuant to such agreement (A) are not dealt in or traded on securities exchanges or in securities markets, (B) do not constitute investment company securities, and (C) are not held by such Grantor in a Securities Account. The Pledged Operating Agreements restrict any Pledged Interests issued under such Pledged Operating Agreement from being governed by Article 8 of the Uniform Commercial Code in effect in any relevant jurisdiction, so long as any such Pledged Interests remain pledged, unless the Agent otherwise consents. In addition, none of the Pledged Partnership Agreements, or any other agreements governing any of the Pledged Interests issued under any Pledged Partnership Agreement, provide that such Pledged Interests are securities governed by Article 8 of the Uniform Commercial Code as in effect in any relevant jurisdiction. No Grantor shall take any action to cause any limited liability company interests, membership interests or partnership interests comprising Pledged Collateral to be or become a “security” within the meaning of Article 8 of the Uniform Commercial Code as in effect in any relevant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w:t>
      </w:r>
      <w:r>
        <w:rPr>
          <w:rFonts w:ascii="Times New Roman" w:hAnsi="Times New Roman"/>
          <w:sz w:val="20"/>
        </w:rPr>
        <w:t xml:space="preserve">. Each Grantor, jointly and severally, covenants and agrees with Agent that from and after the date of this Agreement and until the date of termination of this Agreement in accordance with Section 23: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Possession of Collateral</w:t>
      </w:r>
      <w:r>
        <w:rPr>
          <w:rFonts w:ascii="Times New Roman" w:hAnsi="Times New Roman"/>
          <w:sz w:val="20"/>
        </w:rPr>
        <w:t xml:space="preserve">. In the event that any Collateral, including Proceeds, is evidenced by or consists of Negotiable Collateral, Investment Property, or Chattel Paper having an aggregate value or face amount of $250,000 or more for all such Negotiable Collateral, Investment Property, or Chattel Paper, the Grantors shall promptly (and in any event within five (5) Business Days after acquisition thereof), notify Agent thereof, and if and to the extent that perfection or priority of Agent’s Security Interest is dependent on or enhanced by possession, the applicable Grantor, promptly (and in any event within five (5) Business Days) after request by Agent, shall execute such other documents and instruments as shall be requested by Agent or, if applicable, endorse and deliver physical possession of such Negotiable Collateral, Investment Property, or Chattel Paper to Agent, together with such undated powers (or other relevant document of transfer acceptable to Agent) endorsed in blank as shall be requested by Agent, and shall do such other acts or things deemed necessary or desirable by Agent to protect Agent’s Security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Chattel Paper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Grantor shall notify Agent, and promptly after request by Agent, shall take all steps reasonably necessary to grant Agent control of all Electronic Chattel Paper in accordance with the Code and all “transferable records” as that term is defined in Section 16 of the Uniform Electronic Transaction Act and Section 201 of the federal Electronic Signatures in Global and National Commerce Act as in effect in any relevant jurisdiction, to the extent that the aggregate value or face amount of such Electronic Chattel Paper equals or exceeds $250,000; </w:t>
      </w:r>
    </w:p>
    <w:p>
      <w:pPr>
        <w:pStyle w:val="TextBody"/>
        <w:bidi w:val="0"/>
        <w:spacing w:before="120" w:after="0"/>
        <w:jc w:val="left"/>
        <w:rPr>
          <w:rFonts w:ascii="Times New Roman" w:hAnsi="Times New Roman"/>
          <w:sz w:val="20"/>
        </w:rPr>
      </w:pPr>
      <w:r>
        <w:rPr>
          <w:rFonts w:ascii="Times New Roman" w:hAnsi="Times New Roman"/>
          <w:sz w:val="20"/>
        </w:rPr>
        <w:t xml:space="preserve">(ii) If any Grantor retains possession of any Chattel Paper or instruments (which retention of possession shall be subject to the extent permitted hereby and by the Credit Agreement), Grantor shall notify Agent, and promptly upon the request of Agent, such Chattel Paper and instruments shall be marked with the following legend: “This writing and the obligations evidenced or secured hereby are subject to the Security Interest of HSBC Bank USA, National Association, as Agent for the benefit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Letter-of-Credit Rights</w:t>
      </w:r>
      <w:r>
        <w:rPr>
          <w:rFonts w:ascii="Times New Roman" w:hAnsi="Times New Roman"/>
          <w:sz w:val="20"/>
        </w:rPr>
        <w:t xml:space="preserve">. If the Grantors (or any of them) are or become the beneficiary of letters of credit having a face amount or value of $250,000 or more in the aggregate (other than the letters of credit set forth on </w:t>
      </w:r>
      <w:r>
        <w:rPr>
          <w:rFonts w:ascii="Times New Roman" w:hAnsi="Times New Roman"/>
          <w:sz w:val="20"/>
          <w:u w:val="single"/>
        </w:rPr>
        <w:t>Schedule 10</w:t>
      </w:r>
      <w:r>
        <w:rPr>
          <w:rFonts w:ascii="Times New Roman" w:hAnsi="Times New Roman"/>
          <w:sz w:val="20"/>
        </w:rPr>
        <w:t xml:space="preserve">), then the applicable Grantor or Grantors shall promptly (and in any event within five (5) Business Days after becoming a beneficiary), notify Agent thereof and, promptly (and in any event within five (5) Business Days) after request by Agent, enter into a tri-party agreement with Agent and the issuer or confirming bank with respect to letter-of-credit rights assigning such letter-of-credit rights to Agent and directing all payments thereunder to Agent’s Account, all in form and substance reasonably satisfactory to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Commercial Tort Claims</w:t>
      </w:r>
      <w:r>
        <w:rPr>
          <w:rFonts w:ascii="Times New Roman" w:hAnsi="Times New Roman"/>
          <w:sz w:val="20"/>
        </w:rPr>
        <w:t xml:space="preserve">. If the Grantors (or any of them) obtain Commercial Tort Claims having a value, or involving an asserted claim, in the amount of $250,000 or more in the aggregate for all Commercial Tort Claims, then the applicable Grantor or Grantors shall promptly (and in any event within five (5) Business Days of obtaining such Commercial Tort Claim), notify Agent upon incurring or otherwise obtaining such Commercial Tort Claims and, promptly (and in any event within five (5) Business Days) after request by Agent, amend </w:t>
      </w:r>
      <w:r>
        <w:rPr>
          <w:rFonts w:ascii="Times New Roman" w:hAnsi="Times New Roman"/>
          <w:sz w:val="20"/>
          <w:u w:val="single"/>
        </w:rPr>
        <w:t>Schedule 1</w:t>
      </w:r>
      <w:r>
        <w:rPr>
          <w:rFonts w:ascii="Times New Roman" w:hAnsi="Times New Roman"/>
          <w:sz w:val="20"/>
        </w:rPr>
        <w:t xml:space="preserve"> to describe such Commercial Tort Claims in a manner that reasonably identifies such Commercial Tort Claims and which is otherwise reasonably satisfactory to Agent, and hereby authorizes the filing of additional financing statements or amendments to existing financing statements describing such Commercial Tort Claims, and agrees to do such other acts or things deemed necessary or desirable by Agent to give Agent a first priority, perfected security interest in any such Commercial Tort Claim;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Government Contracts</w:t>
      </w:r>
      <w:r>
        <w:rPr>
          <w:rFonts w:ascii="Times New Roman" w:hAnsi="Times New Roman"/>
          <w:sz w:val="20"/>
        </w:rPr>
        <w:t xml:space="preserve">. Other than Accounts and Chattel Paper the aggregate value of which does not at any one time exceed $250,000, if any Account or Chattel Paper arises out of a contract or contracts with the United States of America or any department, agency, or instrumentality thereof, Grantors shall promptly (and in any event within five (5) Business Days of the creation thereof) notify Agent thereof and, promptly (and in any event within five (5) Business Days) after request by Agent, execute any instruments or take any steps reasonably required by Agent in order that all moneys due or to become due under such contract or contracts shall be collaterally assigned to Agent, for the benefit of the Lenders, and shall provide written notice thereof under the Assignment of Claims Act or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Upon the request of Agent, in order to facilitate filings with the PTO and the United States Copyright Office, each Grantor shall execute and deliver to Agent one or more Copyright Security Agreements, Trademark Security Agreements, or Patent Security Agreements to further evidence Agent’s Lien on such Grantor’s Patents, Trademarks, or Copyrights, and the General Intangibles of such Grantor relating thereto or represented thereby; </w:t>
      </w:r>
    </w:p>
    <w:p>
      <w:pPr>
        <w:pStyle w:val="TextBody"/>
        <w:bidi w:val="0"/>
        <w:spacing w:before="120" w:after="0"/>
        <w:jc w:val="left"/>
        <w:rPr>
          <w:rFonts w:ascii="Times New Roman" w:hAnsi="Times New Roman"/>
          <w:sz w:val="20"/>
        </w:rPr>
      </w:pPr>
      <w:r>
        <w:rPr>
          <w:rFonts w:ascii="Times New Roman" w:hAnsi="Times New Roman"/>
          <w:sz w:val="20"/>
        </w:rPr>
        <w:t xml:space="preserve">(ii) Each Grantor shall have the duty, with respect to Intellectual Property that is necessary in or material to the conduct of such Grantor’s business, to protect and diligently enforce and defend at such Grantor’s expense its Intellectual Property, including (A) to diligently enforce and defend, including promptly suing for infringement, misappropriation, or dilution and to recover any and all damages for such infringement, misappropriation, or dilution, and filing for opposition, interference, and cancellation against conflicting Intellectual Property rights of any Person, (B) to prosecute diligently any trademark application or service mark application that is part of the Trademarks pending as of the date hereof or hereafter until the termination of this Agreement, (C) to prosecute diligently any patent application that is part of the Patents pending as of the date hereof or hereafter until the termination of this Agreement, (D) to take all reasonable and necessary action to preserve and maintain all of such Grantor’s Trademarks, Patents, Copyrights, Intellectual Property Licenses, and its rights therein, including paying all maintenance fees and filing of applications for renewal, affidavits of use, and affidavits of noncontestability, and (E) to require all employees, consultants, and contractors of each Grantor who were involved in the creation or development of such Intellectual Property to sign agreements containing assignment of Intellectual Property rights and obligations of confidentiality. Each Grantor further agrees not to abandon any Intellectual Property or Intellectual Property License that is necessary in or material to the conduct of such Grantor’s business. Each Grantor hereby agrees to take the steps described in this </w:t>
      </w:r>
      <w:r>
        <w:rPr>
          <w:rFonts w:ascii="Times New Roman" w:hAnsi="Times New Roman"/>
          <w:sz w:val="20"/>
          <w:u w:val="single"/>
        </w:rPr>
        <w:t>Section 7(f)(ii)</w:t>
      </w:r>
      <w:r>
        <w:rPr>
          <w:rFonts w:ascii="Times New Roman" w:hAnsi="Times New Roman"/>
          <w:sz w:val="20"/>
        </w:rPr>
        <w:t xml:space="preserve"> with respect to all new or acquired Intellectual Property to which it or any of its Subsidiaries is now or later becomes entitled that is necessary in or material to the conduct of such Grantor’s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Grantors acknowledge and agree that the Agent and the Lenders shall have no duties with respect to any Intellectual Property or Intellectual Property Licenses of any Grantor. Without limiting the generality of this </w:t>
      </w:r>
      <w:r>
        <w:rPr>
          <w:rFonts w:ascii="Times New Roman" w:hAnsi="Times New Roman"/>
          <w:sz w:val="20"/>
          <w:u w:val="single"/>
        </w:rPr>
        <w:t>Section 7(f)(iii)</w:t>
      </w:r>
      <w:r>
        <w:rPr>
          <w:rFonts w:ascii="Times New Roman" w:hAnsi="Times New Roman"/>
          <w:sz w:val="20"/>
        </w:rPr>
        <w:t xml:space="preserve">, Grantors acknowledge and agree that neither the Agent nor any Lender shall be under any obligation to take any steps necessary to preserve rights in the Collateral consisting of Intellectual Property or Intellectual Property Licenses against any other Person, but the Agent or any Lender may do so at its option from and after the occurrence and during the continuance of an Event of Default, and all expenses incurred in connection therewith (including reasonable fees and expenses of attorneys and other professionals) shall be for the sole account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(iv) Anything to the contrary in this Agreement notwithstanding, in no event shall any Grantor, either itself or through any agent, employee, licensee, or designee, file an application for the registration of any Copyright with the United States Copyright Office or any similar office or agency in another country without giving Agent written notice thereof at least five (5) Business Days prior to such filing and complying with </w:t>
      </w:r>
      <w:r>
        <w:rPr>
          <w:rFonts w:ascii="Times New Roman" w:hAnsi="Times New Roman"/>
          <w:sz w:val="20"/>
          <w:u w:val="single"/>
        </w:rPr>
        <w:t>Section 7(f)(i)</w:t>
      </w:r>
      <w:r>
        <w:rPr>
          <w:rFonts w:ascii="Times New Roman" w:hAnsi="Times New Roman"/>
          <w:sz w:val="20"/>
        </w:rPr>
        <w:t xml:space="preserve">. Upon receipt from the United States Copyright Office of notice of registration of any Copyright, each Grantor shall promptly (but in no event later than five (5) Business Days following such receipt) notify Agent of such registration by delivering, or causing to be delivered, to Agent, documentation sufficient for Agent to perfect Agent’s Liens on such Copyright. If any Grantor acquires from any Person any Copyright registered with the United States Copyright Office or an application to register any Copyright with the United States Copyright Office, such Grantor shall promptly (but in no event later than five (5) Business Days following such acquisition) notify Agent of such acquisition and deliver, or cause to be delivered, to Agent, documentation sufficient for Agent to perfect Agent’s Liens on such Copyright. In the case of such Copyright registrations or applications therefor which were acquired by any Grantor, each such Grantor shall promptly (but in no event later than five (5) Business Days following such acquisition) file the necessary documents with the appropriate Governmental Authority identifying the applicable Grantor as the owner (or as a co-owner thereof, if such is the case) of such Copyrights; </w:t>
      </w:r>
    </w:p>
    <w:p>
      <w:pPr>
        <w:pStyle w:val="TextBody"/>
        <w:bidi w:val="0"/>
        <w:spacing w:before="120" w:after="0"/>
        <w:jc w:val="left"/>
        <w:rPr>
          <w:rFonts w:ascii="Times New Roman" w:hAnsi="Times New Roman"/>
          <w:sz w:val="20"/>
        </w:rPr>
      </w:pPr>
      <w:r>
        <w:rPr>
          <w:rFonts w:ascii="Times New Roman" w:hAnsi="Times New Roman"/>
          <w:sz w:val="20"/>
        </w:rPr>
        <w:t xml:space="preserve">(v) Each Grantor shall take reasonable steps to maintain the confidentiality of, and otherwise protect and enforce its rights in, the Intellectual Property that is necessary in or material to the conduct of such Grantor’s business, including, as applicable (A) protecting the secrecy and confidentiality of its confidential information and trade secrets by having and enforcing a policy requiring all current employees, consultants, licensees, vendors and contractors with access to such information to execute appropriate confidentiality agreements; (B) taking actions reasonably necessary to ensure that no trade secret falls into the public domain; and (C) protecting the secrecy and confidentiality of the source code of all software programs and applications of which it is the owner or licensee by having and enforcing a policy requiring any licensees (or sublicensees) of such source code to enter into license agreements with commercially reasonable use and non-disclosure restrictions; and </w:t>
      </w:r>
    </w:p>
    <w:p>
      <w:pPr>
        <w:pStyle w:val="TextBody"/>
        <w:bidi w:val="0"/>
        <w:spacing w:before="120" w:after="0"/>
        <w:jc w:val="left"/>
        <w:rPr>
          <w:rFonts w:ascii="Times New Roman" w:hAnsi="Times New Roman"/>
          <w:sz w:val="20"/>
        </w:rPr>
      </w:pPr>
      <w:r>
        <w:rPr>
          <w:rFonts w:ascii="Times New Roman" w:hAnsi="Times New Roman"/>
          <w:sz w:val="20"/>
        </w:rPr>
        <w:t xml:space="preserve">(vi) No Grantor shall enter into any Intellectual Property License material to the conduct of the business to receive any license or rights in any Intellectual Property of any other Person unless such Grantor has used commercially reasonable efforts to permit the collateral assignment of or grant of a security interest in such Intellectual Property License (and all rights of Grantor thereunder) to Agent (and any transferees of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Investment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any Grantor shall acquire, obtain, receive or become entitled to receive any Pledged Interests after the Closing Date, it shall promptly (and in any event within five (5) Business Days of acquiring or obtaining such Collateral) deliver to Agent a duly executed Pledged Interests Addendum identifying such Pledged Interests; </w:t>
      </w:r>
    </w:p>
    <w:p>
      <w:pPr>
        <w:pStyle w:val="TextBody"/>
        <w:bidi w:val="0"/>
        <w:spacing w:before="120" w:after="0"/>
        <w:jc w:val="left"/>
        <w:rPr>
          <w:rFonts w:ascii="Times New Roman" w:hAnsi="Times New Roman"/>
          <w:sz w:val="20"/>
        </w:rPr>
      </w:pPr>
      <w:r>
        <w:rPr>
          <w:rFonts w:ascii="Times New Roman" w:hAnsi="Times New Roman"/>
          <w:sz w:val="20"/>
        </w:rPr>
        <w:t xml:space="preserve">(ii) Upon the occurrence and during the continuance of an Event of Default, following the request of Agent, all sums of money and property paid or distributed in respect of the Investment Property that are received by any Grantor shall be held by the Grantors in trust for the benefit of Agent segregated from such Grantor’s other property, and such Grantor shall deliver it forthwith to Agent in the exact form received; </w:t>
      </w:r>
    </w:p>
    <w:p>
      <w:pPr>
        <w:pStyle w:val="TextBody"/>
        <w:bidi w:val="0"/>
        <w:spacing w:before="120" w:after="0"/>
        <w:jc w:val="left"/>
        <w:rPr>
          <w:rFonts w:ascii="Times New Roman" w:hAnsi="Times New Roman"/>
          <w:sz w:val="20"/>
        </w:rPr>
      </w:pPr>
      <w:r>
        <w:rPr>
          <w:rFonts w:ascii="Times New Roman" w:hAnsi="Times New Roman"/>
          <w:sz w:val="20"/>
        </w:rPr>
        <w:t xml:space="preserve">(iii) Each Grantor shall promptly deliver to Agent a copy of each material notice or other material communication received by it in respect of any Pledged Interests; </w:t>
      </w:r>
    </w:p>
    <w:p>
      <w:pPr>
        <w:pStyle w:val="TextBody"/>
        <w:bidi w:val="0"/>
        <w:spacing w:before="120" w:after="0"/>
        <w:jc w:val="left"/>
        <w:rPr>
          <w:rFonts w:ascii="Times New Roman" w:hAnsi="Times New Roman"/>
          <w:sz w:val="20"/>
        </w:rPr>
      </w:pPr>
      <w:r>
        <w:rPr>
          <w:rFonts w:ascii="Times New Roman" w:hAnsi="Times New Roman"/>
          <w:sz w:val="20"/>
        </w:rPr>
        <w:t xml:space="preserve">(iv) No Grantor shall make or consent to any amendment or other modification or waiver with respect to any Pledged Interests, Pledged Operating Agreement, or Pledged Partnership Agreement, or enter into any agreement or permit to exist any restriction with respect to any Pledged Interests if the same is prohibited pursuant to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(v) Each Grantor agrees that it will cooperate with Agent in obtaining all necessary approvals and making all necessary filings under federal, state, local, or foreign law to effect the perfection of the Security Interest on the Investment Property or to effect any sale or transfer thereof; </w:t>
      </w:r>
    </w:p>
    <w:p>
      <w:pPr>
        <w:pStyle w:val="TextBody"/>
        <w:bidi w:val="0"/>
        <w:spacing w:before="120" w:after="0"/>
        <w:jc w:val="left"/>
        <w:rPr>
          <w:rFonts w:ascii="Times New Roman" w:hAnsi="Times New Roman"/>
          <w:sz w:val="20"/>
        </w:rPr>
      </w:pPr>
      <w:r>
        <w:rPr>
          <w:rFonts w:ascii="Times New Roman" w:hAnsi="Times New Roman"/>
          <w:sz w:val="20"/>
        </w:rPr>
        <w:t xml:space="preserve">(vi) As to all limited liability company or partnership interests, issued under any Pledged Operating Agreement or Pledged Partnership Agreement, each Grantor hereby covenants that the Pledged Interests issued pursuant to such agreement (A) are not and shall not be dealt in or traded on securities exchanges or in securities markets, (B) do not and will not constitute investment company securities, and (C) are not and will not be held by such Grantor in a securities account. In addition, none of the Pledged Operating Agreements, the Pledged Partnership Agreements, or any other agreements governing any of the Pledged Interests issued under any Pledged Operating Agreement or Pledged Partnership Agreement, provide or shall provide that such Pledged Interests, in each case, are securities governed by Article 8 of the Uniform Commercial Code as in effect in any relevant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Fixtures</w:t>
      </w:r>
      <w:r>
        <w:rPr>
          <w:rFonts w:ascii="Times New Roman" w:hAnsi="Times New Roman"/>
          <w:sz w:val="20"/>
        </w:rPr>
        <w:t xml:space="preserve">. Each Grantor acknowledges and agrees that, to the extent permitted by Applicable Law, all of the Collateral shall remain personal property regardless of the manner of its attachment or affixation to any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Transfers and Other Liens</w:t>
      </w:r>
      <w:r>
        <w:rPr>
          <w:rFonts w:ascii="Times New Roman" w:hAnsi="Times New Roman"/>
          <w:sz w:val="20"/>
        </w:rPr>
        <w:t xml:space="preserve">. Grantors shall not (i) sell, assign (by operation of law or otherwise) or otherwise dispose of, or grant any option with respect to, any of the Collateral, except as expressly permitted by the Credit Agreement, or (ii) create or permit to exist any Lien upon or with respect to any of the Collateral of any Grantor, except for Permitted Liens. The inclusion of Proceeds in the Collateral shall not be deemed to constitute Agent’s consent to any sale or other disposition of any of the Collateral except as expressly permitted in this Agreement or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Collateral Access Agreements</w:t>
      </w:r>
      <w:r>
        <w:rPr>
          <w:rFonts w:ascii="Times New Roman" w:hAnsi="Times New Roman"/>
          <w:sz w:val="20"/>
        </w:rPr>
        <w:t xml:space="preserve">. Upon request of Agent, each of the Grantors shall use commercially reasonable efforts to cause to be delivered to Agent a Collateral Access Agreement with respect to (a) each bailee with which such Grantor keeps Collateral as of the Closing Date with a fair market value in excess of $100,000 in fair market value, with the name of such bailee, the address of such location and a brief description of the Collateral set forth on Schedule 11 and (b) each landlord which leases real property (and the accompanying facilities) to any of the Grantors as of the Closing Date where the value of Collateral of Grantors located at such leased real property is in excess of $100,000 in fair market value, with the name of such landlord, the address of such location and a brief description of the Collateral set forth on </w:t>
      </w:r>
      <w:r>
        <w:rPr>
          <w:rFonts w:ascii="Times New Roman" w:hAnsi="Times New Roman"/>
          <w:sz w:val="20"/>
          <w:u w:val="single"/>
        </w:rPr>
        <w:t>Schedule 12</w:t>
      </w:r>
      <w:r>
        <w:rPr>
          <w:rFonts w:ascii="Times New Roman" w:hAnsi="Times New Roman"/>
          <w:sz w:val="20"/>
        </w:rPr>
        <w:t xml:space="preserve">. If any Grantor shall cause to be delivered Collateral in excess of $100,000 in fair market value to any bailee after the Closing Date, upon request of Agent, such Grantor shall use commercially reasonable efforts to cause such bailee to sign a Collateral Access Agreement. Such requirement may be waived at the option of Agent. If any Grantor shall lease any real property or facilities and the value of Collateral of such Grantor located at such leased real property is in excess of $100,000 in fair market value after the Closing Date, upon request of Agent, such Grantor shall use commercially reasonable efforts to cause the landlord in respect of such leased property or facilities to sign a Collateral Access Agreement. Such requirement may be waived at the option of Agent;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Name, Etc</w:t>
      </w:r>
      <w:r>
        <w:rPr>
          <w:rFonts w:ascii="Times New Roman" w:hAnsi="Times New Roman"/>
          <w:sz w:val="20"/>
        </w:rPr>
        <w:t xml:space="preserve">. No Grantor will, nor will any Grantor permit any of its Subsidiaries to, change its name, organizational identification number, jurisdiction of organization or organizational identity; provided that Grantor or any of its Subsidiaries may change its name upon at least 10 days’ prior written notice to Agent of such change; and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Motor Vehicles</w:t>
      </w:r>
      <w:r>
        <w:rPr>
          <w:rFonts w:ascii="Times New Roman" w:hAnsi="Times New Roman"/>
          <w:sz w:val="20"/>
        </w:rPr>
        <w:t xml:space="preserve">. No Grantor will pledge, encumber or grant a security interest in any motor vehicles now or hereafter owned by such Grantor (other than pursuant to </w:t>
      </w:r>
      <w:r>
        <w:rPr>
          <w:rFonts w:ascii="Times New Roman" w:hAnsi="Times New Roman"/>
          <w:sz w:val="20"/>
          <w:u w:val="single"/>
        </w:rPr>
        <w:t>Section 6.01(e)</w:t>
      </w:r>
      <w:r>
        <w:rPr>
          <w:rFonts w:ascii="Times New Roman" w:hAnsi="Times New Roman"/>
          <w:sz w:val="20"/>
        </w:rPr>
        <w:t xml:space="preserve"> of the Credit Agreement). Promptly (and in any event within five (5) Business Days) after request by Agent following the occurrence and during the continuance of an Event of Default, with respect to all goods covered by a certificate of title owned by any Grantor, Grantors shall deliver to Agent or Agent’s designee, (i) a schedule setting forth all such goods owned by the Grantors, by model, year and vehicle identification number and (ii) the certificates of title for all such goods, and shall take all actions necessary to cause such certificates to be filed (with the Agent’s Lien noted thereon) in the appropriate state motor vehicle filing office. </w:t>
      </w:r>
    </w:p>
    <w:p>
      <w:pPr>
        <w:pStyle w:val="TextBody"/>
        <w:bidi w:val="0"/>
        <w:spacing w:before="240" w:after="0"/>
        <w:jc w:val="left"/>
        <w:rPr>
          <w:rFonts w:ascii="Times New Roman" w:hAnsi="Times New Roman"/>
          <w:sz w:val="20"/>
        </w:rPr>
      </w:pPr>
      <w:r>
        <w:rPr>
          <w:rFonts w:ascii="Times New Roman" w:hAnsi="Times New Roman"/>
          <w:sz w:val="20"/>
        </w:rPr>
        <w:t xml:space="preserve">Grantor shall notify Agent, and promptly after request by Agent, provide such further information as Agent may reasonably request upon such notification.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Relation to Other Security Documents</w:t>
      </w:r>
      <w:r>
        <w:rPr>
          <w:rFonts w:ascii="Times New Roman" w:hAnsi="Times New Roman"/>
          <w:sz w:val="20"/>
        </w:rPr>
        <w:t xml:space="preserve">. The provisions of this Agreement shall be read and construed with the other Loan Documents referred to below in the manner so indicated.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Credit Agreement</w:t>
      </w:r>
      <w:r>
        <w:rPr>
          <w:rFonts w:ascii="Times New Roman" w:hAnsi="Times New Roman"/>
          <w:sz w:val="20"/>
        </w:rPr>
        <w:t xml:space="preserve">. In the event of any conflict between any provision in this Agreement and a provision in the Credit Agreement, such provision of the Credit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Patent, Trademark, Copyright Security Agreements</w:t>
      </w:r>
      <w:r>
        <w:rPr>
          <w:rFonts w:ascii="Times New Roman" w:hAnsi="Times New Roman"/>
          <w:sz w:val="20"/>
        </w:rPr>
        <w:t xml:space="preserve">. The provisions of the Copyright Security Agreements, Trademark Security Agreements, and Patent Security Agreements are supplemental to the provisions of this Agreement, and nothing contained in the Copyright Security Agreements, Trademark Security Agreements, or the Patent Security Agreements shall limit any of the rights or remedies of Agent hereunder. In the event of any conflict between any provision in this Agreement and a provision in a Copyright Security Agreement, Trademark Security Agreement or Patent Security Agreement, such provision of this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Grantor agrees that from time to time, at its own expense, such Grantor will promptly execute and deliver all further instruments and documents, and take all further action, that Agent may reasonably request, in order to perfect and protect the Security Interest granted hereby, to create, perfect or protect the Security Interest purported to be granted hereby or to enable Agent to exercise and enforce its rights and remedies hereunder with respect to any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(b) Each Grantor authorizes the filing by Agent of financing or continuation statements, or amendments thereto, and such Grantor will execute and deliver to Agent such other instruments or notices, as Agent may reasonably request, in order to perfect and preserve the Security Interest granted or purported to be granted hereby. </w:t>
      </w:r>
    </w:p>
    <w:p>
      <w:pPr>
        <w:pStyle w:val="TextBody"/>
        <w:bidi w:val="0"/>
        <w:spacing w:before="120" w:after="0"/>
        <w:jc w:val="left"/>
        <w:rPr>
          <w:rFonts w:ascii="Times New Roman" w:hAnsi="Times New Roman"/>
          <w:sz w:val="20"/>
        </w:rPr>
      </w:pPr>
      <w:r>
        <w:rPr>
          <w:rFonts w:ascii="Times New Roman" w:hAnsi="Times New Roman"/>
          <w:sz w:val="20"/>
        </w:rPr>
        <w:t xml:space="preserve">(c) Each Grantor authorizes Agent at any time and from time to time to file any of the financing statements which must be filed to perfect or continue to perfect, maintain the priority of or provide notice of the Agent’s Lien in the Collateral. Each Grantor also hereby ratifies any and all financing statements or amendments previously filed by Agent in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(d) Each Grantor acknowledges that it is not authorized to file any financing statement or amendment or termination statement with respect to any financing statement filed in connection with this Agreement without the prior written consent of Agent, subject to such Grantor’s rights under Section 9-509(d)(2) of the Code.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Agent’s Right to Perform Contracts, Exercise Rights, etc</w:t>
      </w:r>
      <w:r>
        <w:rPr>
          <w:rFonts w:ascii="Times New Roman" w:hAnsi="Times New Roman"/>
          <w:sz w:val="20"/>
        </w:rPr>
        <w:t xml:space="preserve">. Upon the occurrence and during the continuance of an Event of Default, Agent (or its designee) (a) may proceed to perform any and all of the obligations of any Grantor contained in any contract, lease, or other agreement and exercise any and all rights of any Grantor therein contained as fully as such Grantor itself could, (b) shall have the right to use any Grantor’s rights under Intellectual Property Licenses in connection with the enforcement of Agent’s rights hereunder, including the right to prepare for sale and sell any and all Inventory and Equipment now or hereafter owned by any Grantor and now or hereafter covered by such licenses, and (c) shall have the right to request that any Equity Interests that are pledged hereunder be registered in the name of Agent or any of its nominees.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Agent Appointed Attorney-in-Fact</w:t>
      </w:r>
      <w:r>
        <w:rPr>
          <w:rFonts w:ascii="Times New Roman" w:hAnsi="Times New Roman"/>
          <w:sz w:val="20"/>
        </w:rPr>
        <w:t xml:space="preserve">. Each Grantor hereby irrevocably appoints Agent its attorney-in-fact, with full authority in the place and stead of such Grantor and in the name of such Grantor or otherwise, at such time as an Event of Default has occurred and is continuing under the Credit Agreement, to take any action and to execute any instrument which Agent may reasonably deem necessary or advisable to accomplish the purposes of this Agreement, including: </w:t>
      </w:r>
    </w:p>
    <w:p>
      <w:pPr>
        <w:pStyle w:val="TextBody"/>
        <w:bidi w:val="0"/>
        <w:spacing w:before="120" w:after="0"/>
        <w:jc w:val="left"/>
        <w:rPr>
          <w:rFonts w:ascii="Times New Roman" w:hAnsi="Times New Roman"/>
          <w:sz w:val="20"/>
        </w:rPr>
      </w:pPr>
      <w:r>
        <w:rPr>
          <w:rFonts w:ascii="Times New Roman" w:hAnsi="Times New Roman"/>
          <w:sz w:val="20"/>
        </w:rPr>
        <w:t xml:space="preserve">(a) to ask, demand, collect, sue for, recover, compromise, receive and give acquittance and receipts for moneys due and to become due under or in connection with the Accounts or any other Collateral of such Grantor; </w:t>
      </w:r>
    </w:p>
    <w:p>
      <w:pPr>
        <w:pStyle w:val="TextBody"/>
        <w:bidi w:val="0"/>
        <w:spacing w:before="120" w:after="0"/>
        <w:jc w:val="left"/>
        <w:rPr>
          <w:rFonts w:ascii="Times New Roman" w:hAnsi="Times New Roman"/>
          <w:sz w:val="20"/>
        </w:rPr>
      </w:pPr>
      <w:r>
        <w:rPr>
          <w:rFonts w:ascii="Times New Roman" w:hAnsi="Times New Roman"/>
          <w:sz w:val="20"/>
        </w:rPr>
        <w:t xml:space="preserve">(b) to receive and open all mail addressed to such Grantor and to notify postal authorities to change the address for the delivery of mail to such Grantor to that of Agent; </w:t>
      </w:r>
    </w:p>
    <w:p>
      <w:pPr>
        <w:pStyle w:val="TextBody"/>
        <w:bidi w:val="0"/>
        <w:spacing w:before="120" w:after="0"/>
        <w:jc w:val="left"/>
        <w:rPr>
          <w:rFonts w:ascii="Times New Roman" w:hAnsi="Times New Roman"/>
          <w:sz w:val="20"/>
        </w:rPr>
      </w:pPr>
      <w:r>
        <w:rPr>
          <w:rFonts w:ascii="Times New Roman" w:hAnsi="Times New Roman"/>
          <w:sz w:val="20"/>
        </w:rPr>
        <w:t xml:space="preserve">(c) to receive, indorse, and collect any drafts or other instruments, documents, Negotiable Collateral or Chattel Paper; </w:t>
      </w:r>
    </w:p>
    <w:p>
      <w:pPr>
        <w:pStyle w:val="TextBody"/>
        <w:bidi w:val="0"/>
        <w:spacing w:before="120" w:after="0"/>
        <w:jc w:val="left"/>
        <w:rPr>
          <w:rFonts w:ascii="Times New Roman" w:hAnsi="Times New Roman"/>
          <w:sz w:val="20"/>
        </w:rPr>
      </w:pPr>
      <w:r>
        <w:rPr>
          <w:rFonts w:ascii="Times New Roman" w:hAnsi="Times New Roman"/>
          <w:sz w:val="20"/>
        </w:rPr>
        <w:t xml:space="preserve">(d) to file any claims or take any action or institute any proceedings which Agent may deem necessary or desirable for the collection of any of the Collateral of such Grantor or otherwise to enforce the rights of Agent with respect to any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(e) to repair, alter, or supply goods, if any, necessary to fulfill in whole or in part the purchase order of any Person obligated to such Grantor in respect of any Account of such Grantor; </w:t>
      </w:r>
    </w:p>
    <w:p>
      <w:pPr>
        <w:pStyle w:val="TextBody"/>
        <w:bidi w:val="0"/>
        <w:spacing w:before="120" w:after="0"/>
        <w:jc w:val="left"/>
        <w:rPr>
          <w:rFonts w:ascii="Times New Roman" w:hAnsi="Times New Roman"/>
          <w:sz w:val="20"/>
        </w:rPr>
      </w:pPr>
      <w:r>
        <w:rPr>
          <w:rFonts w:ascii="Times New Roman" w:hAnsi="Times New Roman"/>
          <w:sz w:val="20"/>
        </w:rPr>
        <w:t xml:space="preserve">(f) to use any Intellectual Property or Intellectual Property Licenses of such Grantor, including but not limited to any labels, Patents, Trademarks, trade names, URLs, domain names, industrial designs, Copyrights, or advertising matter, in preparing for sale, advertising for sale, or selling Inventory or other Collateral and to collect any amounts due under Accounts, contracts or Negotiable Collateral of such Grantor; and </w:t>
      </w:r>
    </w:p>
    <w:p>
      <w:pPr>
        <w:pStyle w:val="TextBody"/>
        <w:bidi w:val="0"/>
        <w:spacing w:before="120" w:after="0"/>
        <w:jc w:val="left"/>
        <w:rPr>
          <w:rFonts w:ascii="Times New Roman" w:hAnsi="Times New Roman"/>
          <w:sz w:val="20"/>
        </w:rPr>
      </w:pPr>
      <w:r>
        <w:rPr>
          <w:rFonts w:ascii="Times New Roman" w:hAnsi="Times New Roman"/>
          <w:sz w:val="20"/>
        </w:rPr>
        <w:t xml:space="preserve">(g) Agent, on behalf of the Lenders, shall have the right, but shall not be obligated, to bring suit in its own name to enforce the Intellectual Property and Intellectual Property Licenses and, if Agent shall commence any such suit, the appropriate Grantor shall, at the request of Agent, do any and all lawful acts and execute any and all proper documents reasonably required by Agent in aid of such enforcement.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Applicable Law, each Grantor hereby ratifies all that such attorney-in-fact shall lawfully do or cause to be done by virtue hereof. This power of attorney is coupled with an interest and shall be irrevocable until this Agreement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Agent May Perform</w:t>
      </w:r>
      <w:r>
        <w:rPr>
          <w:rFonts w:ascii="Times New Roman" w:hAnsi="Times New Roman"/>
          <w:sz w:val="20"/>
        </w:rPr>
        <w:t xml:space="preserve">. If any Grantor fails to perform any agreement contained herein, Agent may itself perform, or cause performance of, such agreement, and the reasonable expenses of Agent incurred in connection therewith shall be payable, jointly and severally, by Grantors.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Agent’s Duties</w:t>
      </w:r>
      <w:r>
        <w:rPr>
          <w:rFonts w:ascii="Times New Roman" w:hAnsi="Times New Roman"/>
          <w:sz w:val="20"/>
        </w:rPr>
        <w:t xml:space="preserve">. The powers conferred on Agent hereunder are solely to protect Agent’s interest in the Collateral, for the benefit of the Lenders, and shall not impose any duty upon Agent to exercise any such powers. Except for the safe custody of any Collateral in its actual possession and the accounting for moneys actually received by it hereunder, Agent shall have no duty as to any Collateral or as to the taking of any necessary steps to preserve rights against prior parties or any other rights pertaining to any Collateral. Agent shall be deemed to have exercised reasonable care in the custody and preservation of any Collateral in its actual possession if such Collateral is accorded treatment substantially equal to that which Agent accords its own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Collection of Accounts, General Intangibles and Negotiable Collateral</w:t>
      </w:r>
      <w:r>
        <w:rPr>
          <w:rFonts w:ascii="Times New Roman" w:hAnsi="Times New Roman"/>
          <w:sz w:val="20"/>
        </w:rPr>
        <w:t xml:space="preserve">. At any time upon the occurrence and during the continuance of an Event of Default, Agent or Agent’s designee may (a) notify Account Debtors of any Grantor that the Accounts, General Intangibles, Chattel Paper or Negotiable Collateral of such Grantor have been assigned to Agent, for the benefit of the Lenders, or that Agent has a security interest therein, and (b) collect the Accounts, General Intangibles and Negotiable Collateral of any Grantor directly, and any collection costs and expenses shall constitute part of such Grantor’s Secured Obligations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Disposition of Pledged Interests by Agent</w:t>
      </w:r>
      <w:r>
        <w:rPr>
          <w:rFonts w:ascii="Times New Roman" w:hAnsi="Times New Roman"/>
          <w:sz w:val="20"/>
        </w:rPr>
        <w:t xml:space="preserve">. None of the Pledged Interests existing as of the date of this Agreement are, and none of the Pledged Interests hereafter acquired on the date of acquisition thereof will be, registered or qualified under the various federal or state securities laws of the United States and disposition thereof after the occurrence and during the continuance of an Event of Default may be restricted to one or more private (instead of public) sales in view of the lack of such registration. Each Grantor understands that in connection with such disposition, Agent may approach only a restricted number of potential purchasers and further understands that a sale under such circumstances may yield a lower price for the Pledged Interests than if the Pledged Interests were registered and qualified pursuant to federal and state securities laws and sold on the open market. Each Grantor, therefore, agrees that: (a) if Agent shall, pursuant to the terms of this Agreement, sell or cause the Pledged Interests or any portion thereof to be sold at a private sale, Agent shall have the right to rely upon the advice and opinion of any nationally recognized brokerage or investment firm (but shall not be obligated to seek such advice and the failure to do so shall not be considered in determining the commercial reasonableness of such action) as to the best manner in which to offer the Pledged Interest or any portion thereof for sale and as to the best price reasonably obtainable at the private sale thereof; and (b) such reliance shall be conclusive evidence that Agent has handled the disposition in a commercially reasonable manner.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Voting and Other Rights in Respect of Pledged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occurrence and during the continuation of an Event of Default, (i) Agent may, at its option, and in addition to all rights and remedies available to Agent under any other agreement, at law, in equity, or otherwise, exercise all voting rights, or any other ownership or consensual rights (including any dividend or distribution rights) in respect of the Pledged Interests owned by such Grantor, but under no circumstances is Agent obligated by the terms of this Agreement to exercise such rights, and (ii) if Agent duly exercises its right to vote any of such Pledged Interests, each Grantor hereby appoints Agent, such Grantor’s true and lawful attorney-in-fact and irrevocable proxy to vote such Pledged Interests in any manner Agent deems advisable for or against all matters submitted or which may be submitted to a vote of shareholders, partners or members, as the case may be. The power-of-attorney and proxy granted hereby is coupled with an interest and shall be irrevocable. </w:t>
      </w:r>
    </w:p>
    <w:p>
      <w:pPr>
        <w:pStyle w:val="TextBody"/>
        <w:bidi w:val="0"/>
        <w:spacing w:before="120" w:after="0"/>
        <w:jc w:val="left"/>
        <w:rPr>
          <w:rFonts w:ascii="Times New Roman" w:hAnsi="Times New Roman"/>
          <w:sz w:val="20"/>
        </w:rPr>
      </w:pPr>
      <w:r>
        <w:rPr>
          <w:rFonts w:ascii="Times New Roman" w:hAnsi="Times New Roman"/>
          <w:sz w:val="20"/>
        </w:rPr>
        <w:t xml:space="preserve">(b) For so long as any Grantor shall have the right to vote the Pledged Interests owned by it, such Grantor covenants and agrees that it will not, without the prior written consent of Agent, vote or take any consensual action with respect to such Pledged Interests which would materially adversely affect the rights of Agent, or the other Lenders, or the value of the Pledged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Remedies</w:t>
      </w:r>
      <w:r>
        <w:rPr>
          <w:rFonts w:ascii="Times New Roman" w:hAnsi="Times New Roman"/>
          <w:sz w:val="20"/>
        </w:rPr>
        <w:t xml:space="preserve">. Upon the occurrence and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Agent may, and, at the written instruction of the Required Lenders, shall exercise in respect of the Collateral, in addition to other rights and remedies provided for herein, in the other Loan Documents, or otherwise available to it, all the rights and remedies of a secured party on default under the Code or any other Applicable Law. Without limiting the generality of the foregoing, each Grantor expressly agrees that, in any such event, Agent without demand of performance or other demand, advertisement or notice of any kind (except a notice specified below of time and place of public or private sale) to or upon any Grantor or any other Person (all and each of which demands, advertisements and notices are hereby expressly waived to the maximum extent permitted by the Code or any other Applicable Law), may take immediate possession of all or any portion of the Collateral and (i) require Grantors to, and each Grantor hereby agrees that it will at its own expense and upon request of Agent forthwith, assemble all or part of the Collateral as directed by Agent and make it available to Agent at one or more locations where such Grantor regularly maintains Inventory, and (ii) without notice except as specified below, sell the Collateral or any part thereof in one or more parcels at public or private sale, at any of Agent’s offices or elsewhere, for cash, on credit, and upon such other terms as Agent may deem commercially reasonable. Each Grantor agrees that, to the extent notification of sale shall be required by law, at least ten (10) days notification by mail to the applicable Grantor of the time and place of any public sale or the time after which any private sale is to be made shall constitute reasonable notification and specifically such notification shall constitute a reasonable “authenticated notification of disposition” within the meaning of Section 9-611 of the Code. Agent shall not be obligated to make any sale of Collateral regardless of notification of sale having been given. Agent may adjourn any public sale from time to time by announcement at the time and place fixed therefor, and such sale may, without further notice, be made at the time and place to which it was so adjourned. Each Grantor agrees that (A) the internet shall constitute a “place” for purposes of Section 9-610(b) of the Code and (B) to the extent notification of sale shall be required by law, notification by mail of the URL where a sale will occur and the time when a sale will commence at least ten (10) days prior to the sale shall constitute a reasonable notification for purposes of Section 9-611(b) of the Code. Each Grantor agrees that any sale of Collateral to a licensor pursuant to the terms of a license agreement between such licensor and a Grantor is sufficient to constitute a commercially reasonable sale (including as to method, terms, manner, and time) within the meaning of Section 9-610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Agent is hereby granted a license or other right to use, without liability for royalties or any other charge, each Grantor’s Intellectual Property, including but not limited to, any labels, Patents, Trademarks, trade names, URLs, domain names, industrial designs, Copyrights, and advertising matter, whether owned by any Grantor or with respect to which any Grantor has rights under license, sublicense, or other agreements (including any Intellectual Property License), as it pertains to the Collateral, in preparing for sale, advertising for sale and selling any Collateral, and each Grantor’s rights under all licenses and all franchise agreements shall inure to the benefit of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Agent may, in addition to other rights and remedies provided for herein, in the other Loan Documents, or otherwise available to it under Applicable Law and without the requirement of notice to or upon any Grantor or any other Person (which notice is hereby expressly waived to the maximum extent permitted by the Code or any other Applicable Law), (i) with respect to any Grantor’s Deposit Accounts in which Agent’s Liens are perfected by control under Section 9-104 of the Code, instruct the bank maintaining such Deposit Account for the applicable Grantor to pay the balance of such Deposit Account to or for the benefit of Agent, and (ii) with respect to any Grantor’s Securities Accounts in which Agent’s Liens are perfected by control under Section 9-106 of the Code, instruct the securities intermediary maintaining such Securities Account for the applicable Grantor to (A) transfer any cash in such Securities Account to or for the benefit of Agent, or (B) liquidate any financial assets in such Securities Account that are customarily sold on a recognized market and transfer the cash proceeds thereof to or for the benefit of Agent. </w:t>
      </w:r>
    </w:p>
    <w:p>
      <w:pPr>
        <w:pStyle w:val="TextBody"/>
        <w:bidi w:val="0"/>
        <w:spacing w:before="120" w:after="0"/>
        <w:jc w:val="left"/>
        <w:rPr>
          <w:rFonts w:ascii="Times New Roman" w:hAnsi="Times New Roman"/>
          <w:sz w:val="20"/>
        </w:rPr>
      </w:pPr>
      <w:r>
        <w:rPr>
          <w:rFonts w:ascii="Times New Roman" w:hAnsi="Times New Roman"/>
          <w:sz w:val="20"/>
        </w:rPr>
        <w:t xml:space="preserve">(d) Any cash held by Agent as Collateral and all cash proceeds received by Agent in respect of any sale of, collection from, or other realization upon all or any part of the Collateral shall be applied against the Secured Obligations in the order set forth in the Credit Agreement. In the event the proceeds of Collateral are insufficient to satisfy all of the Secured Obligations in full, each Grantor shall remain jointly and severally liable for any such deficiency. </w:t>
      </w:r>
    </w:p>
    <w:p>
      <w:pPr>
        <w:pStyle w:val="TextBody"/>
        <w:bidi w:val="0"/>
        <w:spacing w:before="120" w:after="0"/>
        <w:jc w:val="left"/>
        <w:rPr>
          <w:rFonts w:ascii="Times New Roman" w:hAnsi="Times New Roman"/>
          <w:sz w:val="20"/>
        </w:rPr>
      </w:pPr>
      <w:r>
        <w:rPr>
          <w:rFonts w:ascii="Times New Roman" w:hAnsi="Times New Roman"/>
          <w:sz w:val="20"/>
        </w:rPr>
        <w:t xml:space="preserve">(e) Each Grantor hereby acknowledges that the Secured Obligations arise out of a commercial transaction, and agrees that if an Event of Default shall occur and be continuing Agent shall have the right to an immediate writ of possession without notice of a hearing. Agent shall have the right to the appointment of a receiver for the properties and assets of each Grantor, and each Grantor hereby consents to such rights and such appointment and hereby waives any objection such Grantor may have thereto or the right to have a bond or other security posted by Agent.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Remedies Cumulative</w:t>
      </w:r>
      <w:r>
        <w:rPr>
          <w:rFonts w:ascii="Times New Roman" w:hAnsi="Times New Roman"/>
          <w:sz w:val="20"/>
        </w:rPr>
        <w:t xml:space="preserve">. Each right, power, and remedy of Agent, or any other Lender, as provided for in this Agreement or the other Loan Documents now or hereafter existing at law or in equity or by statute or otherwise shall be cumulative and concurrent and shall be in addition to every other right, power, or remedy provided for in this Agreement or the other Loan Documents or now or hereafter existing at law or in equity or by statute or otherwise, and the exercise or beginning of the exercise by Agent, or any other Lender, of any one or more of such rights, powers, or remedies shall not preclude the simultaneous or later exercise by Agent, or such other Lender of any or all such other rights, powers, or remedies.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Marshaling</w:t>
      </w:r>
      <w:r>
        <w:rPr>
          <w:rFonts w:ascii="Times New Roman" w:hAnsi="Times New Roman"/>
          <w:sz w:val="20"/>
        </w:rPr>
        <w:t xml:space="preserve">. Agent shall not be required to marshal any present or future collateral security (including but not limited to the Collateral) for, or other assurances of payment of, the Secured Obligations or any of them or to resort to such collateral security or other assurances of payment in any particular order, and all of its rights and remedies hereunder and in respect of such collateral security and other assurances of payment shall be cumulative and in addition to all other rights and remedies, however existing or arising. To the extent that it lawfully may, each Grantor hereby agrees that it will not invoke any law relating to the marshaling of collateral which might cause delay in or impede the enforcement of Agent’s rights and remedies under this Agreement or under any other instrument creating or 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Indemnity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Grantor agrees to indemnify Agent and the other Lenders in accordance with </w:t>
      </w:r>
      <w:r>
        <w:rPr>
          <w:rFonts w:ascii="Times New Roman" w:hAnsi="Times New Roman"/>
          <w:sz w:val="20"/>
          <w:u w:val="single"/>
        </w:rPr>
        <w:t>Section 9.03(b)</w:t>
      </w:r>
      <w:r>
        <w:rPr>
          <w:rFonts w:ascii="Times New Roman" w:hAnsi="Times New Roman"/>
          <w:sz w:val="20"/>
        </w:rPr>
        <w:t xml:space="preserve"> of the Credit Agreement, as if set out fully herein </w:t>
      </w:r>
      <w:r>
        <w:rPr>
          <w:rFonts w:ascii="Times New Roman" w:hAnsi="Times New Roman"/>
          <w:i/>
          <w:sz w:val="20"/>
        </w:rPr>
        <w:t xml:space="preserve">mutatis mutandis. </w:t>
      </w:r>
      <w:r>
        <w:rPr>
          <w:rFonts w:ascii="Times New Roman" w:hAnsi="Times New Roman"/>
          <w:sz w:val="20"/>
        </w:rPr>
        <w:t xml:space="preserve">This provision shall survive the termination of this Agreement and the Credit Agreement and the repayment of the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(b) Grantors, jointly and severally, shall, upon demand, pay to Agent all the expenses which Agent may incur in accordance with </w:t>
      </w:r>
      <w:r>
        <w:rPr>
          <w:rFonts w:ascii="Times New Roman" w:hAnsi="Times New Roman"/>
          <w:sz w:val="20"/>
          <w:u w:val="single"/>
        </w:rPr>
        <w:t>Section 9.03(a)</w:t>
      </w:r>
      <w:r>
        <w:rPr>
          <w:rFonts w:ascii="Times New Roman" w:hAnsi="Times New Roman"/>
          <w:sz w:val="20"/>
        </w:rPr>
        <w:t xml:space="preserve"> of the Credit Agreement, as if set out fully herein </w:t>
      </w:r>
      <w:r>
        <w:rPr>
          <w:rFonts w:ascii="Times New Roman" w:hAnsi="Times New Roman"/>
          <w:i/>
          <w:sz w:val="20"/>
        </w:rPr>
        <w:t>mutatis mutandis</w:t>
      </w:r>
      <w:r>
        <w:rPr>
          <w:rFonts w:ascii="Times New Roman" w:hAnsi="Times New Roman"/>
          <w:sz w:val="20"/>
        </w:rPr>
        <w:t xml:space="preserve">, including, for the avoidance of doubt, any expenses in connection with (i) the administration of this Agreement, (ii) the custody, preservation, use or operation of, or, upon an Event of Default, the sale of, collection from, or other realization upon, any of the Collateral in accordance with this Agreement and the other Loan Documents, (iii) the exercise or enforcement of any of the rights of Agent hereunder or (iv) the failure by any Grantor to perform or observe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Merger, Amendments; Etc</w:t>
      </w:r>
      <w:r>
        <w:rPr>
          <w:rFonts w:ascii="Times New Roman" w:hAnsi="Times New Roman"/>
          <w:sz w:val="20"/>
        </w:rPr>
        <w:t xml:space="preserve">. THIS AGREEMENT, TOGETHER WITH THE OTHER LOAN DOCUMENTS, REPRESENTS THE FINAL AGREEMENT BETWEEN THE PARTIES AND MAY NOT BE CONTRADICTED BY EVIDENCE OF PRIOR, CONTEMPORANEOUS OR ORAL AGREEMENTS OF THE PARTIES. THERE ARE NO UNWRITTEN AGREEMENTS BETWEEN THE PARTIES. No waiver of any provision of this Agreement, and no consent to any departure by any Grantor herefrom, shall in any event be effective unless the same shall be in writing and signed by Agent, and then such waiver or consent shall be effective only in the specific instance and for the specific purpose for which given. No amendment of any provision of this Agreement shall be effective unless the same shall be in writing and signed by Agent and each Grantor to which such amendment applies.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Addresses for Notices</w:t>
      </w:r>
      <w:r>
        <w:rPr>
          <w:rFonts w:ascii="Times New Roman" w:hAnsi="Times New Roman"/>
          <w:sz w:val="20"/>
        </w:rPr>
        <w:t xml:space="preserve">. All notices and other communications provided for hereunder shall be given in the form and manner and delivered to Agent at its address specified in the Credit Agreement, and to any of the Grantors or Guarantors at the addresses for the Borrower specified in the Credit Agreement, or, as to any party, at such other address as shall be designated by such party in a written notice to the other party. Each party hereto irrevocably consents to service of process in the manner provided for notices in this Section. Nothing in this Agreement will affect the right of any party hereto to serve process in any other manner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Continuing Security Interest; Assignments under Credit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create a continuing security interest in the Collateral and shall (i) remain in full force and effect until the Obligations have been paid in full in accordance with the provisions of the Credit Agreement (other than contingent indemnification obligations for which no claim has been asserted) and the Commitments have expired or have been terminated, (ii) be binding upon each Grantor, and their respective successors and assigns, and (iii) inure to the benefit of, and be enforceable by, Agent, and its successors, transferees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limiting the generality of the foregoing clause (iii), any Lender may, in accordance with the provisions of the Credit Agreement, assign or otherwise transfer all or any portion of its rights and obligations under the Credit Agreement to any other Person, and such other Person shall thereupon become vested with all the benefits in respect thereof granted to such Lender herein or otherwise. Upon payment in full of the Secured Obligations in accordance with the provisions of the Credit Agreement (other than contingent indemnification obligations for which no claim has been asserted) and the expiration or termination of the Commitments, the Guaranty made and the Security Interest granted hereby shall automatically terminate and all rights to the Collateral shall revert to Grantors or any other Person entitled thereto. At such time, upon the Borrower’s written request, Agent will promptly authorize the filing of appropriate termination statements to terminate such Security Interest. No transfer or renewal, extension, assignment, or termination of this Agreement or of the Credit Agreement, any other Loan Document, or any other instrument or document executed and delivered by any Grantor to Agent nor any additional Loans or other loans made by any Lender to the Borrower, nor the taking of further security, nor the retaking or re-delivery of the Collateral to Grantors, or any of them, by Agent, nor any other act of the Lenders, or any of them, shall release any Grantor from any obligation, except a release or discharge executed in writing by Agent in accordance with the provisions of the Credit Agreement. Agent shall not by any act, delay, omission or otherwise, be deemed to have waived any of its rights or remedies hereunder, unless such waiver is in writing and signed by Agent and then only to the extent therein set forth. A waiver by Agent of any right or remedy on any occasion shall not be construed as a bar to the exercise of any such right or remedy which Agent would otherwise have had on any other occasion. </w:t>
      </w:r>
    </w:p>
    <w:p>
      <w:pPr>
        <w:pStyle w:val="TextBody"/>
        <w:bidi w:val="0"/>
        <w:spacing w:before="120" w:after="0"/>
        <w:jc w:val="left"/>
        <w:rPr>
          <w:rFonts w:ascii="Times New Roman" w:hAnsi="Times New Roman"/>
          <w:sz w:val="20"/>
        </w:rPr>
      </w:pPr>
      <w:r>
        <w:rPr>
          <w:rFonts w:ascii="Times New Roman" w:hAnsi="Times New Roman"/>
          <w:sz w:val="20"/>
        </w:rPr>
        <w:t xml:space="preserve">(b) Each Grantor agrees that, if any payment made by any Grantor or other Person and applied to the Secured Obligations is at any time annulled, avoided, set, aside, rescinded, invalidated, declared to be fraudulent or preferential or otherwise required to be refunded or repaid, or the proceeds of any Collateral are required to be returned by Agent or any other Lender to such Grantor, its estate, trustee, receiver or any other party, including any Grantor, under any bankruptcy law, state or federal law, common law or equitable cause, then, to the extent of such payment or repayment, any Lien or other Collateral securing such liability shall be and remain in full force and effect, as fully as if such payment had never been made. If, prior to any of the foregoing, (i) any Lien or other Collateral securing such Grantor’s liability hereunder shall have been released or terminated by virtue of the foregoing clause (a), or (ii)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any such Grantor in respect of any Lien or other Collateral securing such obligation or the amount of such payment.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Survival</w:t>
      </w:r>
      <w:r>
        <w:rPr>
          <w:rFonts w:ascii="Times New Roman" w:hAnsi="Times New Roman"/>
          <w:sz w:val="20"/>
        </w:rPr>
        <w:t xml:space="preserve">. All representations and warranties made by the Grantors in this Agreement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Agent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the Credit Agreement is outstanding and unpaid and so long as the Commitments have not expired or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GOVERNING LAW, JURISDICTION;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The parties irrevocably and unconditionally agree that it will not commence any action, litigation or proceeding of any kind or description, whether in law or equity, whether in contract or in tort or otherwise, against the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Agent or any Lender may otherwise have to bring any action or proceeding relating to this Agreement or any other Loan Document against the Grantors or any of their respective properties in the courts of any jurisdiction. The Grantors each irrevocably and unconditionally waive, to the fullest extent permitted by Applicable Law, any objection that it may now or hereafter have to the laying of venue of any action or proceeding arising out of or relating to this Agreement or any other Loan Document in any court referred to in this paragraph. Each of the parties hereto hereby irrevocably waives, to the fullest extent permitted by Applicable Law, the defense of an inconvenient forum to the maintenance of such action or proceeding in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(c)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New Subsidiaries</w:t>
      </w:r>
      <w:r>
        <w:rPr>
          <w:rFonts w:ascii="Times New Roman" w:hAnsi="Times New Roman"/>
          <w:sz w:val="20"/>
        </w:rPr>
        <w:t xml:space="preserve">. Pursuant to </w:t>
      </w:r>
      <w:r>
        <w:rPr>
          <w:rFonts w:ascii="Times New Roman" w:hAnsi="Times New Roman"/>
          <w:sz w:val="20"/>
          <w:u w:val="single"/>
        </w:rPr>
        <w:t>Section 5.15</w:t>
      </w:r>
      <w:r>
        <w:rPr>
          <w:rFonts w:ascii="Times New Roman" w:hAnsi="Times New Roman"/>
          <w:sz w:val="20"/>
        </w:rPr>
        <w:t xml:space="preserve"> of the Credit Agreement, other than an Excluded Foreign Subsidiary, certain Subsidiaries (whether by acquisition or creation) of the Borrower are required to enter into this Agreement by executing and delivering in favor of Agent a Joinder to this Agreement in substantially the form of </w:t>
      </w:r>
      <w:r>
        <w:rPr>
          <w:rFonts w:ascii="Times New Roman" w:hAnsi="Times New Roman"/>
          <w:sz w:val="20"/>
          <w:u w:val="single"/>
        </w:rPr>
        <w:t>Annex 1</w:t>
      </w:r>
      <w:r>
        <w:rPr>
          <w:rFonts w:ascii="Times New Roman" w:hAnsi="Times New Roman"/>
          <w:sz w:val="20"/>
        </w:rPr>
        <w:t xml:space="preserve">. Upon the execution and delivery of </w:t>
      </w:r>
      <w:r>
        <w:rPr>
          <w:rFonts w:ascii="Times New Roman" w:hAnsi="Times New Roman"/>
          <w:sz w:val="20"/>
          <w:u w:val="single"/>
        </w:rPr>
        <w:t>Annex l</w:t>
      </w:r>
      <w:r>
        <w:rPr>
          <w:rFonts w:ascii="Times New Roman" w:hAnsi="Times New Roman"/>
          <w:sz w:val="20"/>
        </w:rPr>
        <w:t xml:space="preserve"> by any such new Subsidiary (other than an Excluded Foreign Subsidiary), such Subsidiary shall become a Guarantor and Grantor hereunder with the same force and effect as if originally named as a Guarantor and Grantor herein. The execution and delivery of any instrument adding an additional Guarantor or Grantor as a party to this Agreement shall not require the consent of any Guarantor or Grantor hereunder. The rights and obligations of each Guarantor and Grantor hereunder shall remain in full force and effect notwithstanding the addition of any new Guarantor or Grantor hereunder. </w:t>
      </w:r>
    </w:p>
    <w:p>
      <w:pPr>
        <w:pStyle w:val="TextBody"/>
        <w:bidi w:val="0"/>
        <w:spacing w:before="12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Agent</w:t>
      </w:r>
      <w:r>
        <w:rPr>
          <w:rFonts w:ascii="Times New Roman" w:hAnsi="Times New Roman"/>
          <w:sz w:val="20"/>
        </w:rPr>
        <w:t xml:space="preserve">. Each reference herein to any right granted to, benefit conferred upon or power exercisable by the “Agent” shall be a reference to Agent, for the benefit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is a Loan Document. This Agreement may be executed in counterparts (and by different parties hereto in different counterparts), each of which shall constitute an original, but all of which when taken together shall constitute a single contract. This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Agreement by facsimile or in electronic (e.g., “pdf” or “tif”) format shall be effective as delivery of a manually executed counterpart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If any provision of this Agreement is held to be illegal, invalid or unenforceable, (i) the legality, validity and enforceability of the remaining provisions of this Agreement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(c) Headings and Section numbers used herein are for convenience of reference only, are not part of this Agreement and shall not affect the construction of, or be taken into consideration in interpreting,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parties hereto have caused this Agreement to be executed and delivered as of the day and year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3"/>
        <w:gridCol w:w="108"/>
        <w:gridCol w:w="367"/>
        <w:gridCol w:w="108"/>
        <w:gridCol w:w="659"/>
        <w:gridCol w:w="108"/>
        <w:gridCol w:w="4442"/>
      </w:tblGrid>
      <w:tr>
        <w:trPr/>
        <w:tc>
          <w:tcPr>
            <w:tcW w:w="441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42" w:type="dxa"/>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b/>
              </w:rPr>
            </w:pPr>
            <w:r>
              <w:rPr>
                <w:b/>
              </w:rPr>
              <w:t>GRANTORS:</w:t>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209" w:type="dxa"/>
            <w:gridSpan w:val="3"/>
            <w:tcBorders/>
          </w:tcPr>
          <w:p>
            <w:pPr>
              <w:pStyle w:val="TableContents"/>
              <w:bidi w:val="0"/>
              <w:spacing w:before="0" w:after="283"/>
              <w:jc w:val="left"/>
              <w:rPr>
                <w:b/>
              </w:rPr>
            </w:pPr>
            <w:r>
              <w:rPr>
                <w:b/>
              </w:rPr>
              <w:t>POWER SOLUTIONS INTERNATIONAL, INC.</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767" w:type="dxa"/>
            <w:gridSpan w:val="2"/>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Chief Financial Officer</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5317" w:type="dxa"/>
            <w:gridSpan w:val="4"/>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209" w:type="dxa"/>
            <w:gridSpan w:val="3"/>
            <w:tcBorders/>
          </w:tcPr>
          <w:p>
            <w:pPr>
              <w:pStyle w:val="TableContents"/>
              <w:bidi w:val="0"/>
              <w:spacing w:before="0" w:after="283"/>
              <w:jc w:val="left"/>
              <w:rPr>
                <w:b/>
              </w:rPr>
            </w:pPr>
            <w:r>
              <w:rPr>
                <w:b/>
              </w:rPr>
              <w:t>BI-PHASE TECHNOLOGIES, LLC</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767" w:type="dxa"/>
            <w:gridSpan w:val="2"/>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Chief Financial Officer</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5317" w:type="dxa"/>
            <w:gridSpan w:val="4"/>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209" w:type="dxa"/>
            <w:gridSpan w:val="3"/>
            <w:tcBorders/>
          </w:tcPr>
          <w:p>
            <w:pPr>
              <w:pStyle w:val="TableContents"/>
              <w:bidi w:val="0"/>
              <w:spacing w:before="0" w:after="283"/>
              <w:jc w:val="left"/>
              <w:rPr>
                <w:b/>
              </w:rPr>
            </w:pPr>
            <w:r>
              <w:rPr>
                <w:b/>
              </w:rPr>
              <w:t>POWER GREAT LAKES, INC.</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767" w:type="dxa"/>
            <w:gridSpan w:val="2"/>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Chief Financial Officer</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5317" w:type="dxa"/>
            <w:gridSpan w:val="4"/>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209" w:type="dxa"/>
            <w:gridSpan w:val="3"/>
            <w:tcBorders/>
          </w:tcPr>
          <w:p>
            <w:pPr>
              <w:pStyle w:val="TableContents"/>
              <w:bidi w:val="0"/>
              <w:spacing w:before="0" w:after="283"/>
              <w:jc w:val="left"/>
              <w:rPr>
                <w:b/>
              </w:rPr>
            </w:pPr>
            <w:r>
              <w:rPr>
                <w:b/>
              </w:rPr>
              <w:t>POWERTRAIN INTEGRATION ACQUISITION, LLC</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767" w:type="dxa"/>
            <w:gridSpan w:val="2"/>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Chief Financial Officer</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5317" w:type="dxa"/>
            <w:gridSpan w:val="4"/>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209" w:type="dxa"/>
            <w:gridSpan w:val="3"/>
            <w:tcBorders/>
          </w:tcPr>
          <w:p>
            <w:pPr>
              <w:pStyle w:val="TableContents"/>
              <w:bidi w:val="0"/>
              <w:spacing w:before="0" w:after="283"/>
              <w:jc w:val="left"/>
              <w:rPr>
                <w:b/>
              </w:rPr>
            </w:pPr>
            <w:r>
              <w:rPr>
                <w:b/>
              </w:rPr>
              <w:t>PROFESSIONAL POWER PRODUCTS, INC.</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767" w:type="dxa"/>
            <w:gridSpan w:val="2"/>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Chief Financial Officer</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5317" w:type="dxa"/>
            <w:gridSpan w:val="4"/>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209" w:type="dxa"/>
            <w:gridSpan w:val="3"/>
            <w:tcBorders/>
          </w:tcPr>
          <w:p>
            <w:pPr>
              <w:pStyle w:val="TableContents"/>
              <w:bidi w:val="0"/>
              <w:spacing w:before="0" w:after="283"/>
              <w:jc w:val="left"/>
              <w:rPr>
                <w:b/>
              </w:rPr>
            </w:pPr>
            <w:r>
              <w:rPr>
                <w:b/>
              </w:rPr>
              <w:t>PSI INTERNATIONAL, LLC</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767" w:type="dxa"/>
            <w:gridSpan w:val="2"/>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Kenneth Li</w:t>
            </w:r>
          </w:p>
        </w:tc>
      </w:tr>
      <w:tr>
        <w:trPr/>
        <w:tc>
          <w:tcPr>
            <w:tcW w:w="441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42"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GUARANTY AND COLLATERAL AGREEMENT] </w:t>
      </w:r>
      <w:r>
        <w:br w:type="page"/>
      </w:r>
    </w:p>
    <w:p>
      <w:pPr>
        <w:pStyle w:val="HorizontalLine"/>
        <w:pBdr>
          <w:bottom w:val="double" w:sz="6" w:space="0" w:color="808080"/>
        </w:pBdr>
        <w:bidi w:val="0"/>
        <w:jc w:val="left"/>
        <w:rPr/>
      </w:pPr>
      <w:r>
        <w:rPr/>
      </w:r>
    </w:p>
    <w:tbl>
      <w:tblPr>
        <w:tblW w:w="4085" w:type="dxa"/>
        <w:jc w:val="right"/>
        <w:tblInd w:w="0" w:type="dxa"/>
        <w:tblLayout w:type="fixed"/>
        <w:tblCellMar>
          <w:top w:w="0" w:type="dxa"/>
          <w:left w:w="0" w:type="dxa"/>
          <w:bottom w:w="0" w:type="dxa"/>
          <w:right w:w="0" w:type="dxa"/>
        </w:tblCellMar>
      </w:tblPr>
      <w:tblGrid>
        <w:gridCol w:w="1565"/>
        <w:gridCol w:w="159"/>
        <w:gridCol w:w="2361"/>
      </w:tblGrid>
      <w:tr>
        <w:trPr/>
        <w:tc>
          <w:tcPr>
            <w:tcW w:w="156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4085" w:type="dxa"/>
            <w:gridSpan w:val="3"/>
            <w:tcBorders/>
          </w:tcPr>
          <w:p>
            <w:pPr>
              <w:pStyle w:val="TableContents"/>
              <w:bidi w:val="0"/>
              <w:spacing w:before="0" w:after="283"/>
              <w:jc w:val="left"/>
              <w:rPr>
                <w:b/>
              </w:rPr>
            </w:pPr>
            <w:r>
              <w:rPr>
                <w:b/>
              </w:rPr>
              <w:t>THE W GROUP, INC.</w:t>
            </w:r>
          </w:p>
        </w:tc>
      </w:tr>
      <w:tr>
        <w:trPr>
          <w:trHeight w:val="240" w:hRule="atLeast"/>
        </w:trPr>
        <w:tc>
          <w:tcPr>
            <w:tcW w:w="1565" w:type="dxa"/>
            <w:tcBorders/>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3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1565"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361" w:type="dxa"/>
            <w:tcBorders/>
          </w:tcPr>
          <w:p>
            <w:pPr>
              <w:pStyle w:val="TableContents"/>
              <w:bidi w:val="0"/>
              <w:spacing w:before="0" w:after="283"/>
              <w:jc w:val="left"/>
              <w:rPr/>
            </w:pPr>
            <w:r>
              <w:rPr/>
              <w:t>Kenneth Li</w:t>
            </w:r>
          </w:p>
        </w:tc>
      </w:tr>
      <w:tr>
        <w:trPr/>
        <w:tc>
          <w:tcPr>
            <w:tcW w:w="1565"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361" w:type="dxa"/>
            <w:tcBorders/>
          </w:tcPr>
          <w:p>
            <w:pPr>
              <w:pStyle w:val="TableContents"/>
              <w:bidi w:val="0"/>
              <w:spacing w:before="0" w:after="283"/>
              <w:jc w:val="left"/>
              <w:rPr/>
            </w:pPr>
            <w:r>
              <w:rPr/>
              <w:t>Chief Financial Officer</w:t>
            </w:r>
          </w:p>
        </w:tc>
      </w:tr>
      <w:tr>
        <w:trPr>
          <w:trHeight w:val="240" w:hRule="atLeast"/>
        </w:trPr>
        <w:tc>
          <w:tcPr>
            <w:tcW w:w="4085" w:type="dxa"/>
            <w:gridSpan w:val="3"/>
            <w:tcBorders/>
            <w:vAlign w:val="center"/>
          </w:tcPr>
          <w:p>
            <w:pPr>
              <w:pStyle w:val="TableContents"/>
              <w:bidi w:val="0"/>
              <w:spacing w:before="0" w:after="283"/>
              <w:jc w:val="left"/>
              <w:rPr>
                <w:sz w:val="4"/>
                <w:szCs w:val="4"/>
              </w:rPr>
            </w:pPr>
            <w:r>
              <w:rPr>
                <w:sz w:val="4"/>
                <w:szCs w:val="4"/>
              </w:rPr>
            </w:r>
          </w:p>
        </w:tc>
      </w:tr>
      <w:tr>
        <w:trPr/>
        <w:tc>
          <w:tcPr>
            <w:tcW w:w="4085" w:type="dxa"/>
            <w:gridSpan w:val="3"/>
            <w:tcBorders/>
          </w:tcPr>
          <w:p>
            <w:pPr>
              <w:pStyle w:val="TableContents"/>
              <w:bidi w:val="0"/>
              <w:spacing w:before="0" w:after="283"/>
              <w:jc w:val="left"/>
              <w:rPr>
                <w:b/>
              </w:rPr>
            </w:pPr>
            <w:r>
              <w:rPr>
                <w:b/>
              </w:rPr>
              <w:t>MTL MANUFACTURING &amp; EQUIPMENT INC.</w:t>
            </w:r>
          </w:p>
        </w:tc>
      </w:tr>
      <w:tr>
        <w:trPr>
          <w:trHeight w:val="240" w:hRule="atLeast"/>
        </w:trPr>
        <w:tc>
          <w:tcPr>
            <w:tcW w:w="1565" w:type="dxa"/>
            <w:tcBorders/>
            <w:vAlign w:val="center"/>
          </w:tcPr>
          <w:p>
            <w:pPr>
              <w:pStyle w:val="TableContents"/>
              <w:bidi w:val="0"/>
              <w:spacing w:before="0" w:after="283"/>
              <w:jc w:val="left"/>
              <w:rPr>
                <w:sz w:val="4"/>
                <w:szCs w:val="4"/>
              </w:rPr>
            </w:pPr>
            <w:r>
              <w:rPr>
                <w:sz w:val="4"/>
                <w:szCs w:val="4"/>
              </w:rPr>
            </w:r>
          </w:p>
        </w:tc>
        <w:tc>
          <w:tcPr>
            <w:tcW w:w="252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23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1565" w:type="dxa"/>
            <w:tcBorders/>
          </w:tcPr>
          <w:p>
            <w:pPr>
              <w:pStyle w:val="TableContents"/>
              <w:bidi w:val="0"/>
              <w:spacing w:before="0" w:after="283"/>
              <w:jc w:val="left"/>
              <w:rPr/>
            </w:pPr>
            <w:r>
              <w:rPr/>
              <w:t>Name:</w:t>
            </w:r>
          </w:p>
        </w:tc>
        <w:tc>
          <w:tcPr>
            <w:tcW w:w="159" w:type="dxa"/>
            <w:tcBorders/>
            <w:vAlign w:val="bottom"/>
          </w:tcPr>
          <w:p>
            <w:pPr>
              <w:pStyle w:val="TableContents"/>
              <w:bidi w:val="0"/>
              <w:spacing w:before="0" w:after="283"/>
              <w:jc w:val="left"/>
              <w:rPr/>
            </w:pPr>
            <w:r>
              <w:rPr/>
              <w:t> </w:t>
            </w:r>
          </w:p>
        </w:tc>
        <w:tc>
          <w:tcPr>
            <w:tcW w:w="2361" w:type="dxa"/>
            <w:tcBorders/>
          </w:tcPr>
          <w:p>
            <w:pPr>
              <w:pStyle w:val="TableContents"/>
              <w:bidi w:val="0"/>
              <w:spacing w:before="0" w:after="283"/>
              <w:jc w:val="left"/>
              <w:rPr/>
            </w:pPr>
            <w:r>
              <w:rPr/>
              <w:t>Kenneth Li</w:t>
            </w:r>
          </w:p>
        </w:tc>
      </w:tr>
      <w:tr>
        <w:trPr/>
        <w:tc>
          <w:tcPr>
            <w:tcW w:w="1565" w:type="dxa"/>
            <w:tcBorders/>
          </w:tcPr>
          <w:p>
            <w:pPr>
              <w:pStyle w:val="TableContents"/>
              <w:bidi w:val="0"/>
              <w:spacing w:before="0" w:after="283"/>
              <w:jc w:val="left"/>
              <w:rPr/>
            </w:pPr>
            <w:r>
              <w:rPr/>
              <w:t>Title:</w:t>
            </w:r>
          </w:p>
        </w:tc>
        <w:tc>
          <w:tcPr>
            <w:tcW w:w="159" w:type="dxa"/>
            <w:tcBorders/>
            <w:vAlign w:val="bottom"/>
          </w:tcPr>
          <w:p>
            <w:pPr>
              <w:pStyle w:val="TableContents"/>
              <w:bidi w:val="0"/>
              <w:spacing w:before="0" w:after="283"/>
              <w:jc w:val="left"/>
              <w:rPr/>
            </w:pPr>
            <w:r>
              <w:rPr/>
              <w:t> </w:t>
            </w:r>
          </w:p>
        </w:tc>
        <w:tc>
          <w:tcPr>
            <w:tcW w:w="2361"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GUARANTY AND COLLATERAL AGREEMENT]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401"/>
        <w:gridCol w:w="110"/>
        <w:gridCol w:w="383"/>
        <w:gridCol w:w="110"/>
        <w:gridCol w:w="652"/>
        <w:gridCol w:w="110"/>
        <w:gridCol w:w="4439"/>
      </w:tblGrid>
      <w:tr>
        <w:trPr/>
        <w:tc>
          <w:tcPr>
            <w:tcW w:w="440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439" w:type="dxa"/>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b/>
              </w:rPr>
            </w:pPr>
            <w:r>
              <w:rPr>
                <w:b/>
              </w:rPr>
              <w:t>AGENT:</w:t>
            </w:r>
          </w:p>
        </w:tc>
        <w:tc>
          <w:tcPr>
            <w:tcW w:w="110"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b/>
              </w:rPr>
            </w:pPr>
            <w:r>
              <w:rPr>
                <w:b/>
              </w:rPr>
              <w:t>HSBC BANK USA, NATIONAL ASSOCIATION</w:t>
            </w:r>
          </w:p>
        </w:tc>
      </w:tr>
      <w:tr>
        <w:trPr>
          <w:trHeight w:val="240" w:hRule="atLeast"/>
        </w:trPr>
        <w:tc>
          <w:tcPr>
            <w:tcW w:w="4401" w:type="dxa"/>
            <w:tcBorders/>
            <w:vAlign w:val="center"/>
          </w:tcPr>
          <w:p>
            <w:pPr>
              <w:pStyle w:val="TableContents"/>
              <w:bidi w:val="0"/>
              <w:spacing w:before="0" w:after="283"/>
              <w:jc w:val="left"/>
              <w:rPr>
                <w:sz w:val="4"/>
                <w:szCs w:val="4"/>
              </w:rPr>
            </w:pPr>
            <w:r>
              <w:rPr>
                <w:sz w:val="4"/>
                <w:szCs w:val="4"/>
              </w:rPr>
            </w:r>
          </w:p>
        </w:tc>
        <w:tc>
          <w:tcPr>
            <w:tcW w:w="493"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4549" w:type="dxa"/>
            <w:gridSpan w:val="2"/>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43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Leslie Morales</w:t>
            </w:r>
          </w:p>
        </w:tc>
      </w:tr>
      <w:tr>
        <w:trPr/>
        <w:tc>
          <w:tcPr>
            <w:tcW w:w="440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4439" w:type="dxa"/>
            <w:tcBorders/>
          </w:tcPr>
          <w:p>
            <w:pPr>
              <w:pStyle w:val="TableContents"/>
              <w:bidi w:val="0"/>
              <w:spacing w:before="0" w:after="283"/>
              <w:jc w:val="left"/>
              <w:rPr/>
            </w:pPr>
            <w:r>
              <w:rPr/>
              <w:t>Leslie Morales</w:t>
            </w:r>
          </w:p>
        </w:tc>
      </w:tr>
      <w:tr>
        <w:trPr/>
        <w:tc>
          <w:tcPr>
            <w:tcW w:w="440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Its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GUARANTY AND COLLATERAL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Commercial Tort Claims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240" w:after="0"/>
        <w:jc w:val="center"/>
        <w:rPr>
          <w:rFonts w:ascii="Times New Roman" w:hAnsi="Times New Roman"/>
          <w:sz w:val="20"/>
        </w:rPr>
      </w:pPr>
      <w:r>
        <w:rPr>
          <w:rFonts w:ascii="Times New Roman" w:hAnsi="Times New Roman"/>
          <w:sz w:val="20"/>
        </w:rPr>
        <w:t xml:space="preserve">Copyrights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240" w:after="0"/>
        <w:jc w:val="center"/>
        <w:rPr>
          <w:rFonts w:ascii="Times New Roman" w:hAnsi="Times New Roman"/>
          <w:sz w:val="20"/>
        </w:rPr>
      </w:pPr>
      <w:r>
        <w:rPr>
          <w:rFonts w:ascii="Times New Roman" w:hAnsi="Times New Roman"/>
          <w:sz w:val="20"/>
        </w:rPr>
        <w:t xml:space="preserve">Intellectual Property Licenses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240" w:after="0"/>
        <w:jc w:val="center"/>
        <w:rPr>
          <w:rFonts w:ascii="Times New Roman" w:hAnsi="Times New Roman"/>
          <w:sz w:val="20"/>
        </w:rPr>
      </w:pPr>
      <w:r>
        <w:rPr>
          <w:rFonts w:ascii="Times New Roman" w:hAnsi="Times New Roman"/>
          <w:sz w:val="20"/>
        </w:rPr>
        <w:t xml:space="preserve">Patents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 </w:t>
      </w:r>
    </w:p>
    <w:p>
      <w:pPr>
        <w:pStyle w:val="TextBody"/>
        <w:bidi w:val="0"/>
        <w:spacing w:before="240" w:after="0"/>
        <w:jc w:val="center"/>
        <w:rPr>
          <w:rFonts w:ascii="Times New Roman" w:hAnsi="Times New Roman"/>
          <w:sz w:val="20"/>
        </w:rPr>
      </w:pPr>
      <w:r>
        <w:rPr>
          <w:rFonts w:ascii="Times New Roman" w:hAnsi="Times New Roman"/>
          <w:sz w:val="20"/>
        </w:rPr>
        <w:t xml:space="preserve">Pledged Companies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6 </w:t>
      </w:r>
    </w:p>
    <w:p>
      <w:pPr>
        <w:pStyle w:val="TextBody"/>
        <w:bidi w:val="0"/>
        <w:spacing w:before="240" w:after="0"/>
        <w:jc w:val="center"/>
        <w:rPr>
          <w:rFonts w:ascii="Times New Roman" w:hAnsi="Times New Roman"/>
          <w:sz w:val="20"/>
        </w:rPr>
      </w:pPr>
      <w:r>
        <w:rPr>
          <w:rFonts w:ascii="Times New Roman" w:hAnsi="Times New Roman"/>
          <w:sz w:val="20"/>
        </w:rPr>
        <w:t xml:space="preserve">Trademarks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7 </w:t>
      </w:r>
    </w:p>
    <w:p>
      <w:pPr>
        <w:pStyle w:val="TextBody"/>
        <w:bidi w:val="0"/>
        <w:spacing w:before="240" w:after="0"/>
        <w:jc w:val="center"/>
        <w:rPr>
          <w:rFonts w:ascii="Times New Roman" w:hAnsi="Times New Roman"/>
          <w:sz w:val="20"/>
        </w:rPr>
      </w:pPr>
      <w:r>
        <w:rPr>
          <w:rFonts w:ascii="Times New Roman" w:hAnsi="Times New Roman"/>
          <w:sz w:val="20"/>
        </w:rPr>
        <w:t xml:space="preserve">Name; Chief Executive Office; Tax Identification Numbers and Organizational Numbers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8 </w:t>
      </w:r>
    </w:p>
    <w:p>
      <w:pPr>
        <w:pStyle w:val="TextBody"/>
        <w:bidi w:val="0"/>
        <w:spacing w:before="240" w:after="0"/>
        <w:jc w:val="center"/>
        <w:rPr>
          <w:rFonts w:ascii="Times New Roman" w:hAnsi="Times New Roman"/>
          <w:sz w:val="20"/>
        </w:rPr>
      </w:pPr>
      <w:r>
        <w:rPr>
          <w:rFonts w:ascii="Times New Roman" w:hAnsi="Times New Roman"/>
          <w:sz w:val="20"/>
        </w:rPr>
        <w:t xml:space="preserve">Owned Real Property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9 </w:t>
      </w:r>
    </w:p>
    <w:p>
      <w:pPr>
        <w:pStyle w:val="TextBody"/>
        <w:bidi w:val="0"/>
        <w:spacing w:before="240" w:after="0"/>
        <w:jc w:val="center"/>
        <w:rPr>
          <w:rFonts w:ascii="Times New Roman" w:hAnsi="Times New Roman"/>
          <w:sz w:val="20"/>
        </w:rPr>
      </w:pPr>
      <w:r>
        <w:rPr>
          <w:rFonts w:ascii="Times New Roman" w:hAnsi="Times New Roman"/>
          <w:sz w:val="20"/>
        </w:rPr>
        <w:t xml:space="preserve">Deposit Account and Securities Accounts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10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List of Uniform Commercial Code Filing Jurisdictions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11 </w:t>
      </w:r>
    </w:p>
    <w:p>
      <w:pPr>
        <w:pStyle w:val="TextBody"/>
        <w:bidi w:val="0"/>
        <w:spacing w:before="240" w:after="0"/>
        <w:jc w:val="center"/>
        <w:rPr>
          <w:rFonts w:ascii="Times New Roman" w:hAnsi="Times New Roman"/>
          <w:sz w:val="20"/>
        </w:rPr>
      </w:pPr>
      <w:r>
        <w:rPr>
          <w:rFonts w:ascii="Times New Roman" w:hAnsi="Times New Roman"/>
          <w:sz w:val="20"/>
        </w:rPr>
        <w:t xml:space="preserve">Locations where Collateral in Excess of $100,000 is Held by Bailees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12 </w:t>
      </w:r>
    </w:p>
    <w:p>
      <w:pPr>
        <w:pStyle w:val="TextBody"/>
        <w:bidi w:val="0"/>
        <w:spacing w:before="240" w:after="0"/>
        <w:jc w:val="center"/>
        <w:rPr>
          <w:rFonts w:ascii="Times New Roman" w:hAnsi="Times New Roman"/>
          <w:sz w:val="20"/>
        </w:rPr>
      </w:pPr>
      <w:r>
        <w:rPr>
          <w:rFonts w:ascii="Times New Roman" w:hAnsi="Times New Roman"/>
          <w:sz w:val="20"/>
        </w:rPr>
        <w:t xml:space="preserve">Locations where Collateral in Excess of $100,000 is Held at Leased Premises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I TO GUARANTY AND COLLATERAL AGREEMENT </w:t>
      </w:r>
    </w:p>
    <w:p>
      <w:pPr>
        <w:pStyle w:val="TextBody"/>
        <w:bidi w:val="0"/>
        <w:spacing w:before="0" w:after="0"/>
        <w:jc w:val="center"/>
        <w:rPr>
          <w:rFonts w:ascii="Times New Roman" w:hAnsi="Times New Roman"/>
          <w:sz w:val="20"/>
        </w:rPr>
      </w:pPr>
      <w:r>
        <w:rPr>
          <w:rFonts w:ascii="Times New Roman" w:hAnsi="Times New Roman"/>
          <w:sz w:val="20"/>
        </w:rPr>
        <w:t xml:space="preserve">FORM OF JOINDER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COPYRIGHT SECURITY AGREEMENT </w:t>
      </w:r>
    </w:p>
    <w:p>
      <w:pPr>
        <w:pStyle w:val="TextBody"/>
        <w:bidi w:val="0"/>
        <w:spacing w:before="240" w:after="0"/>
        <w:jc w:val="left"/>
        <w:rPr>
          <w:rFonts w:ascii="Times New Roman" w:hAnsi="Times New Roman"/>
          <w:sz w:val="20"/>
        </w:rPr>
      </w:pPr>
      <w:r>
        <w:rPr>
          <w:rFonts w:ascii="Times New Roman" w:hAnsi="Times New Roman"/>
          <w:sz w:val="20"/>
        </w:rPr>
        <w:t>This COPYRIGHT SECURITY AGREEMENT (this “</w:t>
      </w:r>
      <w:r>
        <w:rPr>
          <w:rFonts w:ascii="Times New Roman" w:hAnsi="Times New Roman"/>
          <w:sz w:val="20"/>
          <w:u w:val="single"/>
        </w:rPr>
        <w:t>Copyright Security Agreemen</w:t>
      </w:r>
      <w:r>
        <w:rPr>
          <w:rFonts w:ascii="Times New Roman" w:hAnsi="Times New Roman"/>
          <w:sz w:val="20"/>
        </w:rPr>
        <w:t xml:space="preserve">t”) is made this _day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xml:space="preserve">  </w:t>
      </w:r>
      <w:r>
        <w:rPr>
          <w:rFonts w:ascii="Times New Roman" w:hAnsi="Times New Roman"/>
          <w:sz w:val="20"/>
        </w:rPr>
        <w:t>, by and among Grantors listed on the signature pages hereof (collectively, jointly and severally, “</w:t>
      </w:r>
      <w:r>
        <w:rPr>
          <w:rFonts w:ascii="Times New Roman" w:hAnsi="Times New Roman"/>
          <w:sz w:val="20"/>
          <w:u w:val="single"/>
        </w:rPr>
        <w:t>Grantors</w:t>
      </w:r>
      <w:r>
        <w:rPr>
          <w:rFonts w:ascii="Times New Roman" w:hAnsi="Times New Roman"/>
          <w:sz w:val="20"/>
        </w:rPr>
        <w:t xml:space="preserve">” and each individually </w:t>
      </w:r>
      <w:r>
        <w:rPr>
          <w:rFonts w:ascii="Times New Roman" w:hAnsi="Times New Roman"/>
          <w:sz w:val="20"/>
          <w:u w:val="single"/>
        </w:rPr>
        <w:t>“Granto</w:t>
      </w:r>
      <w:r>
        <w:rPr>
          <w:rFonts w:ascii="Times New Roman" w:hAnsi="Times New Roman"/>
          <w:sz w:val="20"/>
        </w:rPr>
        <w:t xml:space="preserve">r”), and </w:t>
      </w:r>
      <w:r>
        <w:rPr>
          <w:rFonts w:ascii="Times New Roman" w:hAnsi="Times New Roman"/>
          <w:b/>
          <w:sz w:val="20"/>
        </w:rPr>
        <w:t>HSBC BANK USA, NATIONAL ASSOCIATION</w:t>
      </w:r>
      <w:r>
        <w:rPr>
          <w:rFonts w:ascii="Times New Roman" w:hAnsi="Times New Roman"/>
          <w:sz w:val="20"/>
        </w:rPr>
        <w:t>, in its capacity as administrative agent and collateral agent for each lender party to the Credit Agreement (as defined below) from time to time (in such capacity, together with its successors and assigns in such capacity, “</w:t>
      </w:r>
      <w:r>
        <w:rPr>
          <w:rFonts w:ascii="Times New Roman" w:hAnsi="Times New Roman"/>
          <w:sz w:val="20"/>
          <w:u w:val="single"/>
        </w:rPr>
        <w:t>Agent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Revolving Credit Agreement dated as of September 25, 2026 (as amended, modified or supplemented from time to time, the “</w:t>
      </w:r>
      <w:r>
        <w:rPr>
          <w:rFonts w:ascii="Times New Roman" w:hAnsi="Times New Roman"/>
          <w:sz w:val="20"/>
          <w:u w:val="single"/>
        </w:rPr>
        <w:t>Credit Agreement</w:t>
      </w:r>
      <w:r>
        <w:rPr>
          <w:rFonts w:ascii="Times New Roman" w:hAnsi="Times New Roman"/>
          <w:sz w:val="20"/>
        </w:rPr>
        <w:t>”) by and among Power Solutions International, Inc., a Delaware corporation, as borrower (“</w:t>
      </w:r>
      <w:r>
        <w:rPr>
          <w:rFonts w:ascii="Times New Roman" w:hAnsi="Times New Roman"/>
          <w:sz w:val="20"/>
          <w:u w:val="single"/>
        </w:rPr>
        <w:t>Borrower”</w:t>
      </w:r>
      <w:r>
        <w:rPr>
          <w:rFonts w:ascii="Times New Roman" w:hAnsi="Times New Roman"/>
          <w:sz w:val="20"/>
        </w:rPr>
        <w:t>), the lenders party thereto from time to time (each of such Lenders, together with its successors and assigns, is referred to hereinafter as a “</w:t>
      </w:r>
      <w:r>
        <w:rPr>
          <w:rFonts w:ascii="Times New Roman" w:hAnsi="Times New Roman"/>
          <w:sz w:val="20"/>
          <w:u w:val="single"/>
        </w:rPr>
        <w:t>Lender</w:t>
      </w:r>
      <w:r>
        <w:rPr>
          <w:rFonts w:ascii="Times New Roman" w:hAnsi="Times New Roman"/>
          <w:sz w:val="20"/>
        </w:rPr>
        <w:t>” and collectively the “</w:t>
      </w:r>
      <w:r>
        <w:rPr>
          <w:rFonts w:ascii="Times New Roman" w:hAnsi="Times New Roman"/>
          <w:sz w:val="20"/>
          <w:u w:val="single"/>
        </w:rPr>
        <w:t>Lenders</w:t>
      </w:r>
      <w:r>
        <w:rPr>
          <w:rFonts w:ascii="Times New Roman" w:hAnsi="Times New Roman"/>
          <w:sz w:val="20"/>
        </w:rPr>
        <w:t xml:space="preserve">”), the Lenders, and Agent have each agreed to make certain financial accommodations available to the Borrower from time to time pursuant to the terms and conditions thereof; and </w:t>
      </w:r>
    </w:p>
    <w:p>
      <w:pPr>
        <w:pStyle w:val="TextBody"/>
        <w:bidi w:val="0"/>
        <w:spacing w:before="240" w:after="0"/>
        <w:jc w:val="left"/>
        <w:rPr>
          <w:rFonts w:ascii="Times New Roman" w:hAnsi="Times New Roman"/>
          <w:sz w:val="20"/>
        </w:rPr>
      </w:pPr>
      <w:r>
        <w:rPr>
          <w:rFonts w:ascii="Times New Roman" w:hAnsi="Times New Roman"/>
          <w:sz w:val="20"/>
        </w:rPr>
        <w:t>WHEREAS, the Lenders are willing to make the financial accommodations to Borrowers as provided for in the Credit Agreement and the other Loan Documents but only upon the condition, among others, that Grantors shall have executed and delivered to Agent, for the benefit of the Lenders, that certain Guaranty and Collateral Agreement, dated as of September 25, 2026 (including all annexes, exhibits or schedules thereto, as from time to time amended, restated, supplemented or otherwise modified, the “</w:t>
      </w:r>
      <w:r>
        <w:rPr>
          <w:rFonts w:ascii="Times New Roman" w:hAnsi="Times New Roman"/>
          <w:sz w:val="20"/>
          <w:u w:val="single"/>
        </w:rPr>
        <w:t>Guaranty and Collateral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Guaranty and Collateral Agreement, Grantors are required to execute and deliver to Agent, for the benefit of the Lenders, this Copyright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herein contained and for other good and valuable consideration, the receipt and sufficiency of which are hereby acknowledged, Grantors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DEFINED TERMS</w:t>
      </w:r>
      <w:r>
        <w:rPr>
          <w:rFonts w:ascii="Times New Roman" w:hAnsi="Times New Roman"/>
          <w:sz w:val="20"/>
        </w:rPr>
        <w:t xml:space="preserve">. All initially capitalized terms used but not otherwise defined herein have the meanings given to them in the Guaranty and Collateral Agreement or, if not defined therein, in the Credit Agreement, and this Copyright Security Agreement shall be subject to the rules of construction set forth in </w:t>
      </w:r>
      <w:r>
        <w:rPr>
          <w:rFonts w:ascii="Times New Roman" w:hAnsi="Times New Roman"/>
          <w:sz w:val="20"/>
          <w:u w:val="single"/>
        </w:rPr>
        <w:t>Section l(b)</w:t>
      </w:r>
      <w:r>
        <w:rPr>
          <w:rFonts w:ascii="Times New Roman" w:hAnsi="Times New Roman"/>
          <w:sz w:val="20"/>
        </w:rPr>
        <w:t xml:space="preserve"> of the Guaranty and Collateral Agreement, which rules of construction are incorporated herein by this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GRANT OF SECURITY INTEREST IN COPYRIGHT COLLATERAL</w:t>
      </w:r>
      <w:r>
        <w:rPr>
          <w:rFonts w:ascii="Times New Roman" w:hAnsi="Times New Roman"/>
          <w:sz w:val="20"/>
        </w:rPr>
        <w:t>. Each Grantor hereby unconditionally grants, collaterally assigns, and pledges to Agent, for the benefit each Lender, to secure the Secured Obligations, a continuing security interest (referred to in this Copyright Security Agreement as the “</w:t>
      </w:r>
      <w:r>
        <w:rPr>
          <w:rFonts w:ascii="Times New Roman" w:hAnsi="Times New Roman"/>
          <w:sz w:val="20"/>
          <w:u w:val="single"/>
        </w:rPr>
        <w:t>Security Interest</w:t>
      </w:r>
      <w:r>
        <w:rPr>
          <w:rFonts w:ascii="Times New Roman" w:hAnsi="Times New Roman"/>
          <w:sz w:val="20"/>
        </w:rPr>
        <w:t>”) in all of such Grantor’s right, title and interest in and to the following, whether now owned or hereafter acquired or arising (collectively, the “</w:t>
      </w:r>
      <w:r>
        <w:rPr>
          <w:rFonts w:ascii="Times New Roman" w:hAnsi="Times New Roman"/>
          <w:sz w:val="20"/>
          <w:u w:val="single"/>
        </w:rPr>
        <w:t>Copyright Collateral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all of such Grantor’s Copyrights and Copyright Intellectual Property Licenses to which it is a party including those referred to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renewals or extensions of the foregoing; and </w:t>
      </w:r>
    </w:p>
    <w:p>
      <w:pPr>
        <w:pStyle w:val="TextBody"/>
        <w:bidi w:val="0"/>
        <w:spacing w:before="120" w:after="0"/>
        <w:jc w:val="left"/>
        <w:rPr>
          <w:rFonts w:ascii="Times New Roman" w:hAnsi="Times New Roman"/>
          <w:sz w:val="20"/>
        </w:rPr>
      </w:pPr>
      <w:r>
        <w:rPr>
          <w:rFonts w:ascii="Times New Roman" w:hAnsi="Times New Roman"/>
          <w:sz w:val="20"/>
        </w:rPr>
        <w:t xml:space="preserve">(c) all products and proceeds of the foregoing, including any claim by such Grantor against third parties for past, present or future infringement of any Copyright or any Copyright exclusively licensed under any Intellectual Property License, including the right to receive damages, or the right to receive license fees, royalties, and other compensation under any Copyright Intellectual Property License.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SECURITY FOR SECURED OBLIGATIONS</w:t>
      </w:r>
      <w:r>
        <w:rPr>
          <w:rFonts w:ascii="Times New Roman" w:hAnsi="Times New Roman"/>
          <w:sz w:val="20"/>
        </w:rPr>
        <w:t xml:space="preserve">. This Copyright Security Agreement and the Security Interest created hereby secures the payment and performance of the Secured Obligations, whether now existing or arising hereafter. Without limiting the generality of the foregoing, this Copyright Security Agreement secures the payment of all amounts which constitute part of the Secured Obligations and would be owed by Grantors, or any of them, to Agent, the other Lenders, or any of them, whether or not they are unenforceable or not allowable due to the existence of an Insolvency Proceeding involving any Grantor.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SECURITY AGREEMENT</w:t>
      </w:r>
      <w:r>
        <w:rPr>
          <w:rFonts w:ascii="Times New Roman" w:hAnsi="Times New Roman"/>
          <w:sz w:val="20"/>
        </w:rPr>
        <w:t xml:space="preserve">. The Security Interest granted pursuant to this Copyright Security Agreement is granted in conjunction with the security interests granted to Agent, for the benefit of the Lenders, pursuant to the Guaranty and Collateral Agreement. Each Grantor hereby acknowledges and affirms that the rights and remedies of Agent with respect to the Security Interest in the Copyright Collateral made and granted hereby are more fully set forth in the Guaranty and Collateral Agreement, the terms and provisions of which are incorporated by reference herein as if fully set forth herein. To the extent there is any inconsistency between this Copyright Security Agreement and the Guaranty and Collateral Agreement, the Guaranty and Collateral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AUTHORIZATION TO SUPPLEMENT</w:t>
      </w:r>
      <w:r>
        <w:rPr>
          <w:rFonts w:ascii="Times New Roman" w:hAnsi="Times New Roman"/>
          <w:sz w:val="20"/>
        </w:rPr>
        <w:t xml:space="preserve">. Grantors shall give Agent prior written notice of no less than five (5) Business Days before filing any additional application for registration of any copyright and prompt notice in writing of any additional copyright registrations granted therefor after the date hereof. Without limiting Grantors’ obligations under this Section, Grantors hereby authorize Agent unilaterally to modify this Copyright Security Agreement by amending </w:t>
      </w:r>
      <w:r>
        <w:rPr>
          <w:rFonts w:ascii="Times New Roman" w:hAnsi="Times New Roman"/>
          <w:sz w:val="20"/>
          <w:u w:val="single"/>
        </w:rPr>
        <w:t>Schedule I</w:t>
      </w:r>
      <w:r>
        <w:rPr>
          <w:rFonts w:ascii="Times New Roman" w:hAnsi="Times New Roman"/>
          <w:sz w:val="20"/>
        </w:rPr>
        <w:t xml:space="preserve"> to include any future United States registered copyrights or applications therefor of each Grantor. Notwithstanding the foregoing, no failure to so modify this Copyright Security Agreement or amend </w:t>
      </w:r>
      <w:r>
        <w:rPr>
          <w:rFonts w:ascii="Times New Roman" w:hAnsi="Times New Roman"/>
          <w:sz w:val="20"/>
          <w:u w:val="single"/>
        </w:rPr>
        <w:t>Schedule I</w:t>
      </w:r>
      <w:r>
        <w:rPr>
          <w:rFonts w:ascii="Times New Roman" w:hAnsi="Times New Roman"/>
          <w:sz w:val="20"/>
        </w:rPr>
        <w:t xml:space="preserve"> shall in any way affect, invalidate or detract from Agent’s continuing security interest in all Collateral, whether or not listed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COUNTERPARTS</w:t>
      </w:r>
      <w:r>
        <w:rPr>
          <w:rFonts w:ascii="Times New Roman" w:hAnsi="Times New Roman"/>
          <w:sz w:val="20"/>
        </w:rPr>
        <w:t xml:space="preserve">. This Copyright Security Agreement is a Loan Document. This Copyright Security Agreement may be executed in counterparts (and by different parties hereto in different counterparts), each of which shall constitute an original, but all of which when taken together shall constitute a single contract. This Copyright Security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Copyright Security Agreement by facsimile or in electronic (e.g., “pdf” or “tif”) format shall be effective as delivery of a manually executed counterpart of this Copyright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THIS COPYRIGHT SECURITY AGREEMENT SHALL BE SUBJECT TO THE PROVISIONS IN </w:t>
      </w:r>
      <w:r>
        <w:rPr>
          <w:rFonts w:ascii="Times New Roman" w:hAnsi="Times New Roman"/>
          <w:sz w:val="20"/>
          <w:u w:val="single"/>
        </w:rPr>
        <w:t>SECTION 25</w:t>
      </w:r>
      <w:r>
        <w:rPr>
          <w:rFonts w:ascii="Times New Roman" w:hAnsi="Times New Roman"/>
          <w:sz w:val="20"/>
        </w:rPr>
        <w:t xml:space="preserve"> OF THE GUARANTY AND COLLATERAL AGREEMENT, AND SUCH PROVISIONS ARE INCORPORATED HEREIN BY THIS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Copyright Security Agreement to be executed and delivered as of the day and year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1"/>
        <w:gridCol w:w="120"/>
        <w:gridCol w:w="305"/>
        <w:gridCol w:w="120"/>
        <w:gridCol w:w="1832"/>
        <w:gridCol w:w="221"/>
        <w:gridCol w:w="3316"/>
      </w:tblGrid>
      <w:tr>
        <w:trPr/>
        <w:tc>
          <w:tcPr>
            <w:tcW w:w="42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291" w:type="dxa"/>
            <w:tcBorders/>
          </w:tcPr>
          <w:p>
            <w:pPr>
              <w:pStyle w:val="TableContents"/>
              <w:bidi w:val="0"/>
              <w:spacing w:before="0" w:after="283"/>
              <w:jc w:val="left"/>
              <w:rPr>
                <w:b/>
              </w:rPr>
            </w:pPr>
            <w:r>
              <w:rPr>
                <w:b/>
              </w:rPr>
              <w:t>GRANTORS:</w:t>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69"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291"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1952" w:type="dxa"/>
            <w:gridSpan w:val="2"/>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By:</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Name:</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Title:</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r>
        <w:trPr>
          <w:trHeight w:val="240" w:hRule="atLeast"/>
        </w:trPr>
        <w:tc>
          <w:tcPr>
            <w:tcW w:w="4291"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489" w:type="dxa"/>
            <w:gridSpan w:val="4"/>
            <w:tcBorders/>
            <w:vAlign w:val="center"/>
          </w:tcPr>
          <w:p>
            <w:pPr>
              <w:pStyle w:val="TableContents"/>
              <w:bidi w:val="0"/>
              <w:spacing w:before="0" w:after="283"/>
              <w:jc w:val="left"/>
              <w:rPr>
                <w:sz w:val="4"/>
                <w:szCs w:val="4"/>
              </w:rPr>
            </w:pPr>
            <w:r>
              <w:rPr>
                <w:sz w:val="4"/>
                <w:szCs w:val="4"/>
              </w:rPr>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69"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291"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1952" w:type="dxa"/>
            <w:gridSpan w:val="2"/>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By:</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Name:</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Title:</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r>
        <w:trPr>
          <w:trHeight w:val="240" w:hRule="atLeast"/>
        </w:trPr>
        <w:tc>
          <w:tcPr>
            <w:tcW w:w="4291"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489" w:type="dxa"/>
            <w:gridSpan w:val="4"/>
            <w:tcBorders/>
            <w:vAlign w:val="center"/>
          </w:tcPr>
          <w:p>
            <w:pPr>
              <w:pStyle w:val="TableContents"/>
              <w:bidi w:val="0"/>
              <w:spacing w:before="0" w:after="283"/>
              <w:jc w:val="left"/>
              <w:rPr>
                <w:sz w:val="4"/>
                <w:szCs w:val="4"/>
              </w:rPr>
            </w:pPr>
            <w:r>
              <w:rPr>
                <w:sz w:val="4"/>
                <w:szCs w:val="4"/>
              </w:rPr>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69" w:type="dxa"/>
            <w:gridSpan w:val="3"/>
            <w:tcBorders/>
          </w:tcPr>
          <w:p>
            <w:pPr>
              <w:pStyle w:val="TableContents"/>
              <w:bidi w:val="0"/>
              <w:spacing w:before="0" w:after="283"/>
              <w:jc w:val="left"/>
              <w:rPr>
                <w:b/>
              </w:rPr>
            </w:pPr>
            <w:r>
              <w:rPr>
                <w:b/>
              </w:rPr>
              <w:t>ACCEPTED AND ACKNOWLEDGED BY:</w:t>
            </w:r>
          </w:p>
        </w:tc>
      </w:tr>
      <w:tr>
        <w:trPr>
          <w:trHeight w:val="240" w:hRule="atLeast"/>
        </w:trPr>
        <w:tc>
          <w:tcPr>
            <w:tcW w:w="4291"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489" w:type="dxa"/>
            <w:gridSpan w:val="4"/>
            <w:tcBorders/>
            <w:vAlign w:val="center"/>
          </w:tcPr>
          <w:p>
            <w:pPr>
              <w:pStyle w:val="TableContents"/>
              <w:bidi w:val="0"/>
              <w:spacing w:before="0" w:after="283"/>
              <w:jc w:val="left"/>
              <w:rPr>
                <w:sz w:val="4"/>
                <w:szCs w:val="4"/>
              </w:rPr>
            </w:pPr>
            <w:r>
              <w:rPr>
                <w:sz w:val="4"/>
                <w:szCs w:val="4"/>
              </w:rPr>
            </w:r>
          </w:p>
        </w:tc>
      </w:tr>
      <w:tr>
        <w:trPr/>
        <w:tc>
          <w:tcPr>
            <w:tcW w:w="4291" w:type="dxa"/>
            <w:tcBorders/>
          </w:tcPr>
          <w:p>
            <w:pPr>
              <w:pStyle w:val="TableContents"/>
              <w:bidi w:val="0"/>
              <w:spacing w:before="0" w:after="283"/>
              <w:jc w:val="left"/>
              <w:rPr>
                <w:b/>
              </w:rPr>
            </w:pPr>
            <w:r>
              <w:rPr>
                <w:b/>
              </w:rPr>
              <w:t>AGENT:</w:t>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69" w:type="dxa"/>
            <w:gridSpan w:val="3"/>
            <w:tcBorders/>
          </w:tcPr>
          <w:p>
            <w:pPr>
              <w:pStyle w:val="TableContents"/>
              <w:bidi w:val="0"/>
              <w:spacing w:before="0" w:after="283"/>
              <w:jc w:val="left"/>
              <w:rPr>
                <w:b/>
              </w:rPr>
            </w:pPr>
            <w:r>
              <w:rPr>
                <w:b/>
              </w:rPr>
              <w:t>HSBC BANK USA, NATIONAL ASSOCIATION</w:t>
            </w:r>
          </w:p>
        </w:tc>
      </w:tr>
      <w:tr>
        <w:trPr>
          <w:trHeight w:val="240" w:hRule="atLeast"/>
        </w:trPr>
        <w:tc>
          <w:tcPr>
            <w:tcW w:w="4291"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1952" w:type="dxa"/>
            <w:gridSpan w:val="2"/>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By:</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Name:</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r>
        <w:trPr/>
        <w:tc>
          <w:tcPr>
            <w:tcW w:w="42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2" w:type="dxa"/>
            <w:tcBorders/>
          </w:tcPr>
          <w:p>
            <w:pPr>
              <w:pStyle w:val="TableContents"/>
              <w:bidi w:val="0"/>
              <w:spacing w:before="0" w:after="283"/>
              <w:jc w:val="left"/>
              <w:rPr/>
            </w:pPr>
            <w:r>
              <w:rPr/>
              <w:t>Title:</w:t>
            </w:r>
          </w:p>
        </w:tc>
        <w:tc>
          <w:tcPr>
            <w:tcW w:w="22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COPYRIGHT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0" w:after="0"/>
        <w:jc w:val="center"/>
        <w:rPr>
          <w:rFonts w:ascii="Times New Roman" w:hAnsi="Times New Roman"/>
          <w:sz w:val="20"/>
        </w:rPr>
      </w:pPr>
      <w:r>
        <w:rPr>
          <w:rFonts w:ascii="Times New Roman" w:hAnsi="Times New Roman"/>
          <w:sz w:val="20"/>
        </w:rPr>
        <w:t xml:space="preserve">to </w:t>
      </w:r>
    </w:p>
    <w:p>
      <w:pPr>
        <w:pStyle w:val="TextBody"/>
        <w:bidi w:val="0"/>
        <w:spacing w:before="0" w:after="0"/>
        <w:jc w:val="center"/>
        <w:rPr>
          <w:rFonts w:ascii="Times New Roman" w:hAnsi="Times New Roman"/>
          <w:sz w:val="20"/>
        </w:rPr>
      </w:pPr>
      <w:r>
        <w:rPr>
          <w:rFonts w:ascii="Times New Roman" w:hAnsi="Times New Roman"/>
          <w:sz w:val="20"/>
        </w:rPr>
        <w:t xml:space="preserve">COPYRIGHT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PATENT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PATENT SECURITY AGREEMENT (this </w:t>
      </w:r>
      <w:r>
        <w:rPr>
          <w:rFonts w:ascii="Times New Roman" w:hAnsi="Times New Roman"/>
          <w:sz w:val="20"/>
          <w:u w:val="single"/>
        </w:rPr>
        <w:t>“Patent Security Agreemen</w:t>
      </w:r>
      <w:r>
        <w:rPr>
          <w:rFonts w:ascii="Times New Roman" w:hAnsi="Times New Roman"/>
          <w:sz w:val="20"/>
        </w:rPr>
        <w:t>t”) is made as of September 25, 2026, by and among the Grantors listed on the signature pages hereof (collectively, jointly and severally, “</w:t>
      </w:r>
      <w:r>
        <w:rPr>
          <w:rFonts w:ascii="Times New Roman" w:hAnsi="Times New Roman"/>
          <w:sz w:val="20"/>
          <w:u w:val="single"/>
        </w:rPr>
        <w:t>Grantors</w:t>
      </w:r>
      <w:r>
        <w:rPr>
          <w:rFonts w:ascii="Times New Roman" w:hAnsi="Times New Roman"/>
          <w:sz w:val="20"/>
        </w:rPr>
        <w:t>” and each individually “Granto</w:t>
      </w:r>
      <w:r>
        <w:rPr>
          <w:rFonts w:ascii="Times New Roman" w:hAnsi="Times New Roman"/>
          <w:sz w:val="20"/>
          <w:u w:val="single"/>
        </w:rPr>
        <w:t>r”), an</w:t>
      </w:r>
      <w:r>
        <w:rPr>
          <w:rFonts w:ascii="Times New Roman" w:hAnsi="Times New Roman"/>
          <w:sz w:val="20"/>
        </w:rPr>
        <w:t xml:space="preserve">d </w:t>
      </w:r>
      <w:r>
        <w:rPr>
          <w:rFonts w:ascii="Times New Roman" w:hAnsi="Times New Roman"/>
          <w:b/>
          <w:sz w:val="20"/>
        </w:rPr>
        <w:t>HSBC BANK USA, NATIONAL ASSOCIATION</w:t>
      </w:r>
      <w:r>
        <w:rPr>
          <w:rFonts w:ascii="Times New Roman" w:hAnsi="Times New Roman"/>
          <w:sz w:val="20"/>
        </w:rPr>
        <w:t>, in its capacity as administrative agent and collateral agent for each lender party to the Credit Agreement (as defined below) from time to time (in such capacity, together with its successors and assigns in such capacity, “Agent”).</w:t>
      </w:r>
      <w:r>
        <w:rPr>
          <w:rFonts w:ascii="Times New Roman" w:hAnsi="Times New Roman"/>
          <w:sz w:val="20"/>
          <w:u w:val="single"/>
        </w:rPr>
        <w:t>  </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Uncommitted Revolving Credit Agreement dated as of September 25, 2026 (as amended, modified or supplemented from time to time, the “</w:t>
      </w:r>
      <w:r>
        <w:rPr>
          <w:rFonts w:ascii="Times New Roman" w:hAnsi="Times New Roman"/>
          <w:sz w:val="20"/>
          <w:u w:val="single"/>
        </w:rPr>
        <w:t>Credit</w:t>
      </w:r>
      <w:r>
        <w:rPr>
          <w:rFonts w:ascii="Times New Roman" w:hAnsi="Times New Roman"/>
          <w:sz w:val="20"/>
        </w:rPr>
        <w:t xml:space="preserve"> </w:t>
      </w:r>
      <w:r>
        <w:rPr>
          <w:rFonts w:ascii="Times New Roman" w:hAnsi="Times New Roman"/>
          <w:sz w:val="20"/>
          <w:u w:val="single"/>
        </w:rPr>
        <w:t>Agreement</w:t>
      </w:r>
      <w:r>
        <w:rPr>
          <w:rFonts w:ascii="Times New Roman" w:hAnsi="Times New Roman"/>
          <w:sz w:val="20"/>
        </w:rPr>
        <w:t>”) by and among Power Solutions International, Inc., a Delaware corporation, as borrower (“</w:t>
      </w:r>
      <w:r>
        <w:rPr>
          <w:rFonts w:ascii="Times New Roman" w:hAnsi="Times New Roman"/>
          <w:sz w:val="20"/>
          <w:u w:val="single"/>
        </w:rPr>
        <w:t>Borrower”</w:t>
      </w:r>
      <w:r>
        <w:rPr>
          <w:rFonts w:ascii="Times New Roman" w:hAnsi="Times New Roman"/>
          <w:sz w:val="20"/>
        </w:rPr>
        <w:t>), the lenders party thereto from time to time (each of such Lenders, together with its successors and assigns, is referred to hereinafter as a “</w:t>
      </w:r>
      <w:r>
        <w:rPr>
          <w:rFonts w:ascii="Times New Roman" w:hAnsi="Times New Roman"/>
          <w:sz w:val="20"/>
          <w:u w:val="single"/>
        </w:rPr>
        <w:t>Lender</w:t>
      </w:r>
      <w:r>
        <w:rPr>
          <w:rFonts w:ascii="Times New Roman" w:hAnsi="Times New Roman"/>
          <w:sz w:val="20"/>
        </w:rPr>
        <w:t>” and collectively the “</w:t>
      </w:r>
      <w:r>
        <w:rPr>
          <w:rFonts w:ascii="Times New Roman" w:hAnsi="Times New Roman"/>
          <w:sz w:val="20"/>
          <w:u w:val="single"/>
        </w:rPr>
        <w:t>Lenders</w:t>
      </w:r>
      <w:r>
        <w:rPr>
          <w:rFonts w:ascii="Times New Roman" w:hAnsi="Times New Roman"/>
          <w:sz w:val="20"/>
        </w:rPr>
        <w:t xml:space="preserve">”), the Lenders, and Agent have each agreed to make certain financial accommodations available to the Borrower from time to time pursuant to the terms and conditions thereof; and </w:t>
      </w:r>
    </w:p>
    <w:p>
      <w:pPr>
        <w:pStyle w:val="TextBody"/>
        <w:bidi w:val="0"/>
        <w:spacing w:before="240" w:after="0"/>
        <w:jc w:val="left"/>
        <w:rPr>
          <w:rFonts w:ascii="Times New Roman" w:hAnsi="Times New Roman"/>
          <w:sz w:val="20"/>
        </w:rPr>
      </w:pPr>
      <w:r>
        <w:rPr>
          <w:rFonts w:ascii="Times New Roman" w:hAnsi="Times New Roman"/>
          <w:sz w:val="20"/>
        </w:rPr>
        <w:t>WHEREAS, the Lenders are willing to make the financial accommodations to Borrowers as provided for in the Credit Agreement and the other Loan Documents but only upon the condition, among others, that Grantors shall have executed and delivered to Agent, for the benefit of the Lenders, that certain Guaranty and Collateral Agreement, dated as of September 25, 2026 (including all annexes, exhibits or schedules thereto, as from time to time amended, restated, supplemented or otherwise modified, the “</w:t>
      </w:r>
      <w:r>
        <w:rPr>
          <w:rFonts w:ascii="Times New Roman" w:hAnsi="Times New Roman"/>
          <w:sz w:val="20"/>
          <w:u w:val="single"/>
        </w:rPr>
        <w:t>Guaranty and Collateral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Guaranty and Collateral Agreement, Grantors are required to execute and deliver to Agent, for the benefit of the Lenders, this Patent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herein contained and for other good and valuable consideration, the receipt and sufficiency of which are hereby acknowledged, each Grantor hereby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DEFINED TERMS</w:t>
      </w:r>
      <w:r>
        <w:rPr>
          <w:rFonts w:ascii="Times New Roman" w:hAnsi="Times New Roman"/>
          <w:sz w:val="20"/>
        </w:rPr>
        <w:t xml:space="preserve">. All initially capitalized terms used but not otherwise defined herein have the meanings given to them in the Guaranty and Collateral Agreement or, if not defined therein, in the Credit Agreement, and this Patent Security Agreement shall be subject to the rules of construction set forth in </w:t>
      </w:r>
      <w:r>
        <w:rPr>
          <w:rFonts w:ascii="Times New Roman" w:hAnsi="Times New Roman"/>
          <w:sz w:val="20"/>
          <w:u w:val="single"/>
        </w:rPr>
        <w:t>Section l(b)</w:t>
      </w:r>
      <w:r>
        <w:rPr>
          <w:rFonts w:ascii="Times New Roman" w:hAnsi="Times New Roman"/>
          <w:sz w:val="20"/>
        </w:rPr>
        <w:t xml:space="preserve"> of the Guaranty and Collateral Agreement, which rules of construction are incorporated herein by this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GRANT OF SECURITY INTEREST IN PATENT COLLATERAL</w:t>
      </w:r>
      <w:r>
        <w:rPr>
          <w:rFonts w:ascii="Times New Roman" w:hAnsi="Times New Roman"/>
          <w:sz w:val="20"/>
        </w:rPr>
        <w:t>. Each Grantor hereby unconditionally grants, collaterally assigns, and pledges to Agent, for the benefit each Lender, to secure the Secured Obligations, a continuing security interest (referred to in this Patent Security Agreement as the “</w:t>
      </w:r>
      <w:r>
        <w:rPr>
          <w:rFonts w:ascii="Times New Roman" w:hAnsi="Times New Roman"/>
          <w:sz w:val="20"/>
          <w:u w:val="single"/>
        </w:rPr>
        <w:t>Security Interes</w:t>
      </w:r>
      <w:r>
        <w:rPr>
          <w:rFonts w:ascii="Times New Roman" w:hAnsi="Times New Roman"/>
          <w:sz w:val="20"/>
        </w:rPr>
        <w:t>t”) in all of such Grantor’s right, title and interest in and to the following, whether now owned or hereafter acquired or arising (collectively, the “</w:t>
      </w:r>
      <w:r>
        <w:rPr>
          <w:rFonts w:ascii="Times New Roman" w:hAnsi="Times New Roman"/>
          <w:sz w:val="20"/>
          <w:u w:val="single"/>
        </w:rPr>
        <w:t>Patent</w:t>
      </w:r>
      <w:r>
        <w:rPr>
          <w:rFonts w:ascii="Times New Roman" w:hAnsi="Times New Roman"/>
          <w:sz w:val="20"/>
        </w:rPr>
        <w:t xml:space="preserve"> </w:t>
      </w:r>
      <w:r>
        <w:rPr>
          <w:rFonts w:ascii="Times New Roman" w:hAnsi="Times New Roman"/>
          <w:sz w:val="20"/>
          <w:u w:val="single"/>
        </w:rPr>
        <w:t>Collateral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all of its Patents and Patent Intellectual Property Licenses to which it is a party including those referred to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divisionals, continuations, continuations-in-part, reissues, reexaminations, or extensions of the foregoing; and </w:t>
      </w:r>
    </w:p>
    <w:p>
      <w:pPr>
        <w:pStyle w:val="TextBody"/>
        <w:bidi w:val="0"/>
        <w:spacing w:before="120" w:after="0"/>
        <w:jc w:val="left"/>
        <w:rPr>
          <w:rFonts w:ascii="Times New Roman" w:hAnsi="Times New Roman"/>
          <w:sz w:val="20"/>
        </w:rPr>
      </w:pPr>
      <w:r>
        <w:rPr>
          <w:rFonts w:ascii="Times New Roman" w:hAnsi="Times New Roman"/>
          <w:sz w:val="20"/>
        </w:rPr>
        <w:t xml:space="preserve">(c) all products and proceeds of the foregoing, including any claim by such Grantor against third parties for past, present or future infringement of any Patent or any Patent exclusively licensed under any Intellectual Property License, including the right to receive damages, or right to receive license fees, royalties, and other compensation under any Patent Intellectual Property License.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SECURITY FOR SECURED OBLIGATIONS</w:t>
      </w:r>
      <w:r>
        <w:rPr>
          <w:rFonts w:ascii="Times New Roman" w:hAnsi="Times New Roman"/>
          <w:sz w:val="20"/>
        </w:rPr>
        <w:t xml:space="preserve">. This Patent Security Agreement and the Security Interest created hereby secures the payment and performance of the Secured Obligations, whether now existing or arising hereafter. Without limiting the generality of the foregoing, this Patent Security Agreement secures the payment of all amounts which constitute part of the Secured Obligations and would be owed by Grantors, or any of them, to Agent, the other Lenders, or any of them, whether or not they are unenforceable or not allowable due to the existence of an Insolvency Proceeding involving any Grantor.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SECURITY AGREEMENT</w:t>
      </w:r>
      <w:r>
        <w:rPr>
          <w:rFonts w:ascii="Times New Roman" w:hAnsi="Times New Roman"/>
          <w:sz w:val="20"/>
        </w:rPr>
        <w:t xml:space="preserve">. The Security Interest granted pursuant to this Patent Security Agreement is granted in conjunction with the security interests granted to Agent, for the benefit of the Lenders, pursuant to the Guaranty and Collateral Agreement. Each Grantor hereby acknowledges and affirms that the rights and remedies of Agent with respect to the Security Interest in the Patent Collateral made and granted hereby are more fully set forth in the Guaranty and Collateral Agreement, the terms and provisions of which are incorporated by reference herein as if fully set forth herein. To the extent there is any inconsistency between this Patent Security Agreement and the Guaranty and Collateral Agreement, the Guaranty and Collateral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AUTHORIZATION TO SUPPLEMENT</w:t>
      </w:r>
      <w:r>
        <w:rPr>
          <w:rFonts w:ascii="Times New Roman" w:hAnsi="Times New Roman"/>
          <w:sz w:val="20"/>
        </w:rPr>
        <w:t xml:space="preserve">. If any Grantor shall obtain rights to any new patent application or issued patent or become entitled to the benefit of any patent application or patent for any divisional, continuation, continuation-in-part, reissue, or reexamination of any existing patent or patent application, the provisions of this Patent Security Agreement shall automatically apply thereto. Grantors shall give prompt notice in writing to Agent with respect to any such new patent rights. Without limiting Grantors’ obligations under this Section, Grantors hereby authorize Agent unilaterally to modify this Patent Security Agreement by amending </w:t>
      </w:r>
      <w:r>
        <w:rPr>
          <w:rFonts w:ascii="Times New Roman" w:hAnsi="Times New Roman"/>
          <w:sz w:val="20"/>
          <w:u w:val="single"/>
        </w:rPr>
        <w:t>Schedule I</w:t>
      </w:r>
      <w:r>
        <w:rPr>
          <w:rFonts w:ascii="Times New Roman" w:hAnsi="Times New Roman"/>
          <w:sz w:val="20"/>
        </w:rPr>
        <w:t xml:space="preserve"> to include any such new patent rights of each Grantor. Notwithstanding the foregoing, no failure to so modify this Patent Security Agreement or amend </w:t>
      </w:r>
      <w:r>
        <w:rPr>
          <w:rFonts w:ascii="Times New Roman" w:hAnsi="Times New Roman"/>
          <w:sz w:val="20"/>
          <w:u w:val="single"/>
        </w:rPr>
        <w:t>Schedule I</w:t>
      </w:r>
      <w:r>
        <w:rPr>
          <w:rFonts w:ascii="Times New Roman" w:hAnsi="Times New Roman"/>
          <w:sz w:val="20"/>
        </w:rPr>
        <w:t xml:space="preserve"> shall in any way affect, invalidate or detract from Agent’s continuing security interest in all Collateral, whether or not listed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COUNTERPARTS</w:t>
      </w:r>
      <w:r>
        <w:rPr>
          <w:rFonts w:ascii="Times New Roman" w:hAnsi="Times New Roman"/>
          <w:sz w:val="20"/>
        </w:rPr>
        <w:t xml:space="preserve">. This Patent Security Agreement is a Loan Document. This Patent Security Agreement may be executed in counterparts (and by different parties hereto in different counterparts), each of which shall constitute an original, but all of which when taken together shall constitute a single contract. This Patent Security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Patent Security Agreement by facsimile or in electronic (e.g., “pdf” or “tif”) format shall be effective as delivery of a manually executed counterpart of this Patent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THIS PATENT SECURITY AGREEMENT SHALL BE SUBJECT TO THE PROVISIONS IN </w:t>
      </w:r>
      <w:r>
        <w:rPr>
          <w:rFonts w:ascii="Times New Roman" w:hAnsi="Times New Roman"/>
          <w:sz w:val="20"/>
          <w:u w:val="single"/>
        </w:rPr>
        <w:t>SECTION 25</w:t>
      </w:r>
      <w:r>
        <w:rPr>
          <w:rFonts w:ascii="Times New Roman" w:hAnsi="Times New Roman"/>
          <w:sz w:val="20"/>
        </w:rPr>
        <w:t xml:space="preserve"> OF THE GUARANTY AND COLLATERAL AGREEMENT, AND SUCH PROVISIONS ARE INCORPORATED HEREIN BY THIS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Patent Security Agreement to be executed and delivered as of the day and year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2"/>
        <w:gridCol w:w="118"/>
        <w:gridCol w:w="780"/>
        <w:gridCol w:w="226"/>
        <w:gridCol w:w="4359"/>
      </w:tblGrid>
      <w:tr>
        <w:trPr/>
        <w:tc>
          <w:tcPr>
            <w:tcW w:w="4722"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4359" w:type="dxa"/>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b/>
              </w:rPr>
            </w:pPr>
            <w:r>
              <w:rPr>
                <w:b/>
              </w:rPr>
              <w:t>GRANTORS:</w:t>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pBdr>
                <w:bottom w:val="single" w:sz="2" w:space="1" w:color="000000"/>
              </w:pBdr>
              <w:bidi w:val="0"/>
              <w:spacing w:before="0" w:after="20"/>
              <w:jc w:val="left"/>
              <w:rPr/>
            </w:pPr>
            <w:r>
              <w:rPr/>
              <w:t> </w:t>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pPr>
            <w:r>
              <w:rPr/>
              <w:t>BI-PHASE TECHNOLOGIES, LLC</w:t>
            </w:r>
          </w:p>
        </w:tc>
      </w:tr>
      <w:tr>
        <w:trPr>
          <w:trHeight w:val="240" w:hRule="atLeast"/>
        </w:trPr>
        <w:tc>
          <w:tcPr>
            <w:tcW w:w="4722" w:type="dxa"/>
            <w:tcBorders/>
            <w:vAlign w:val="center"/>
          </w:tcPr>
          <w:p>
            <w:pPr>
              <w:pStyle w:val="TableContents"/>
              <w:bidi w:val="0"/>
              <w:spacing w:before="0" w:after="283"/>
              <w:jc w:val="left"/>
              <w:rPr>
                <w:sz w:val="4"/>
                <w:szCs w:val="4"/>
              </w:rPr>
            </w:pPr>
            <w:r>
              <w:rPr>
                <w:sz w:val="4"/>
                <w:szCs w:val="4"/>
              </w:rPr>
            </w:r>
          </w:p>
        </w:tc>
        <w:tc>
          <w:tcPr>
            <w:tcW w:w="898" w:type="dxa"/>
            <w:gridSpan w:val="2"/>
            <w:tcBorders/>
            <w:vAlign w:val="center"/>
          </w:tcPr>
          <w:p>
            <w:pPr>
              <w:pStyle w:val="TableContents"/>
              <w:bidi w:val="0"/>
              <w:spacing w:before="0" w:after="283"/>
              <w:jc w:val="left"/>
              <w:rPr>
                <w:sz w:val="4"/>
                <w:szCs w:val="4"/>
              </w:rPr>
            </w:pPr>
            <w:r>
              <w:rPr>
                <w:sz w:val="4"/>
                <w:szCs w:val="4"/>
              </w:rPr>
            </w:r>
          </w:p>
        </w:tc>
        <w:tc>
          <w:tcPr>
            <w:tcW w:w="4585" w:type="dxa"/>
            <w:gridSpan w:val="2"/>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By:</w:t>
            </w:r>
          </w:p>
        </w:tc>
        <w:tc>
          <w:tcPr>
            <w:tcW w:w="226" w:type="dxa"/>
            <w:tcBorders/>
            <w:vAlign w:val="bottom"/>
          </w:tcPr>
          <w:p>
            <w:pPr>
              <w:pStyle w:val="TableContents"/>
              <w:bidi w:val="0"/>
              <w:spacing w:before="0" w:after="283"/>
              <w:jc w:val="left"/>
              <w:rPr/>
            </w:pPr>
            <w:r>
              <w:rPr/>
              <w:t>  </w:t>
            </w:r>
          </w:p>
        </w:tc>
        <w:tc>
          <w:tcPr>
            <w:tcW w:w="4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 Li</w:t>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pPr>
            <w:r>
              <w:rPr/>
              <w:t>Name: Kenneth Li</w:t>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pPr>
            <w:r>
              <w:rPr/>
              <w:t>Title: Chief Financial Officer</w:t>
            </w:r>
          </w:p>
        </w:tc>
      </w:tr>
      <w:tr>
        <w:trPr>
          <w:trHeight w:val="240" w:hRule="atLeast"/>
        </w:trPr>
        <w:tc>
          <w:tcPr>
            <w:tcW w:w="4722" w:type="dxa"/>
            <w:tcBorders/>
            <w:vAlign w:val="center"/>
          </w:tcPr>
          <w:p>
            <w:pPr>
              <w:pStyle w:val="TableContents"/>
              <w:bidi w:val="0"/>
              <w:spacing w:before="0" w:after="283"/>
              <w:jc w:val="left"/>
              <w:rPr>
                <w:sz w:val="4"/>
                <w:szCs w:val="4"/>
              </w:rPr>
            </w:pPr>
            <w:r>
              <w:rPr>
                <w:sz w:val="4"/>
                <w:szCs w:val="4"/>
              </w:rPr>
            </w:r>
          </w:p>
        </w:tc>
        <w:tc>
          <w:tcPr>
            <w:tcW w:w="5483" w:type="dxa"/>
            <w:gridSpan w:val="4"/>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POWER SOLUTIONS INTERNATIONAL, INC.</w:t>
            </w:r>
          </w:p>
        </w:tc>
      </w:tr>
      <w:tr>
        <w:trPr>
          <w:trHeight w:val="240" w:hRule="atLeast"/>
        </w:trPr>
        <w:tc>
          <w:tcPr>
            <w:tcW w:w="4722" w:type="dxa"/>
            <w:tcBorders/>
            <w:vAlign w:val="center"/>
          </w:tcPr>
          <w:p>
            <w:pPr>
              <w:pStyle w:val="TableContents"/>
              <w:bidi w:val="0"/>
              <w:spacing w:before="0" w:after="283"/>
              <w:jc w:val="left"/>
              <w:rPr>
                <w:sz w:val="4"/>
                <w:szCs w:val="4"/>
              </w:rPr>
            </w:pPr>
            <w:r>
              <w:rPr>
                <w:sz w:val="4"/>
                <w:szCs w:val="4"/>
              </w:rPr>
            </w:r>
          </w:p>
        </w:tc>
        <w:tc>
          <w:tcPr>
            <w:tcW w:w="898" w:type="dxa"/>
            <w:gridSpan w:val="2"/>
            <w:tcBorders/>
            <w:vAlign w:val="center"/>
          </w:tcPr>
          <w:p>
            <w:pPr>
              <w:pStyle w:val="TableContents"/>
              <w:bidi w:val="0"/>
              <w:spacing w:before="0" w:after="283"/>
              <w:jc w:val="left"/>
              <w:rPr>
                <w:sz w:val="4"/>
                <w:szCs w:val="4"/>
              </w:rPr>
            </w:pPr>
            <w:r>
              <w:rPr>
                <w:sz w:val="4"/>
                <w:szCs w:val="4"/>
              </w:rPr>
            </w:r>
          </w:p>
        </w:tc>
        <w:tc>
          <w:tcPr>
            <w:tcW w:w="4585" w:type="dxa"/>
            <w:gridSpan w:val="2"/>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By:</w:t>
            </w:r>
          </w:p>
        </w:tc>
        <w:tc>
          <w:tcPr>
            <w:tcW w:w="226" w:type="dxa"/>
            <w:tcBorders/>
            <w:vAlign w:val="bottom"/>
          </w:tcPr>
          <w:p>
            <w:pPr>
              <w:pStyle w:val="TableContents"/>
              <w:bidi w:val="0"/>
              <w:spacing w:before="0" w:after="283"/>
              <w:jc w:val="left"/>
              <w:rPr/>
            </w:pPr>
            <w:r>
              <w:rPr/>
              <w:t>  </w:t>
            </w:r>
          </w:p>
        </w:tc>
        <w:tc>
          <w:tcPr>
            <w:tcW w:w="4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 Li</w:t>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pPr>
            <w:r>
              <w:rPr/>
              <w:t>Name: Kenneth Li</w:t>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pPr>
            <w:r>
              <w:rPr/>
              <w:t>Title: Chief Financial Officer</w:t>
            </w:r>
          </w:p>
        </w:tc>
      </w:tr>
      <w:tr>
        <w:trPr>
          <w:trHeight w:val="240" w:hRule="atLeast"/>
        </w:trPr>
        <w:tc>
          <w:tcPr>
            <w:tcW w:w="4722" w:type="dxa"/>
            <w:tcBorders/>
            <w:vAlign w:val="center"/>
          </w:tcPr>
          <w:p>
            <w:pPr>
              <w:pStyle w:val="TableContents"/>
              <w:bidi w:val="0"/>
              <w:spacing w:before="0" w:after="283"/>
              <w:jc w:val="left"/>
              <w:rPr>
                <w:sz w:val="4"/>
                <w:szCs w:val="4"/>
              </w:rPr>
            </w:pPr>
            <w:r>
              <w:rPr>
                <w:sz w:val="4"/>
                <w:szCs w:val="4"/>
              </w:rPr>
            </w:r>
          </w:p>
        </w:tc>
        <w:tc>
          <w:tcPr>
            <w:tcW w:w="5483" w:type="dxa"/>
            <w:gridSpan w:val="4"/>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b/>
              </w:rPr>
            </w:pPr>
            <w:r>
              <w:rPr>
                <w:b/>
              </w:rPr>
              <w:t>ACCEPTED AND ACKNOWLEDGED BY:</w:t>
            </w:r>
          </w:p>
        </w:tc>
      </w:tr>
      <w:tr>
        <w:trPr>
          <w:trHeight w:val="240" w:hRule="atLeast"/>
        </w:trPr>
        <w:tc>
          <w:tcPr>
            <w:tcW w:w="4722" w:type="dxa"/>
            <w:tcBorders/>
            <w:vAlign w:val="center"/>
          </w:tcPr>
          <w:p>
            <w:pPr>
              <w:pStyle w:val="TableContents"/>
              <w:bidi w:val="0"/>
              <w:spacing w:before="0" w:after="283"/>
              <w:jc w:val="left"/>
              <w:rPr>
                <w:sz w:val="4"/>
                <w:szCs w:val="4"/>
              </w:rPr>
            </w:pPr>
            <w:r>
              <w:rPr>
                <w:sz w:val="4"/>
                <w:szCs w:val="4"/>
              </w:rPr>
            </w:r>
          </w:p>
        </w:tc>
        <w:tc>
          <w:tcPr>
            <w:tcW w:w="5483" w:type="dxa"/>
            <w:gridSpan w:val="4"/>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b/>
              </w:rPr>
            </w:pPr>
            <w:r>
              <w:rPr>
                <w:b/>
              </w:rPr>
              <w:t>AGENT:</w:t>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b/>
              </w:rPr>
            </w:pPr>
            <w:r>
              <w:rPr>
                <w:b/>
              </w:rPr>
              <w:t>HSBC BANK USA, NATIONAL ASSOCIATION</w:t>
            </w:r>
          </w:p>
        </w:tc>
      </w:tr>
      <w:tr>
        <w:trPr>
          <w:trHeight w:val="240" w:hRule="atLeast"/>
        </w:trPr>
        <w:tc>
          <w:tcPr>
            <w:tcW w:w="4722" w:type="dxa"/>
            <w:tcBorders/>
            <w:vAlign w:val="center"/>
          </w:tcPr>
          <w:p>
            <w:pPr>
              <w:pStyle w:val="TableContents"/>
              <w:bidi w:val="0"/>
              <w:spacing w:before="0" w:after="283"/>
              <w:jc w:val="left"/>
              <w:rPr>
                <w:sz w:val="4"/>
                <w:szCs w:val="4"/>
              </w:rPr>
            </w:pPr>
            <w:r>
              <w:rPr>
                <w:sz w:val="4"/>
                <w:szCs w:val="4"/>
              </w:rPr>
            </w:r>
          </w:p>
        </w:tc>
        <w:tc>
          <w:tcPr>
            <w:tcW w:w="898" w:type="dxa"/>
            <w:gridSpan w:val="2"/>
            <w:tcBorders/>
            <w:vAlign w:val="center"/>
          </w:tcPr>
          <w:p>
            <w:pPr>
              <w:pStyle w:val="TableContents"/>
              <w:bidi w:val="0"/>
              <w:spacing w:before="0" w:after="283"/>
              <w:jc w:val="left"/>
              <w:rPr>
                <w:sz w:val="4"/>
                <w:szCs w:val="4"/>
              </w:rPr>
            </w:pPr>
            <w:r>
              <w:rPr>
                <w:sz w:val="4"/>
                <w:szCs w:val="4"/>
              </w:rPr>
            </w:r>
          </w:p>
        </w:tc>
        <w:tc>
          <w:tcPr>
            <w:tcW w:w="4585" w:type="dxa"/>
            <w:gridSpan w:val="2"/>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By:</w:t>
            </w:r>
          </w:p>
        </w:tc>
        <w:tc>
          <w:tcPr>
            <w:tcW w:w="226" w:type="dxa"/>
            <w:tcBorders/>
            <w:vAlign w:val="bottom"/>
          </w:tcPr>
          <w:p>
            <w:pPr>
              <w:pStyle w:val="TableContents"/>
              <w:bidi w:val="0"/>
              <w:spacing w:before="0" w:after="283"/>
              <w:jc w:val="left"/>
              <w:rPr/>
            </w:pPr>
            <w:r>
              <w:rPr/>
              <w:t>  </w:t>
            </w:r>
          </w:p>
        </w:tc>
        <w:tc>
          <w:tcPr>
            <w:tcW w:w="4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Leslie Morales</w:t>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pPr>
            <w:r>
              <w:rPr/>
              <w:t>Name: Leslie Morales</w:t>
            </w:r>
          </w:p>
        </w:tc>
      </w:tr>
      <w:tr>
        <w:trPr/>
        <w:tc>
          <w:tcPr>
            <w:tcW w:w="47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365" w:type="dxa"/>
            <w:gridSpan w:val="3"/>
            <w:tcBorders/>
          </w:tcPr>
          <w:p>
            <w:pPr>
              <w:pStyle w:val="TableContents"/>
              <w:bidi w:val="0"/>
              <w:spacing w:before="0" w:after="283"/>
              <w:jc w:val="left"/>
              <w:rPr/>
            </w:pPr>
            <w:r>
              <w:rPr/>
              <w:t>Title: Associate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PATENT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0" w:after="0"/>
        <w:jc w:val="center"/>
        <w:rPr>
          <w:rFonts w:ascii="Times New Roman" w:hAnsi="Times New Roman"/>
          <w:sz w:val="20"/>
        </w:rPr>
      </w:pPr>
      <w:r>
        <w:rPr>
          <w:rFonts w:ascii="Times New Roman" w:hAnsi="Times New Roman"/>
          <w:sz w:val="20"/>
        </w:rPr>
        <w:t xml:space="preserve">to </w:t>
      </w:r>
    </w:p>
    <w:p>
      <w:pPr>
        <w:pStyle w:val="TextBody"/>
        <w:bidi w:val="0"/>
        <w:spacing w:before="0" w:after="0"/>
        <w:jc w:val="center"/>
        <w:rPr>
          <w:rFonts w:ascii="Times New Roman" w:hAnsi="Times New Roman"/>
          <w:sz w:val="20"/>
        </w:rPr>
      </w:pPr>
      <w:r>
        <w:rPr>
          <w:rFonts w:ascii="Times New Roman" w:hAnsi="Times New Roman"/>
          <w:sz w:val="20"/>
        </w:rPr>
        <w:t xml:space="preserve">PATENT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PLEDGED INTERESTS ADDENDUM </w:t>
      </w:r>
    </w:p>
    <w:p>
      <w:pPr>
        <w:pStyle w:val="TextBody"/>
        <w:bidi w:val="0"/>
        <w:spacing w:before="240" w:after="0"/>
        <w:jc w:val="left"/>
        <w:rPr>
          <w:rFonts w:ascii="Times New Roman" w:hAnsi="Times New Roman"/>
          <w:sz w:val="20"/>
        </w:rPr>
      </w:pPr>
      <w:r>
        <w:rPr>
          <w:rFonts w:ascii="Times New Roman" w:hAnsi="Times New Roman"/>
          <w:sz w:val="20"/>
        </w:rPr>
        <w:t xml:space="preserve">This Pledged Interests Addendum, dated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(this “</w:t>
      </w:r>
      <w:r>
        <w:rPr>
          <w:rFonts w:ascii="Times New Roman" w:hAnsi="Times New Roman"/>
          <w:sz w:val="20"/>
          <w:u w:val="single"/>
        </w:rPr>
        <w:t>Pledged</w:t>
      </w:r>
      <w:r>
        <w:rPr>
          <w:rFonts w:ascii="Times New Roman" w:hAnsi="Times New Roman"/>
          <w:sz w:val="20"/>
        </w:rPr>
        <w:t xml:space="preserve"> </w:t>
      </w:r>
      <w:r>
        <w:rPr>
          <w:rFonts w:ascii="Times New Roman" w:hAnsi="Times New Roman"/>
          <w:sz w:val="20"/>
          <w:u w:val="single"/>
        </w:rPr>
        <w:t>Interests Addendum</w:t>
      </w:r>
      <w:r>
        <w:rPr>
          <w:rFonts w:ascii="Times New Roman" w:hAnsi="Times New Roman"/>
          <w:sz w:val="20"/>
        </w:rPr>
        <w:t xml:space="preserve">”), is delivered pursuant to </w:t>
      </w:r>
      <w:r>
        <w:rPr>
          <w:rFonts w:ascii="Times New Roman" w:hAnsi="Times New Roman"/>
          <w:sz w:val="20"/>
          <w:u w:val="single"/>
        </w:rPr>
        <w:t>Section 7</w:t>
      </w:r>
      <w:r>
        <w:rPr>
          <w:rFonts w:ascii="Times New Roman" w:hAnsi="Times New Roman"/>
          <w:sz w:val="20"/>
        </w:rPr>
        <w:t xml:space="preserve"> of the Guaranty and Collateral Agreement referred to below. The undersigned hereby agrees that this Pledged Interests Addendum may be attached to that certain Guaranty and Collateral Agreement, dated as of September 25, 2026 (as amended, restated, supplemented, or otherwise modified from time to time, t</w:t>
      </w:r>
      <w:r>
        <w:rPr>
          <w:rFonts w:ascii="Times New Roman" w:hAnsi="Times New Roman"/>
          <w:sz w:val="20"/>
          <w:u w:val="single"/>
        </w:rPr>
        <w:t>he “Guaranty and Collateral Agreem</w:t>
      </w:r>
      <w:r>
        <w:rPr>
          <w:rFonts w:ascii="Times New Roman" w:hAnsi="Times New Roman"/>
          <w:sz w:val="20"/>
        </w:rPr>
        <w:t xml:space="preserve">ent”), made by the undersigned, together with the other Grantors named therein, to </w:t>
      </w:r>
      <w:r>
        <w:rPr>
          <w:rFonts w:ascii="Times New Roman" w:hAnsi="Times New Roman"/>
          <w:b/>
          <w:sz w:val="20"/>
        </w:rPr>
        <w:t>HSBC BANK USA, NATIONAL ASSOCIATION</w:t>
      </w:r>
      <w:r>
        <w:rPr>
          <w:rFonts w:ascii="Times New Roman" w:hAnsi="Times New Roman"/>
          <w:sz w:val="20"/>
        </w:rPr>
        <w:t xml:space="preserve">, as Agent. Initially capitalized terms used but not defined herein shall have the meaning ascribed to such terms in the Guaranty and Collateral Agreement or, if not defined therein, in the Credit Agreement, and this Pledged Interests Addendum shall be subject to the rules of construction set forth in </w:t>
      </w:r>
      <w:r>
        <w:rPr>
          <w:rFonts w:ascii="Times New Roman" w:hAnsi="Times New Roman"/>
          <w:sz w:val="20"/>
          <w:u w:val="single"/>
        </w:rPr>
        <w:t>Section 1(b)</w:t>
      </w:r>
      <w:r>
        <w:rPr>
          <w:rFonts w:ascii="Times New Roman" w:hAnsi="Times New Roman"/>
          <w:sz w:val="20"/>
        </w:rPr>
        <w:t xml:space="preserve"> of the Guaranty and Collateral Agreement, which rules of construction are incorporated herein by this reference, </w:t>
      </w:r>
      <w:r>
        <w:rPr>
          <w:rFonts w:ascii="Times New Roman" w:hAnsi="Times New Roman"/>
          <w:i/>
          <w:sz w:val="20"/>
        </w:rPr>
        <w:t>mutatis mutandis</w:t>
      </w:r>
      <w:r>
        <w:rPr>
          <w:rFonts w:ascii="Times New Roman" w:hAnsi="Times New Roman"/>
          <w:sz w:val="20"/>
        </w:rPr>
        <w:t xml:space="preserve">. The undersigned hereby agrees that the additional interests listed on </w:t>
      </w:r>
      <w:r>
        <w:rPr>
          <w:rFonts w:ascii="Times New Roman" w:hAnsi="Times New Roman"/>
          <w:sz w:val="20"/>
          <w:u w:val="single"/>
        </w:rPr>
        <w:t>Schedule I</w:t>
      </w:r>
      <w:r>
        <w:rPr>
          <w:rFonts w:ascii="Times New Roman" w:hAnsi="Times New Roman"/>
          <w:sz w:val="20"/>
        </w:rPr>
        <w:t xml:space="preserve"> shall be and become part of the Pledged Interests pledged by the undersigned to Agent in the Guaranty and Collateral Agreement and any pledged company set forth on </w:t>
      </w:r>
      <w:r>
        <w:rPr>
          <w:rFonts w:ascii="Times New Roman" w:hAnsi="Times New Roman"/>
          <w:sz w:val="20"/>
          <w:u w:val="single"/>
        </w:rPr>
        <w:t>Schedule I</w:t>
      </w:r>
      <w:r>
        <w:rPr>
          <w:rFonts w:ascii="Times New Roman" w:hAnsi="Times New Roman"/>
          <w:sz w:val="20"/>
        </w:rPr>
        <w:t xml:space="preserve"> shall be and become a “Pledged Company” under the Guaranty and Collateral Agreement, each with the same force and effect as if originally named therein. </w:t>
      </w:r>
    </w:p>
    <w:p>
      <w:pPr>
        <w:pStyle w:val="TextBody"/>
        <w:bidi w:val="0"/>
        <w:spacing w:before="240" w:after="0"/>
        <w:jc w:val="left"/>
        <w:rPr>
          <w:rFonts w:ascii="Times New Roman" w:hAnsi="Times New Roman"/>
          <w:sz w:val="20"/>
        </w:rPr>
      </w:pPr>
      <w:r>
        <w:rPr>
          <w:rFonts w:ascii="Times New Roman" w:hAnsi="Times New Roman"/>
          <w:sz w:val="20"/>
        </w:rPr>
        <w:t xml:space="preserve">This Pledged Interests Addendum is a Loan Document. Delivery of an executed counterpart of this Pledged Interests Addendum by facsimile or in electronic (e.g., “pdf” or “tif”) format shall be effective as delivery of a manually executed counterpart of this Pledged Interests Addendum.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certifies that the representations and warranties set forth in </w:t>
      </w:r>
      <w:r>
        <w:rPr>
          <w:rFonts w:ascii="Times New Roman" w:hAnsi="Times New Roman"/>
          <w:sz w:val="20"/>
          <w:u w:val="single"/>
        </w:rPr>
        <w:t>Section 6</w:t>
      </w:r>
      <w:r>
        <w:rPr>
          <w:rFonts w:ascii="Times New Roman" w:hAnsi="Times New Roman"/>
          <w:sz w:val="20"/>
        </w:rPr>
        <w:t xml:space="preserve"> of the Guaranty and Collateral Agreement of the undersigned are true and correct as to the Pledged Interests listed herein on and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THIS PLEDGED INTERESTS ADDENDUM SHALL BE SUBJECT TO THE PROVISIONS IN </w:t>
      </w:r>
      <w:r>
        <w:rPr>
          <w:rFonts w:ascii="Times New Roman" w:hAnsi="Times New Roman"/>
          <w:sz w:val="20"/>
          <w:u w:val="single"/>
        </w:rPr>
        <w:t>SECTION 25</w:t>
      </w:r>
      <w:r>
        <w:rPr>
          <w:rFonts w:ascii="Times New Roman" w:hAnsi="Times New Roman"/>
          <w:sz w:val="20"/>
        </w:rPr>
        <w:t xml:space="preserve"> OF THE GUARANTY AND COLLATERAL AGREEMENT, AND SUCH PROVISIONS ARE INCORPORATED HEREIN BY THIS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Pledged Interests Addendum to be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7"/>
        <w:gridCol w:w="60"/>
        <w:gridCol w:w="3385"/>
      </w:tblGrid>
      <w:tr>
        <w:trPr/>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637" w:type="dxa"/>
            <w:tcBorders/>
            <w:vAlign w:val="center"/>
          </w:tcPr>
          <w:p>
            <w:pPr>
              <w:pStyle w:val="TableContents"/>
              <w:bidi w:val="0"/>
              <w:spacing w:before="0" w:after="283"/>
              <w:jc w:val="left"/>
              <w:rPr>
                <w:sz w:val="4"/>
                <w:szCs w:val="4"/>
              </w:rPr>
            </w:pPr>
            <w:r>
              <w:rPr>
                <w:sz w:val="4"/>
                <w:szCs w:val="4"/>
              </w:rPr>
            </w:r>
          </w:p>
        </w:tc>
        <w:tc>
          <w:tcPr>
            <w:tcW w:w="3445" w:type="dxa"/>
            <w:gridSpan w:val="2"/>
            <w:tcBorders/>
            <w:vAlign w:val="center"/>
          </w:tcPr>
          <w:p>
            <w:pPr>
              <w:pStyle w:val="TableContents"/>
              <w:bidi w:val="0"/>
              <w:spacing w:before="0" w:after="283"/>
              <w:jc w:val="left"/>
              <w:rPr>
                <w:sz w:val="4"/>
                <w:szCs w:val="4"/>
              </w:rPr>
            </w:pPr>
            <w:r>
              <w:rPr>
                <w:sz w:val="4"/>
                <w:szCs w:val="4"/>
              </w:rPr>
            </w:r>
          </w:p>
        </w:tc>
      </w:tr>
      <w:tr>
        <w:trPr/>
        <w:tc>
          <w:tcPr>
            <w:tcW w:w="63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385" w:type="dxa"/>
            <w:tcBorders/>
          </w:tcPr>
          <w:p>
            <w:pPr>
              <w:pStyle w:val="TableContents"/>
              <w:pBdr>
                <w:bottom w:val="single" w:sz="2" w:space="1" w:color="000000"/>
              </w:pBdr>
              <w:bidi w:val="0"/>
              <w:spacing w:before="0" w:after="20"/>
              <w:jc w:val="left"/>
              <w:rPr/>
            </w:pPr>
            <w:r>
              <w:rPr/>
              <w:t> </w:t>
            </w:r>
          </w:p>
        </w:tc>
      </w:tr>
      <w:tr>
        <w:trPr/>
        <w:tc>
          <w:tcPr>
            <w:tcW w:w="63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85" w:type="dxa"/>
            <w:tcBorders/>
          </w:tcPr>
          <w:p>
            <w:pPr>
              <w:pStyle w:val="TableContents"/>
              <w:pBdr>
                <w:bottom w:val="single" w:sz="2" w:space="1" w:color="000000"/>
              </w:pBdr>
              <w:bidi w:val="0"/>
              <w:spacing w:before="0" w:after="20"/>
              <w:jc w:val="left"/>
              <w:rPr/>
            </w:pPr>
            <w:r>
              <w:rPr/>
              <w:t> </w:t>
            </w:r>
          </w:p>
        </w:tc>
      </w:tr>
      <w:tr>
        <w:trPr/>
        <w:tc>
          <w:tcPr>
            <w:tcW w:w="63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85"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PLEDGED INTERESTS ADDENDUM]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0" w:after="0"/>
        <w:jc w:val="center"/>
        <w:rPr>
          <w:rFonts w:ascii="Times New Roman" w:hAnsi="Times New Roman"/>
          <w:sz w:val="20"/>
        </w:rPr>
      </w:pPr>
      <w:r>
        <w:rPr>
          <w:rFonts w:ascii="Times New Roman" w:hAnsi="Times New Roman"/>
          <w:sz w:val="20"/>
        </w:rPr>
        <w:t xml:space="preserve">to </w:t>
      </w:r>
    </w:p>
    <w:p>
      <w:pPr>
        <w:pStyle w:val="TextBody"/>
        <w:bidi w:val="0"/>
        <w:spacing w:before="0" w:after="0"/>
        <w:jc w:val="center"/>
        <w:rPr>
          <w:rFonts w:ascii="Times New Roman" w:hAnsi="Times New Roman"/>
          <w:sz w:val="20"/>
        </w:rPr>
      </w:pPr>
      <w:r>
        <w:rPr>
          <w:rFonts w:ascii="Times New Roman" w:hAnsi="Times New Roman"/>
          <w:sz w:val="20"/>
        </w:rPr>
        <w:t xml:space="preserve">PLEDGED INTERESTS ADDENDUM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D</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TRADEMARK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TRADEMARK SECURITY AGREEMENT (this </w:t>
      </w:r>
      <w:r>
        <w:rPr>
          <w:rFonts w:ascii="Times New Roman" w:hAnsi="Times New Roman"/>
          <w:sz w:val="20"/>
          <w:u w:val="single"/>
        </w:rPr>
        <w:t>“Trademark Security Agreemen</w:t>
      </w:r>
      <w:r>
        <w:rPr>
          <w:rFonts w:ascii="Times New Roman" w:hAnsi="Times New Roman"/>
          <w:sz w:val="20"/>
        </w:rPr>
        <w:t>t”) is made as of September 25, 2026, by and among Grantors listed on the signature pages hereof (collectively, jointly and severally, “</w:t>
      </w:r>
      <w:r>
        <w:rPr>
          <w:rFonts w:ascii="Times New Roman" w:hAnsi="Times New Roman"/>
          <w:sz w:val="20"/>
          <w:u w:val="single"/>
        </w:rPr>
        <w:t>Grantors</w:t>
      </w:r>
      <w:r>
        <w:rPr>
          <w:rFonts w:ascii="Times New Roman" w:hAnsi="Times New Roman"/>
          <w:sz w:val="20"/>
        </w:rPr>
        <w:t>” and each individually “Granto</w:t>
      </w:r>
      <w:r>
        <w:rPr>
          <w:rFonts w:ascii="Times New Roman" w:hAnsi="Times New Roman"/>
          <w:sz w:val="20"/>
          <w:u w:val="single"/>
        </w:rPr>
        <w:t>r”), an</w:t>
      </w:r>
      <w:r>
        <w:rPr>
          <w:rFonts w:ascii="Times New Roman" w:hAnsi="Times New Roman"/>
          <w:sz w:val="20"/>
        </w:rPr>
        <w:t xml:space="preserve">d </w:t>
      </w:r>
      <w:r>
        <w:rPr>
          <w:rFonts w:ascii="Times New Roman" w:hAnsi="Times New Roman"/>
          <w:b/>
          <w:sz w:val="20"/>
        </w:rPr>
        <w:t>HSBC BANK USA, NATIONAL ASSOCIATION</w:t>
      </w:r>
      <w:r>
        <w:rPr>
          <w:rFonts w:ascii="Times New Roman" w:hAnsi="Times New Roman"/>
          <w:sz w:val="20"/>
        </w:rPr>
        <w:t>, in its capacity as administrative agent and collateral agent for each lender party to the Credit Agreement (as defined below) from time to time (in such capacity, together with its successors and assigns in such capacity, “Agent”).</w:t>
      </w:r>
      <w:r>
        <w:rPr>
          <w:rFonts w:ascii="Times New Roman" w:hAnsi="Times New Roman"/>
          <w:sz w:val="20"/>
          <w:u w:val="single"/>
        </w:rPr>
        <w:t> </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Uncommitted Revolving Credit Agreement dated as of September 25, 2026 (as amended, modified or supplemented from time to time, the “</w:t>
      </w:r>
      <w:r>
        <w:rPr>
          <w:rFonts w:ascii="Times New Roman" w:hAnsi="Times New Roman"/>
          <w:sz w:val="20"/>
          <w:u w:val="single"/>
        </w:rPr>
        <w:t>Credit</w:t>
      </w:r>
      <w:r>
        <w:rPr>
          <w:rFonts w:ascii="Times New Roman" w:hAnsi="Times New Roman"/>
          <w:sz w:val="20"/>
        </w:rPr>
        <w:t xml:space="preserve"> </w:t>
      </w:r>
      <w:r>
        <w:rPr>
          <w:rFonts w:ascii="Times New Roman" w:hAnsi="Times New Roman"/>
          <w:sz w:val="20"/>
          <w:u w:val="single"/>
        </w:rPr>
        <w:t>Agreement</w:t>
      </w:r>
      <w:r>
        <w:rPr>
          <w:rFonts w:ascii="Times New Roman" w:hAnsi="Times New Roman"/>
          <w:sz w:val="20"/>
        </w:rPr>
        <w:t>”) by and among Power Solutions International, Inc., a Delaware corporation, as borrower (“</w:t>
      </w:r>
      <w:r>
        <w:rPr>
          <w:rFonts w:ascii="Times New Roman" w:hAnsi="Times New Roman"/>
          <w:sz w:val="20"/>
          <w:u w:val="single"/>
        </w:rPr>
        <w:t>Borrower”</w:t>
      </w:r>
      <w:r>
        <w:rPr>
          <w:rFonts w:ascii="Times New Roman" w:hAnsi="Times New Roman"/>
          <w:sz w:val="20"/>
        </w:rPr>
        <w:t>), the lenders party thereto from time to time (each of such Lenders, together with its successors and assigns, is referred to hereinafter as a “</w:t>
      </w:r>
      <w:r>
        <w:rPr>
          <w:rFonts w:ascii="Times New Roman" w:hAnsi="Times New Roman"/>
          <w:sz w:val="20"/>
          <w:u w:val="single"/>
        </w:rPr>
        <w:t>Lender</w:t>
      </w:r>
      <w:r>
        <w:rPr>
          <w:rFonts w:ascii="Times New Roman" w:hAnsi="Times New Roman"/>
          <w:sz w:val="20"/>
        </w:rPr>
        <w:t>” and collectively the “</w:t>
      </w:r>
      <w:r>
        <w:rPr>
          <w:rFonts w:ascii="Times New Roman" w:hAnsi="Times New Roman"/>
          <w:sz w:val="20"/>
          <w:u w:val="single"/>
        </w:rPr>
        <w:t>Lenders</w:t>
      </w:r>
      <w:r>
        <w:rPr>
          <w:rFonts w:ascii="Times New Roman" w:hAnsi="Times New Roman"/>
          <w:sz w:val="20"/>
        </w:rPr>
        <w:t xml:space="preserve">”), the Lenders, and Agent have each agreed to make certain financial accommodations available to the Borrower from time to time pursuant to the terms and conditions thereof; and </w:t>
      </w:r>
    </w:p>
    <w:p>
      <w:pPr>
        <w:pStyle w:val="TextBody"/>
        <w:bidi w:val="0"/>
        <w:spacing w:before="240" w:after="0"/>
        <w:jc w:val="left"/>
        <w:rPr>
          <w:rFonts w:ascii="Times New Roman" w:hAnsi="Times New Roman"/>
          <w:sz w:val="20"/>
        </w:rPr>
      </w:pPr>
      <w:r>
        <w:rPr>
          <w:rFonts w:ascii="Times New Roman" w:hAnsi="Times New Roman"/>
          <w:sz w:val="20"/>
        </w:rPr>
        <w:t>WHEREAS, the Lenders are willing to make the financial accommodations to Borrowers as provided for in the Credit Agreement and the other Loan Documents but only upon the condition, among others, that Grantors shall have executed and delivered to Agent, for the benefit of the Lenders, that certain Guaranty and Collateral Agreement, dated as of September 25, 2026 (including all annexes, exhibits or schedules thereto, as from time to time amended, restated, supplemented or otherwise modified, the “</w:t>
      </w:r>
      <w:r>
        <w:rPr>
          <w:rFonts w:ascii="Times New Roman" w:hAnsi="Times New Roman"/>
          <w:sz w:val="20"/>
          <w:u w:val="single"/>
        </w:rPr>
        <w:t>Guaranty and Collateral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Guaranty and Collateral Agreement, Grantors are required to execute and deliver to Agent, for the benefit of the Lenders, this Trademark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herein contained and for other good and valuable consideration, the receipt and sufficiency of which are hereby acknowledged, each Grantor hereby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DEFINED TERMS</w:t>
      </w:r>
      <w:r>
        <w:rPr>
          <w:rFonts w:ascii="Times New Roman" w:hAnsi="Times New Roman"/>
          <w:sz w:val="20"/>
        </w:rPr>
        <w:t xml:space="preserve">. All initially capitalized terms used but not otherwise defined herein have the meanings given to them in the Guaranty and Collateral Agreement or, if not defined therein, in the Credit Agreement, and this Trademark Security Agreement shall be subject to the rules of construction set forth in </w:t>
      </w:r>
      <w:r>
        <w:rPr>
          <w:rFonts w:ascii="Times New Roman" w:hAnsi="Times New Roman"/>
          <w:sz w:val="20"/>
          <w:u w:val="single"/>
        </w:rPr>
        <w:t>Section l(b)</w:t>
      </w:r>
      <w:r>
        <w:rPr>
          <w:rFonts w:ascii="Times New Roman" w:hAnsi="Times New Roman"/>
          <w:sz w:val="20"/>
        </w:rPr>
        <w:t xml:space="preserve"> of the Guaranty and Collateral Agreement, which rules of construction are incorporated herein by this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GRANT OF SECURITY INTEREST IN TRADEMARK COLLATERAL</w:t>
      </w:r>
      <w:r>
        <w:rPr>
          <w:rFonts w:ascii="Times New Roman" w:hAnsi="Times New Roman"/>
          <w:sz w:val="20"/>
        </w:rPr>
        <w:t>. Each Grantor hereby unconditionally grants, collaterally assigns, and pledges to Agent, for the benefit each Lender, to secure the Secured Obligations, a continuing security interest (referred to in this Trademark Security Agreement as the “</w:t>
      </w:r>
      <w:r>
        <w:rPr>
          <w:rFonts w:ascii="Times New Roman" w:hAnsi="Times New Roman"/>
          <w:sz w:val="20"/>
          <w:u w:val="single"/>
        </w:rPr>
        <w:t>Security Interest</w:t>
      </w:r>
      <w:r>
        <w:rPr>
          <w:rFonts w:ascii="Times New Roman" w:hAnsi="Times New Roman"/>
          <w:sz w:val="20"/>
        </w:rPr>
        <w:t>”) in all of such Grantor’s right, title and interest in and to the following, whether now owned or hereafter acquired or arising (collectively, the “</w:t>
      </w:r>
      <w:r>
        <w:rPr>
          <w:rFonts w:ascii="Times New Roman" w:hAnsi="Times New Roman"/>
          <w:sz w:val="20"/>
          <w:u w:val="single"/>
        </w:rPr>
        <w:t>Trademark Collateral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all of its Trademarks and Trademark Intellectual Property Licenses to which it is a party including those referred to on Schedule I; </w:t>
      </w:r>
    </w:p>
    <w:p>
      <w:pPr>
        <w:pStyle w:val="TextBody"/>
        <w:bidi w:val="0"/>
        <w:spacing w:before="120" w:after="0"/>
        <w:jc w:val="left"/>
        <w:rPr>
          <w:rFonts w:ascii="Times New Roman" w:hAnsi="Times New Roman"/>
          <w:sz w:val="20"/>
        </w:rPr>
      </w:pPr>
      <w:r>
        <w:rPr>
          <w:rFonts w:ascii="Times New Roman" w:hAnsi="Times New Roman"/>
          <w:sz w:val="20"/>
        </w:rPr>
        <w:t xml:space="preserve">(b) all goodwill of the business connected with the use of, and symbolized by, each Trademark and each Trademark Intellectual Property License; and </w:t>
      </w:r>
    </w:p>
    <w:p>
      <w:pPr>
        <w:pStyle w:val="TextBody"/>
        <w:bidi w:val="0"/>
        <w:spacing w:before="240" w:after="0"/>
        <w:jc w:val="left"/>
        <w:rPr>
          <w:rFonts w:ascii="Times New Roman" w:hAnsi="Times New Roman"/>
          <w:sz w:val="20"/>
        </w:rPr>
      </w:pPr>
      <w:r>
        <w:rPr>
          <w:rFonts w:ascii="Times New Roman" w:hAnsi="Times New Roman"/>
          <w:sz w:val="20"/>
        </w:rPr>
        <w:t xml:space="preserve">(c) all products and proceeds (as that term is defined in the Code) of the foregoing, including any claim by such Grantor against third parties for past, present or future (i) infringement or dilution of any Trademark or any Trademarks exclusively licensed under any Intellectual Property License, including right to receive any damages, (ii) injury to the goodwill associated with any Trademark, or (iii) right to receive license fees, royalties, and other compensation under any Trademark Intellectual Property License.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SECURITY FOR SECURED OBLIGATIONS</w:t>
      </w:r>
      <w:r>
        <w:rPr>
          <w:rFonts w:ascii="Times New Roman" w:hAnsi="Times New Roman"/>
          <w:sz w:val="20"/>
        </w:rPr>
        <w:t xml:space="preserve">. This Trademark Security Agreement and the Security Interest created hereby secures the payment and performance of the Secured Obligations, whether now existing or arising hereafter. Without limiting the generality of the foregoing, this Trademark Security Agreement secures the payment of all amounts which constitute part of the Secured Obligations and would be owed by Grantors, or any of them, to Agent, the other Lenders, or any of them, whether or not they are unenforceable or not allowable due to the existence of an Insolvency Proceeding involving any Grantor.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SECURITY AGREEMENT</w:t>
      </w:r>
      <w:r>
        <w:rPr>
          <w:rFonts w:ascii="Times New Roman" w:hAnsi="Times New Roman"/>
          <w:sz w:val="20"/>
        </w:rPr>
        <w:t xml:space="preserve">. The Security Interest granted pursuant to this Trademark Security Agreement is granted in conjunction with the security interests granted to Agent, for the benefit of the Lenders, pursuant to the Guaranty and Collateral Agreement. Each Grantor hereby acknowledges and affirms that the rights and remedies of Agent with respect to the Security Interest in the Trademark Collateral made and granted hereby are more fully set forth in the Guaranty and Collateral Agreement, the terms and provisions of which are incorporated by reference herein as if fully set forth herein. To the extent there is any inconsistency between this Trademark Security Agreement and the Guaranty and Collateral Agreement, the Guaranty and Collateral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AUTHORIZATION TO SUPPLEMENT</w:t>
      </w:r>
      <w:r>
        <w:rPr>
          <w:rFonts w:ascii="Times New Roman" w:hAnsi="Times New Roman"/>
          <w:sz w:val="20"/>
        </w:rPr>
        <w:t xml:space="preserve">. If any Grantor shall obtain rights to any new trademarks, the provisions of this Trademark Security Agreement shall automatically apply thereto. Grantors shall give prompt notice in writing to Agent with respect to any such new trademarks or renewal or extension of any trademark registration. Without limiting Grantors’ obligations under this Section, Grantors hereby authorize Agent unilaterally to modify this Trademark Security Agreement by amending </w:t>
      </w:r>
      <w:r>
        <w:rPr>
          <w:rFonts w:ascii="Times New Roman" w:hAnsi="Times New Roman"/>
          <w:sz w:val="20"/>
          <w:u w:val="single"/>
        </w:rPr>
        <w:t>Schedule I</w:t>
      </w:r>
      <w:r>
        <w:rPr>
          <w:rFonts w:ascii="Times New Roman" w:hAnsi="Times New Roman"/>
          <w:sz w:val="20"/>
        </w:rPr>
        <w:t xml:space="preserve"> to include any such new trademark rights of each Grantor. Notwithstanding the foregoing, no failure to so modify this Trademark Security Agreement or amend </w:t>
      </w:r>
      <w:r>
        <w:rPr>
          <w:rFonts w:ascii="Times New Roman" w:hAnsi="Times New Roman"/>
          <w:sz w:val="20"/>
          <w:u w:val="single"/>
        </w:rPr>
        <w:t>Schedule I</w:t>
      </w:r>
      <w:r>
        <w:rPr>
          <w:rFonts w:ascii="Times New Roman" w:hAnsi="Times New Roman"/>
          <w:sz w:val="20"/>
        </w:rPr>
        <w:t xml:space="preserve"> shall in any way affect, invalidate or detract from Agent’s continuing security interest in all Collateral, whether or not listed on Schedule I.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COUNTERPARTS</w:t>
      </w:r>
      <w:r>
        <w:rPr>
          <w:rFonts w:ascii="Times New Roman" w:hAnsi="Times New Roman"/>
          <w:sz w:val="20"/>
        </w:rPr>
        <w:t xml:space="preserve">. This Trademark Security Agreement is a Loan Document. This Trademark Security Agreement may be executed in counterparts (and by different parties hereto in different counterparts), each of which shall constitute an original, but all of which when taken together shall constitute a single contract. This Trademark Security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Trademark Security Agreement by facsimile or in electronic (e.g., “pdf” or “tif”) format shall be effective as delivery of a manually executed counterpart of this Trademark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THIS TRADEMARK SECURITY AGREEMENT SHALL BE SUBJECT TO THE PROVISIONS IN </w:t>
      </w:r>
      <w:r>
        <w:rPr>
          <w:rFonts w:ascii="Times New Roman" w:hAnsi="Times New Roman"/>
          <w:sz w:val="20"/>
          <w:u w:val="single"/>
        </w:rPr>
        <w:t>SECTION 25</w:t>
      </w:r>
      <w:r>
        <w:rPr>
          <w:rFonts w:ascii="Times New Roman" w:hAnsi="Times New Roman"/>
          <w:sz w:val="20"/>
        </w:rPr>
        <w:t xml:space="preserve"> OF THE GUARANTY AND COLLATERAL AGREEMENT, AND SUCH PROVISIONS ARE INCORPORATED HEREIN BY THIS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Trademark Security Agreement to be executed and delivered as of the day and year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32"/>
        <w:gridCol w:w="117"/>
        <w:gridCol w:w="704"/>
        <w:gridCol w:w="230"/>
        <w:gridCol w:w="4422"/>
      </w:tblGrid>
      <w:tr>
        <w:trPr/>
        <w:tc>
          <w:tcPr>
            <w:tcW w:w="473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4422" w:type="dxa"/>
            <w:tcBorders/>
            <w:vAlign w:val="center"/>
          </w:tcPr>
          <w:p>
            <w:pPr>
              <w:pStyle w:val="TableContents"/>
              <w:bidi w:val="0"/>
              <w:spacing w:before="0" w:after="283"/>
              <w:jc w:val="left"/>
              <w:rPr>
                <w:sz w:val="4"/>
                <w:szCs w:val="4"/>
              </w:rPr>
            </w:pPr>
            <w:r>
              <w:rPr>
                <w:sz w:val="4"/>
                <w:szCs w:val="4"/>
              </w:rPr>
            </w:r>
          </w:p>
        </w:tc>
      </w:tr>
      <w:tr>
        <w:trPr/>
        <w:tc>
          <w:tcPr>
            <w:tcW w:w="473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5356" w:type="dxa"/>
            <w:gridSpan w:val="3"/>
            <w:tcBorders/>
          </w:tcPr>
          <w:p>
            <w:pPr>
              <w:pStyle w:val="TableContents"/>
              <w:pBdr>
                <w:bottom w:val="single" w:sz="2" w:space="1" w:color="000000"/>
              </w:pBdr>
              <w:bidi w:val="0"/>
              <w:spacing w:before="0" w:after="20"/>
              <w:jc w:val="left"/>
              <w:rPr/>
            </w:pPr>
            <w:r>
              <w:rPr/>
              <w:t> </w:t>
            </w:r>
          </w:p>
        </w:tc>
      </w:tr>
      <w:tr>
        <w:trPr/>
        <w:tc>
          <w:tcPr>
            <w:tcW w:w="4732" w:type="dxa"/>
            <w:tcBorders/>
          </w:tcPr>
          <w:p>
            <w:pPr>
              <w:pStyle w:val="TableContents"/>
              <w:bidi w:val="0"/>
              <w:spacing w:before="0" w:after="283"/>
              <w:jc w:val="left"/>
              <w:rPr>
                <w:b/>
              </w:rPr>
            </w:pPr>
            <w:r>
              <w:rPr>
                <w:b/>
              </w:rPr>
              <w:t>GRANTORS:</w:t>
            </w:r>
          </w:p>
        </w:tc>
        <w:tc>
          <w:tcPr>
            <w:tcW w:w="117" w:type="dxa"/>
            <w:tcBorders/>
            <w:vAlign w:val="bottom"/>
          </w:tcPr>
          <w:p>
            <w:pPr>
              <w:pStyle w:val="TableContents"/>
              <w:bidi w:val="0"/>
              <w:spacing w:before="0" w:after="283"/>
              <w:jc w:val="left"/>
              <w:rPr/>
            </w:pPr>
            <w:r>
              <w:rPr/>
              <w:t> </w:t>
            </w:r>
          </w:p>
        </w:tc>
        <w:tc>
          <w:tcPr>
            <w:tcW w:w="5356" w:type="dxa"/>
            <w:gridSpan w:val="3"/>
            <w:tcBorders/>
          </w:tcPr>
          <w:p>
            <w:pPr>
              <w:pStyle w:val="TableContents"/>
              <w:bidi w:val="0"/>
              <w:spacing w:before="0" w:after="283"/>
              <w:jc w:val="left"/>
              <w:rPr/>
            </w:pPr>
            <w:r>
              <w:rPr/>
              <w:t>POWER SOLUTIONS INTERNATIONAL, INC.</w:t>
            </w:r>
          </w:p>
        </w:tc>
      </w:tr>
      <w:tr>
        <w:trPr>
          <w:trHeight w:val="240" w:hRule="atLeast"/>
        </w:trPr>
        <w:tc>
          <w:tcPr>
            <w:tcW w:w="4732" w:type="dxa"/>
            <w:tcBorders/>
            <w:vAlign w:val="center"/>
          </w:tcPr>
          <w:p>
            <w:pPr>
              <w:pStyle w:val="TableContents"/>
              <w:bidi w:val="0"/>
              <w:spacing w:before="0" w:after="283"/>
              <w:jc w:val="left"/>
              <w:rPr>
                <w:sz w:val="4"/>
                <w:szCs w:val="4"/>
              </w:rPr>
            </w:pPr>
            <w:r>
              <w:rPr>
                <w:sz w:val="4"/>
                <w:szCs w:val="4"/>
              </w:rPr>
            </w:r>
          </w:p>
        </w:tc>
        <w:tc>
          <w:tcPr>
            <w:tcW w:w="821" w:type="dxa"/>
            <w:gridSpan w:val="2"/>
            <w:tcBorders/>
            <w:vAlign w:val="center"/>
          </w:tcPr>
          <w:p>
            <w:pPr>
              <w:pStyle w:val="TableContents"/>
              <w:bidi w:val="0"/>
              <w:spacing w:before="0" w:after="283"/>
              <w:jc w:val="left"/>
              <w:rPr>
                <w:sz w:val="4"/>
                <w:szCs w:val="4"/>
              </w:rPr>
            </w:pPr>
            <w:r>
              <w:rPr>
                <w:sz w:val="4"/>
                <w:szCs w:val="4"/>
              </w:rPr>
            </w:r>
          </w:p>
        </w:tc>
        <w:tc>
          <w:tcPr>
            <w:tcW w:w="4652" w:type="dxa"/>
            <w:gridSpan w:val="2"/>
            <w:tcBorders/>
            <w:vAlign w:val="center"/>
          </w:tcPr>
          <w:p>
            <w:pPr>
              <w:pStyle w:val="TableContents"/>
              <w:bidi w:val="0"/>
              <w:spacing w:before="0" w:after="283"/>
              <w:jc w:val="left"/>
              <w:rPr>
                <w:sz w:val="4"/>
                <w:szCs w:val="4"/>
              </w:rPr>
            </w:pPr>
            <w:r>
              <w:rPr>
                <w:sz w:val="4"/>
                <w:szCs w:val="4"/>
              </w:rPr>
            </w:r>
          </w:p>
        </w:tc>
      </w:tr>
      <w:tr>
        <w:trPr/>
        <w:tc>
          <w:tcPr>
            <w:tcW w:w="473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04" w:type="dxa"/>
            <w:tcBorders/>
          </w:tcPr>
          <w:p>
            <w:pPr>
              <w:pStyle w:val="TableContents"/>
              <w:bidi w:val="0"/>
              <w:spacing w:before="0" w:after="283"/>
              <w:jc w:val="left"/>
              <w:rPr/>
            </w:pPr>
            <w:r>
              <w:rPr/>
              <w:t>By:</w:t>
            </w:r>
          </w:p>
        </w:tc>
        <w:tc>
          <w:tcPr>
            <w:tcW w:w="230" w:type="dxa"/>
            <w:tcBorders/>
            <w:vAlign w:val="bottom"/>
          </w:tcPr>
          <w:p>
            <w:pPr>
              <w:pStyle w:val="TableContents"/>
              <w:bidi w:val="0"/>
              <w:spacing w:before="0" w:after="283"/>
              <w:jc w:val="left"/>
              <w:rPr/>
            </w:pPr>
            <w:r>
              <w:rPr/>
              <w:t>  </w:t>
            </w:r>
          </w:p>
        </w:tc>
        <w:tc>
          <w:tcPr>
            <w:tcW w:w="44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 Li</w:t>
            </w:r>
          </w:p>
        </w:tc>
      </w:tr>
      <w:tr>
        <w:trPr/>
        <w:tc>
          <w:tcPr>
            <w:tcW w:w="473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5356" w:type="dxa"/>
            <w:gridSpan w:val="3"/>
            <w:tcBorders/>
          </w:tcPr>
          <w:p>
            <w:pPr>
              <w:pStyle w:val="TableContents"/>
              <w:bidi w:val="0"/>
              <w:spacing w:before="0" w:after="283"/>
              <w:jc w:val="left"/>
              <w:rPr/>
            </w:pPr>
            <w:r>
              <w:rPr/>
              <w:t>Name: Kenneth Li</w:t>
            </w:r>
          </w:p>
        </w:tc>
      </w:tr>
      <w:tr>
        <w:trPr/>
        <w:tc>
          <w:tcPr>
            <w:tcW w:w="473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5356" w:type="dxa"/>
            <w:gridSpan w:val="3"/>
            <w:tcBorders/>
          </w:tcPr>
          <w:p>
            <w:pPr>
              <w:pStyle w:val="TableContents"/>
              <w:bidi w:val="0"/>
              <w:spacing w:before="0" w:after="283"/>
              <w:jc w:val="left"/>
              <w:rPr/>
            </w:pPr>
            <w:r>
              <w:rPr/>
              <w:t>Title: Chief Financial Officer</w:t>
            </w:r>
          </w:p>
        </w:tc>
      </w:tr>
      <w:tr>
        <w:trPr>
          <w:trHeight w:val="240" w:hRule="atLeast"/>
        </w:trPr>
        <w:tc>
          <w:tcPr>
            <w:tcW w:w="4732" w:type="dxa"/>
            <w:tcBorders/>
            <w:vAlign w:val="center"/>
          </w:tcPr>
          <w:p>
            <w:pPr>
              <w:pStyle w:val="TableContents"/>
              <w:bidi w:val="0"/>
              <w:spacing w:before="0" w:after="283"/>
              <w:jc w:val="left"/>
              <w:rPr>
                <w:sz w:val="4"/>
                <w:szCs w:val="4"/>
              </w:rPr>
            </w:pPr>
            <w:r>
              <w:rPr>
                <w:sz w:val="4"/>
                <w:szCs w:val="4"/>
              </w:rPr>
            </w:r>
          </w:p>
        </w:tc>
        <w:tc>
          <w:tcPr>
            <w:tcW w:w="5473" w:type="dxa"/>
            <w:gridSpan w:val="4"/>
            <w:tcBorders/>
            <w:vAlign w:val="center"/>
          </w:tcPr>
          <w:p>
            <w:pPr>
              <w:pStyle w:val="TableContents"/>
              <w:bidi w:val="0"/>
              <w:spacing w:before="0" w:after="283"/>
              <w:jc w:val="left"/>
              <w:rPr>
                <w:sz w:val="4"/>
                <w:szCs w:val="4"/>
              </w:rPr>
            </w:pPr>
            <w:r>
              <w:rPr>
                <w:sz w:val="4"/>
                <w:szCs w:val="4"/>
              </w:rPr>
            </w:r>
          </w:p>
        </w:tc>
      </w:tr>
      <w:tr>
        <w:trPr/>
        <w:tc>
          <w:tcPr>
            <w:tcW w:w="473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5356" w:type="dxa"/>
            <w:gridSpan w:val="3"/>
            <w:tcBorders/>
          </w:tcPr>
          <w:p>
            <w:pPr>
              <w:pStyle w:val="TableContents"/>
              <w:bidi w:val="0"/>
              <w:spacing w:before="0" w:after="283"/>
              <w:jc w:val="left"/>
              <w:rPr>
                <w:b/>
              </w:rPr>
            </w:pPr>
            <w:r>
              <w:rPr>
                <w:b/>
              </w:rPr>
              <w:t>ACCEPTED AND ACKNOWLEDGED BY:</w:t>
            </w:r>
          </w:p>
        </w:tc>
      </w:tr>
      <w:tr>
        <w:trPr>
          <w:trHeight w:val="240" w:hRule="atLeast"/>
        </w:trPr>
        <w:tc>
          <w:tcPr>
            <w:tcW w:w="4732" w:type="dxa"/>
            <w:tcBorders/>
            <w:vAlign w:val="center"/>
          </w:tcPr>
          <w:p>
            <w:pPr>
              <w:pStyle w:val="TableContents"/>
              <w:bidi w:val="0"/>
              <w:spacing w:before="0" w:after="283"/>
              <w:jc w:val="left"/>
              <w:rPr>
                <w:sz w:val="4"/>
                <w:szCs w:val="4"/>
              </w:rPr>
            </w:pPr>
            <w:r>
              <w:rPr>
                <w:sz w:val="4"/>
                <w:szCs w:val="4"/>
              </w:rPr>
            </w:r>
          </w:p>
        </w:tc>
        <w:tc>
          <w:tcPr>
            <w:tcW w:w="5473" w:type="dxa"/>
            <w:gridSpan w:val="4"/>
            <w:tcBorders/>
            <w:vAlign w:val="center"/>
          </w:tcPr>
          <w:p>
            <w:pPr>
              <w:pStyle w:val="TableContents"/>
              <w:bidi w:val="0"/>
              <w:spacing w:before="0" w:after="283"/>
              <w:jc w:val="left"/>
              <w:rPr>
                <w:sz w:val="4"/>
                <w:szCs w:val="4"/>
              </w:rPr>
            </w:pPr>
            <w:r>
              <w:rPr>
                <w:sz w:val="4"/>
                <w:szCs w:val="4"/>
              </w:rPr>
            </w:r>
          </w:p>
        </w:tc>
      </w:tr>
      <w:tr>
        <w:trPr/>
        <w:tc>
          <w:tcPr>
            <w:tcW w:w="4732" w:type="dxa"/>
            <w:tcBorders/>
          </w:tcPr>
          <w:p>
            <w:pPr>
              <w:pStyle w:val="TableContents"/>
              <w:bidi w:val="0"/>
              <w:spacing w:before="0" w:after="283"/>
              <w:jc w:val="left"/>
              <w:rPr>
                <w:b/>
              </w:rPr>
            </w:pPr>
            <w:r>
              <w:rPr>
                <w:b/>
              </w:rPr>
              <w:t>AGENT:</w:t>
            </w:r>
          </w:p>
        </w:tc>
        <w:tc>
          <w:tcPr>
            <w:tcW w:w="117" w:type="dxa"/>
            <w:tcBorders/>
            <w:vAlign w:val="bottom"/>
          </w:tcPr>
          <w:p>
            <w:pPr>
              <w:pStyle w:val="TableContents"/>
              <w:bidi w:val="0"/>
              <w:spacing w:before="0" w:after="283"/>
              <w:jc w:val="left"/>
              <w:rPr/>
            </w:pPr>
            <w:r>
              <w:rPr/>
              <w:t> </w:t>
            </w:r>
          </w:p>
        </w:tc>
        <w:tc>
          <w:tcPr>
            <w:tcW w:w="5356" w:type="dxa"/>
            <w:gridSpan w:val="3"/>
            <w:tcBorders/>
          </w:tcPr>
          <w:p>
            <w:pPr>
              <w:pStyle w:val="TableContents"/>
              <w:bidi w:val="0"/>
              <w:spacing w:before="0" w:after="283"/>
              <w:jc w:val="left"/>
              <w:rPr>
                <w:b/>
              </w:rPr>
            </w:pPr>
            <w:r>
              <w:rPr>
                <w:b/>
              </w:rPr>
              <w:t>HSBC BANK USA, NATIONAL ASSOCIATION</w:t>
            </w:r>
          </w:p>
        </w:tc>
      </w:tr>
      <w:tr>
        <w:trPr>
          <w:trHeight w:val="240" w:hRule="atLeast"/>
        </w:trPr>
        <w:tc>
          <w:tcPr>
            <w:tcW w:w="4732" w:type="dxa"/>
            <w:tcBorders/>
            <w:vAlign w:val="center"/>
          </w:tcPr>
          <w:p>
            <w:pPr>
              <w:pStyle w:val="TableContents"/>
              <w:bidi w:val="0"/>
              <w:spacing w:before="0" w:after="283"/>
              <w:jc w:val="left"/>
              <w:rPr>
                <w:sz w:val="4"/>
                <w:szCs w:val="4"/>
              </w:rPr>
            </w:pPr>
            <w:r>
              <w:rPr>
                <w:sz w:val="4"/>
                <w:szCs w:val="4"/>
              </w:rPr>
            </w:r>
          </w:p>
        </w:tc>
        <w:tc>
          <w:tcPr>
            <w:tcW w:w="821" w:type="dxa"/>
            <w:gridSpan w:val="2"/>
            <w:tcBorders/>
            <w:vAlign w:val="center"/>
          </w:tcPr>
          <w:p>
            <w:pPr>
              <w:pStyle w:val="TableContents"/>
              <w:bidi w:val="0"/>
              <w:spacing w:before="0" w:after="283"/>
              <w:jc w:val="left"/>
              <w:rPr>
                <w:sz w:val="4"/>
                <w:szCs w:val="4"/>
              </w:rPr>
            </w:pPr>
            <w:r>
              <w:rPr>
                <w:sz w:val="4"/>
                <w:szCs w:val="4"/>
              </w:rPr>
            </w:r>
          </w:p>
        </w:tc>
        <w:tc>
          <w:tcPr>
            <w:tcW w:w="4652" w:type="dxa"/>
            <w:gridSpan w:val="2"/>
            <w:tcBorders/>
            <w:vAlign w:val="center"/>
          </w:tcPr>
          <w:p>
            <w:pPr>
              <w:pStyle w:val="TableContents"/>
              <w:bidi w:val="0"/>
              <w:spacing w:before="0" w:after="283"/>
              <w:jc w:val="left"/>
              <w:rPr>
                <w:sz w:val="4"/>
                <w:szCs w:val="4"/>
              </w:rPr>
            </w:pPr>
            <w:r>
              <w:rPr>
                <w:sz w:val="4"/>
                <w:szCs w:val="4"/>
              </w:rPr>
            </w:r>
          </w:p>
        </w:tc>
      </w:tr>
      <w:tr>
        <w:trPr/>
        <w:tc>
          <w:tcPr>
            <w:tcW w:w="473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704" w:type="dxa"/>
            <w:tcBorders/>
          </w:tcPr>
          <w:p>
            <w:pPr>
              <w:pStyle w:val="TableContents"/>
              <w:bidi w:val="0"/>
              <w:spacing w:before="0" w:after="283"/>
              <w:jc w:val="left"/>
              <w:rPr/>
            </w:pPr>
            <w:r>
              <w:rPr/>
              <w:t>By:</w:t>
            </w:r>
          </w:p>
        </w:tc>
        <w:tc>
          <w:tcPr>
            <w:tcW w:w="230" w:type="dxa"/>
            <w:tcBorders/>
            <w:vAlign w:val="bottom"/>
          </w:tcPr>
          <w:p>
            <w:pPr>
              <w:pStyle w:val="TableContents"/>
              <w:bidi w:val="0"/>
              <w:spacing w:before="0" w:after="283"/>
              <w:jc w:val="left"/>
              <w:rPr/>
            </w:pPr>
            <w:r>
              <w:rPr/>
              <w:t>  </w:t>
            </w:r>
          </w:p>
        </w:tc>
        <w:tc>
          <w:tcPr>
            <w:tcW w:w="44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Leslie Morales</w:t>
            </w:r>
          </w:p>
        </w:tc>
      </w:tr>
      <w:tr>
        <w:trPr/>
        <w:tc>
          <w:tcPr>
            <w:tcW w:w="473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5356" w:type="dxa"/>
            <w:gridSpan w:val="3"/>
            <w:tcBorders/>
          </w:tcPr>
          <w:p>
            <w:pPr>
              <w:pStyle w:val="TableContents"/>
              <w:bidi w:val="0"/>
              <w:spacing w:before="0" w:after="283"/>
              <w:jc w:val="left"/>
              <w:rPr/>
            </w:pPr>
            <w:r>
              <w:rPr/>
              <w:t>Name: Leslie Morales</w:t>
            </w:r>
          </w:p>
        </w:tc>
      </w:tr>
      <w:tr>
        <w:trPr/>
        <w:tc>
          <w:tcPr>
            <w:tcW w:w="473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5356" w:type="dxa"/>
            <w:gridSpan w:val="3"/>
            <w:tcBorders/>
          </w:tcPr>
          <w:p>
            <w:pPr>
              <w:pStyle w:val="TableContents"/>
              <w:bidi w:val="0"/>
              <w:spacing w:before="0" w:after="283"/>
              <w:jc w:val="left"/>
              <w:rPr/>
            </w:pPr>
            <w:r>
              <w:rPr/>
              <w:t>Title: Associate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TRADEMARK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0" w:after="0"/>
        <w:jc w:val="center"/>
        <w:rPr>
          <w:rFonts w:ascii="Times New Roman" w:hAnsi="Times New Roman"/>
          <w:sz w:val="20"/>
        </w:rPr>
      </w:pPr>
      <w:r>
        <w:rPr>
          <w:rFonts w:ascii="Times New Roman" w:hAnsi="Times New Roman"/>
          <w:sz w:val="20"/>
        </w:rPr>
        <w:t xml:space="preserve">to </w:t>
      </w:r>
    </w:p>
    <w:p>
      <w:pPr>
        <w:pStyle w:val="TextBody"/>
        <w:bidi w:val="0"/>
        <w:spacing w:before="0" w:after="0"/>
        <w:jc w:val="center"/>
        <w:rPr>
          <w:rFonts w:ascii="Times New Roman" w:hAnsi="Times New Roman"/>
          <w:sz w:val="20"/>
        </w:rPr>
      </w:pPr>
      <w:r>
        <w:rPr>
          <w:rFonts w:ascii="Times New Roman" w:hAnsi="Times New Roman"/>
          <w:sz w:val="20"/>
        </w:rPr>
        <w:t xml:space="preserve">TRADEMARK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p>
    <w:p>
      <w:pPr>
        <w:pStyle w:val="TextBody"/>
        <w:bidi w:val="0"/>
        <w:spacing w:before="0" w:after="0"/>
        <w:jc w:val="right"/>
        <w:rPr>
          <w:rFonts w:ascii="Times New Roman" w:hAnsi="Times New Roman"/>
          <w:b/>
          <w:sz w:val="20"/>
        </w:rPr>
      </w:pPr>
      <w:bookmarkStart w:id="6" w:name="d28951dex991.htm"/>
      <w:bookmarkStart w:id="7" w:name="ksd28951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4210050" cy="1762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10050" cy="1762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Power Solutions International, Inc. Secures $220 Million Committed Revolving </w:t>
      </w:r>
    </w:p>
    <w:p>
      <w:pPr>
        <w:pStyle w:val="TextBody"/>
        <w:bidi w:val="0"/>
        <w:spacing w:before="0" w:after="0"/>
        <w:jc w:val="center"/>
        <w:rPr>
          <w:rFonts w:ascii="Times New Roman" w:hAnsi="Times New Roman"/>
          <w:b/>
          <w:sz w:val="20"/>
        </w:rPr>
      </w:pPr>
      <w:r>
        <w:rPr>
          <w:rFonts w:ascii="Times New Roman" w:hAnsi="Times New Roman"/>
          <w:b/>
          <w:sz w:val="20"/>
        </w:rPr>
        <w:t xml:space="preserve">Credit Facility to Support Continued Growth </w:t>
      </w:r>
    </w:p>
    <w:p>
      <w:pPr>
        <w:pStyle w:val="TextBody"/>
        <w:bidi w:val="0"/>
        <w:spacing w:before="240" w:after="0"/>
        <w:jc w:val="left"/>
        <w:rPr>
          <w:rFonts w:ascii="Times New Roman" w:hAnsi="Times New Roman"/>
          <w:sz w:val="20"/>
        </w:rPr>
      </w:pPr>
      <w:r>
        <w:rPr>
          <w:rFonts w:ascii="Times New Roman" w:hAnsi="Times New Roman"/>
          <w:sz w:val="20"/>
        </w:rPr>
        <w:t xml:space="preserve">WOOD DALE, Ill., September 30, 2026 – Power Solutions International, Inc. (the “Company” or “PSI”) (Nasdaq: PSIX), a leader in the design, engineering and manufacture of emission-certified engines and power systems, announced that it has entered into a new $220.0 million committed revolving credit facility (the “Credit Facility”). The new three-year Credit Facility increases PSI’s committed borrowing capacity from $135.0 million to $220.0 million, providing enhanced liquidity and financial flexibility to support the Company’s continued growth and strategic initiatives. The Credit Facility matures on September 25, 2029. The Credit Facility replaces the Company’s prior credit facility with Standard Chartered Bank, which was repaid in full and terminated in connection with the closing of the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Credit Facility bear interest, at the Company’s option, at the applicable Term Secured Overnight Financing Rate (“SOFR”) plus 1.80% per annum or at an alternate base rate plus an applicable margin. SOFR borrowings under the prior facility bore interest at SOFR plus 2.60% per annum. </w:t>
      </w:r>
    </w:p>
    <w:p>
      <w:pPr>
        <w:pStyle w:val="TextBody"/>
        <w:bidi w:val="0"/>
        <w:spacing w:before="240" w:after="0"/>
        <w:jc w:val="left"/>
        <w:rPr>
          <w:rFonts w:ascii="Times New Roman" w:hAnsi="Times New Roman"/>
          <w:sz w:val="20"/>
        </w:rPr>
      </w:pPr>
      <w:r>
        <w:rPr>
          <w:rFonts w:ascii="Times New Roman" w:hAnsi="Times New Roman"/>
          <w:sz w:val="20"/>
        </w:rPr>
        <w:t xml:space="preserve">Richard Hu, Chief Executive Officer, commented, “The expansion of our committed credit facility is an important step in supporting PSI’s continued growth. The increased capacity and longer-term committed financing provide additional flexibility as we execute our strategy, serve our customers and pursue growth opportunities across our businesses.” </w:t>
      </w:r>
    </w:p>
    <w:p>
      <w:pPr>
        <w:pStyle w:val="TextBody"/>
        <w:bidi w:val="0"/>
        <w:spacing w:before="240" w:after="0"/>
        <w:jc w:val="left"/>
        <w:rPr>
          <w:rFonts w:ascii="Times New Roman" w:hAnsi="Times New Roman"/>
          <w:sz w:val="20"/>
        </w:rPr>
      </w:pPr>
      <w:r>
        <w:rPr>
          <w:rFonts w:ascii="Times New Roman" w:hAnsi="Times New Roman"/>
          <w:sz w:val="20"/>
        </w:rPr>
        <w:t xml:space="preserve">Kenneth Li, Chief Financial Officer, stated, “The increase in committed capacity from $135 million to $220 million, together with the reduction in our borrowing spread, strengthens our liquidity position and provides additional financial flexibility to support the Company’s continued growth. We appreciate the support of our banking partners and their confidence in PSI.” </w:t>
      </w:r>
    </w:p>
    <w:p>
      <w:pPr>
        <w:pStyle w:val="TextBody"/>
        <w:bidi w:val="0"/>
        <w:spacing w:before="240" w:after="0"/>
        <w:jc w:val="left"/>
        <w:rPr>
          <w:rFonts w:ascii="Times New Roman" w:hAnsi="Times New Roman"/>
          <w:sz w:val="20"/>
        </w:rPr>
      </w:pPr>
      <w:r>
        <w:rPr>
          <w:rFonts w:ascii="Times New Roman" w:hAnsi="Times New Roman"/>
          <w:sz w:val="20"/>
        </w:rPr>
        <w:t xml:space="preserve">The lenders under the Credit Facility are HSBC Bank USA, National Association, which also serves as administrative agent; Australia and New Zealand Banking Group Limited; Bank of China Limited, Chicago Branch; and BNP Paribas. Additional information regarding the Credit Facility is included in the Company’s Current Report on Form 8-K filed today with the U.S. Securities and Exchange Commission.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About Power Solutions International, Inc.</w:t>
      </w:r>
    </w:p>
    <w:p>
      <w:pPr>
        <w:pStyle w:val="TextBody"/>
        <w:bidi w:val="0"/>
        <w:spacing w:before="120" w:after="0"/>
        <w:jc w:val="left"/>
        <w:rPr>
          <w:rFonts w:ascii="Times New Roman" w:hAnsi="Times New Roman"/>
          <w:sz w:val="20"/>
        </w:rPr>
      </w:pPr>
      <w:r>
        <w:rPr>
          <w:rFonts w:ascii="Times New Roman" w:hAnsi="Times New Roman"/>
          <w:sz w:val="20"/>
        </w:rPr>
        <w:t xml:space="preserve">Power Solutions International, Inc. (PSI) is a leader in the design, engineering and manufacture of a broad range of advanced, emission-certified engines and power systems. PSI provides integrated turnkey solutions to leading global original equipment manufacturers and end-user customers within the power systems, industrial and transportation end markets. The Company’s in-house design, prototyping, engineering and testing capabilities allow PSI to customize high-performance engines using a fuel-agnostic strategy to run on a wide variety of fuels, including natural gas, propane, gasoline, diesel and biofuels.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PSI develops and delivers complete power systems that are used worldwide in stationary and mobile power generation applications supporting standby, prime, demand response, and microgrid solutions, as well as products and packages supporting the growing data center markets. PSI’s industrial end market provides engine and battery powertrain solutions to serve applications such as forklifts, agricultural and turf, arbor care, industrial sweepers, aerial lifts, irrigation pumps, ground support, and construction equipment. PSI’s transportation end market provides engine powertrain solutions to specialized applications such as terminal tractors, port equipment, military vehicles, and other non-road vocational vehicles. For more information on PSI, visit </w:t>
      </w:r>
      <w:r>
        <w:rPr>
          <w:rFonts w:ascii="Times New Roman" w:hAnsi="Times New Roman"/>
          <w:sz w:val="20"/>
          <w:u w:val="single"/>
        </w:rPr>
        <w:t>www.psiengines.com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and Section 21E of the Securities Exchange Act of 1934, as amended. These forward-looking statements reflect the Company’s current expectations and assumptions regarding future events. Words such as “anticipate,” “believe,” “budget,” “contemplate,” “continue,” “estimate,” “expect,” “forecast,” “guidance,” “intend,” “may,” “outlook,” “plan,” “position,” “project,” “prospect,” “should,” “target,” “will,” “would” and similar expressions are intended to identify forward-looking statements, although not all forward-looking statements contain such identifying words. Forward-looking statements are not guarantees of future performance and are subject to risks, uncertainties and assumptions that could cause actual results to differ materially from those expressed in or implied by such statements. </w:t>
      </w:r>
    </w:p>
    <w:p>
      <w:pPr>
        <w:pStyle w:val="TextBody"/>
        <w:bidi w:val="0"/>
        <w:spacing w:before="240" w:after="0"/>
        <w:jc w:val="left"/>
        <w:rPr>
          <w:rFonts w:ascii="Times New Roman" w:hAnsi="Times New Roman"/>
          <w:sz w:val="20"/>
        </w:rPr>
      </w:pPr>
      <w:r>
        <w:rPr>
          <w:rFonts w:ascii="Times New Roman" w:hAnsi="Times New Roman"/>
          <w:sz w:val="20"/>
        </w:rPr>
        <w:t xml:space="preserve">Important factors that could cause actual results to differ materially include, without limitation: </w:t>
      </w:r>
      <w:r>
        <w:rPr>
          <w:rFonts w:ascii="Times New Roman" w:hAnsi="Times New Roman"/>
          <w:i/>
          <w:sz w:val="20"/>
        </w:rPr>
        <w:t>the Company’s ability to comply with the financial and other covenants under the Credit Facility; the timing and ultimate conversion of Power Systems orders into revenue, including data-center-related orders, and the volume and timing of related shipments;</w:t>
      </w:r>
      <w:r>
        <w:rPr>
          <w:rFonts w:ascii="Times New Roman" w:hAnsi="Times New Roman"/>
          <w:sz w:val="20"/>
        </w:rPr>
        <w:t xml:space="preserve"> </w:t>
      </w:r>
      <w:r>
        <w:rPr>
          <w:rFonts w:ascii="Times New Roman" w:hAnsi="Times New Roman"/>
          <w:i/>
          <w:sz w:val="20"/>
        </w:rPr>
        <w:t>quarterly variability in product mix and the corresponding effect on gross profit and gross margin;</w:t>
      </w:r>
      <w:r>
        <w:rPr>
          <w:rFonts w:ascii="Times New Roman" w:hAnsi="Times New Roman"/>
          <w:sz w:val="20"/>
        </w:rPr>
        <w:t xml:space="preserve"> </w:t>
      </w:r>
      <w:r>
        <w:rPr>
          <w:rFonts w:ascii="Times New Roman" w:hAnsi="Times New Roman"/>
          <w:i/>
          <w:sz w:val="20"/>
        </w:rPr>
        <w:t>the cost, pace, throughput and operational outcomes of capacity ramp-up activities at the Company’s Wisconsin operations, including the duration and magnitude of related production costs; the Company’s ability to execute operational improvement initiatives on the anticipated timetable;</w:t>
      </w:r>
      <w:r>
        <w:rPr>
          <w:rFonts w:ascii="Times New Roman" w:hAnsi="Times New Roman"/>
          <w:sz w:val="20"/>
        </w:rPr>
        <w:t xml:space="preserve"> </w:t>
      </w:r>
      <w:r>
        <w:rPr>
          <w:rFonts w:ascii="Times New Roman" w:hAnsi="Times New Roman"/>
          <w:i/>
          <w:sz w:val="20"/>
        </w:rPr>
        <w:t>the level and persistence of customer demand in the power systems, industrial and transportation end markets;</w:t>
      </w:r>
      <w:r>
        <w:rPr>
          <w:rFonts w:ascii="Times New Roman" w:hAnsi="Times New Roman"/>
          <w:sz w:val="20"/>
        </w:rPr>
        <w:t xml:space="preserve"> </w:t>
      </w:r>
      <w:r>
        <w:rPr>
          <w:rFonts w:ascii="Times New Roman" w:hAnsi="Times New Roman"/>
          <w:i/>
          <w:sz w:val="20"/>
        </w:rPr>
        <w:t>volatility in oil and gas prices and corresponding demand for related products; supply-chain disruptions, component availability and supplier performance;</w:t>
      </w:r>
      <w:r>
        <w:rPr>
          <w:rFonts w:ascii="Times New Roman" w:hAnsi="Times New Roman"/>
          <w:sz w:val="20"/>
        </w:rPr>
        <w:t xml:space="preserve"> </w:t>
      </w:r>
      <w:r>
        <w:rPr>
          <w:rFonts w:ascii="Times New Roman" w:hAnsi="Times New Roman"/>
          <w:i/>
          <w:sz w:val="20"/>
        </w:rPr>
        <w:t>macroeconomic, regulatory and trade conditions, including U.S. tariffs and trade restrictions;</w:t>
      </w:r>
      <w:r>
        <w:rPr>
          <w:rFonts w:ascii="Times New Roman" w:hAnsi="Times New Roman"/>
          <w:sz w:val="20"/>
        </w:rPr>
        <w:t xml:space="preserve"> </w:t>
      </w:r>
      <w:r>
        <w:rPr>
          <w:rFonts w:ascii="Times New Roman" w:hAnsi="Times New Roman"/>
          <w:i/>
          <w:sz w:val="20"/>
        </w:rPr>
        <w:t>integration of recent and future acquisitions, including the acquisition of MTL Manufacturing</w:t>
      </w:r>
      <w:r>
        <w:rPr>
          <w:rFonts w:ascii="Times New Roman" w:hAnsi="Times New Roman"/>
          <w:sz w:val="20"/>
        </w:rPr>
        <w:t> </w:t>
      </w:r>
      <w:r>
        <w:rPr>
          <w:rFonts w:ascii="Times New Roman" w:hAnsi="Times New Roman"/>
          <w:i/>
          <w:sz w:val="20"/>
        </w:rPr>
        <w:t>&amp; Equipment Inc.;</w:t>
      </w:r>
      <w:r>
        <w:rPr>
          <w:rFonts w:ascii="Times New Roman" w:hAnsi="Times New Roman"/>
          <w:sz w:val="20"/>
        </w:rPr>
        <w:t xml:space="preserve"> </w:t>
      </w:r>
      <w:r>
        <w:rPr>
          <w:rFonts w:ascii="Times New Roman" w:hAnsi="Times New Roman"/>
          <w:i/>
          <w:sz w:val="20"/>
        </w:rPr>
        <w:t>the outcome of pending or threatened litigation and regulatory inquiries, including the previously disclosed putative federal securities class action;</w:t>
      </w:r>
      <w:r>
        <w:rPr>
          <w:rFonts w:ascii="Times New Roman" w:hAnsi="Times New Roman"/>
          <w:sz w:val="20"/>
        </w:rPr>
        <w:t xml:space="preserve"> </w:t>
      </w:r>
      <w:r>
        <w:rPr>
          <w:rFonts w:ascii="Times New Roman" w:hAnsi="Times New Roman"/>
          <w:i/>
          <w:sz w:val="20"/>
        </w:rPr>
        <w:t>changes in management or other personnel, including the timing of any related disclosures;</w:t>
      </w:r>
      <w:r>
        <w:rPr>
          <w:rFonts w:ascii="Times New Roman" w:hAnsi="Times New Roman"/>
          <w:sz w:val="20"/>
        </w:rPr>
        <w:t xml:space="preserve"> </w:t>
      </w:r>
      <w:r>
        <w:rPr>
          <w:rFonts w:ascii="Times New Roman" w:hAnsi="Times New Roman"/>
          <w:i/>
          <w:sz w:val="20"/>
        </w:rPr>
        <w:t>the ability to recruit and retain key employees;</w:t>
      </w:r>
      <w:r>
        <w:rPr>
          <w:rFonts w:ascii="Times New Roman" w:hAnsi="Times New Roman"/>
          <w:sz w:val="20"/>
        </w:rPr>
        <w:t xml:space="preserve"> </w:t>
      </w:r>
      <w:r>
        <w:rPr>
          <w:rFonts w:ascii="Times New Roman" w:hAnsi="Times New Roman"/>
          <w:i/>
          <w:sz w:val="20"/>
        </w:rPr>
        <w:t>the impact of changes in our effective tax rate or applicable tax legislation;</w:t>
      </w:r>
      <w:r>
        <w:rPr>
          <w:rFonts w:ascii="Times New Roman" w:hAnsi="Times New Roman"/>
          <w:sz w:val="20"/>
        </w:rPr>
        <w:t xml:space="preserve"> </w:t>
      </w:r>
      <w:r>
        <w:rPr>
          <w:rFonts w:ascii="Times New Roman" w:hAnsi="Times New Roman"/>
          <w:i/>
          <w:sz w:val="20"/>
        </w:rPr>
        <w:t>and the other risks and uncertainties described in the Company’s Annual Report on Form 10-K for the fiscal year ended December</w:t>
      </w:r>
      <w:r>
        <w:rPr>
          <w:rFonts w:ascii="Times New Roman" w:hAnsi="Times New Roman"/>
          <w:sz w:val="20"/>
        </w:rPr>
        <w:t> </w:t>
      </w:r>
      <w:r>
        <w:rPr>
          <w:rFonts w:ascii="Times New Roman" w:hAnsi="Times New Roman"/>
          <w:i/>
          <w:sz w:val="20"/>
        </w:rPr>
        <w:t>31, 2025 and in the Company’s subsequent filings with the U.S. Securities and Exchange Commission, all of which are incorporated by reference into this press release.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forward-looking statements speak only as of the date of this release. Except as required by law, the Company expressly disclaims any intention or obligation to revise or update any forward-looking statement, whether as a result of new information, future events or otherwise. Investors are cautioned not to place undue reliance on any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Power Solutions International, Inc. </w:t>
      </w:r>
    </w:p>
    <w:p>
      <w:pPr>
        <w:pStyle w:val="TextBody"/>
        <w:bidi w:val="0"/>
        <w:spacing w:before="0" w:after="0"/>
        <w:jc w:val="left"/>
        <w:rPr>
          <w:rFonts w:ascii="Times New Roman" w:hAnsi="Times New Roman"/>
          <w:sz w:val="20"/>
        </w:rPr>
      </w:pPr>
      <w:r>
        <w:rPr>
          <w:rFonts w:ascii="Times New Roman" w:hAnsi="Times New Roman"/>
          <w:sz w:val="20"/>
        </w:rPr>
        <w:t xml:space="preserve">Kenneth Li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630-284-9719 </w:t>
      </w:r>
    </w:p>
    <w:p>
      <w:pPr>
        <w:pStyle w:val="TextBody"/>
        <w:bidi w:val="0"/>
        <w:spacing w:before="0" w:after="0"/>
        <w:jc w:val="left"/>
        <w:rPr>
          <w:rFonts w:ascii="Times New Roman" w:hAnsi="Times New Roman"/>
          <w:sz w:val="20"/>
        </w:rPr>
      </w:pPr>
      <w:r>
        <w:rPr>
          <w:rFonts w:ascii="Times New Roman" w:hAnsi="Times New Roman"/>
          <w:sz w:val="20"/>
        </w:rPr>
        <w:t xml:space="preserve">kli@psiengines.com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215</Pages>
  <Words>86253</Words>
  <Characters>457388</Characters>
  <CharactersWithSpaces>544130</CharactersWithSpaces>
  <Paragraphs>2946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