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859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143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For the quarterly period ended June 30, 2025</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________to________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file number 001-35944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8" w:type="dxa"/>
        <w:jc w:val="center"/>
        <w:tblInd w:w="0" w:type="dxa"/>
        <w:tblLayout w:type="fixed"/>
        <w:tblCellMar>
          <w:top w:w="28" w:type="dxa"/>
          <w:left w:w="28" w:type="dxa"/>
          <w:bottom w:w="28" w:type="dxa"/>
          <w:right w:w="28" w:type="dxa"/>
        </w:tblCellMar>
      </w:tblPr>
      <w:tblGrid>
        <w:gridCol w:w="1607"/>
        <w:gridCol w:w="1418"/>
        <w:gridCol w:w="1430"/>
        <w:gridCol w:w="519"/>
        <w:gridCol w:w="519"/>
        <w:gridCol w:w="521"/>
        <w:gridCol w:w="1070"/>
        <w:gridCol w:w="1070"/>
        <w:gridCol w:w="153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33-0963637</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201 Mittel Drive, Wood Dale, IL</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60191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(630) 350-9400</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PSIX</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July 31, 2025, there were 23,029,846 </w:t>
      </w:r>
      <w:r>
        <w:rPr>
          <w:rFonts w:ascii="Times New Roman;serif" w:hAnsi="Times New Roman;serif"/>
          <w:b w:val="false"/>
          <w:color w:val="000000"/>
          <w:sz w:val="20"/>
        </w:rPr>
        <w:t>outstanding shares of the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4"/>
        <w:gridCol w:w="285"/>
        <w:gridCol w:w="285"/>
        <w:gridCol w:w="2664"/>
        <w:gridCol w:w="2664"/>
        <w:gridCol w:w="2673"/>
        <w:gridCol w:w="380"/>
        <w:gridCol w:w="380"/>
        <w:gridCol w:w="550"/>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 – FINANCIAL INFORMATION</w:t>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Forward-Looking Statements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10">
              <w:r>
                <w:rPr>
                  <w:rStyle w:val="InternetLink"/>
                  <w:rFonts w:ascii="Times New Roman;serif" w:hAnsi="Times New Roman;serif"/>
                  <w:b w:val="false"/>
                  <w:color w:val="0000FF"/>
                  <w:sz w:val="18"/>
                  <w:u w:val="single"/>
                </w:rPr>
                <w:t>3</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16">
              <w:r>
                <w:rPr>
                  <w:rStyle w:val="InternetLink"/>
                  <w:rFonts w:ascii="Times New Roman;serif" w:hAnsi="Times New Roman;serif"/>
                  <w:b w:val="false"/>
                  <w:color w:val="0000FF"/>
                  <w:sz w:val="18"/>
                  <w:u w:val="single"/>
                </w:rPr>
                <w:t>4</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Balance Sheets as of June 30, 2025 (Unaudited) and December 31, 2024</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19">
              <w:r>
                <w:rPr>
                  <w:rStyle w:val="InternetLink"/>
                  <w:rFonts w:ascii="Times New Roman;serif" w:hAnsi="Times New Roman;serif"/>
                  <w:b w:val="false"/>
                  <w:color w:val="0000FF"/>
                  <w:sz w:val="18"/>
                  <w:u w:val="single"/>
                </w:rPr>
                <w:t>4</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Income for the three and six months ended June 30, 2025 and 2024 (Unaudited)</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5">
              <w:r>
                <w:rPr>
                  <w:rStyle w:val="InternetLink"/>
                  <w:rFonts w:ascii="Times New Roman;serif" w:hAnsi="Times New Roman;serif"/>
                  <w:b w:val="false"/>
                  <w:color w:val="0000FF"/>
                  <w:sz w:val="18"/>
                  <w:u w:val="single"/>
                </w:rPr>
                <w:t>5</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Stockholders’ Equity for the three and six months ended June 30, 2025 and 2024 (Unaudited)</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31">
              <w:r>
                <w:rPr>
                  <w:rStyle w:val="InternetLink"/>
                  <w:rFonts w:ascii="Times New Roman;serif" w:hAnsi="Times New Roman;serif"/>
                  <w:b w:val="false"/>
                  <w:color w:val="0000FF"/>
                  <w:sz w:val="18"/>
                  <w:u w:val="single"/>
                </w:rPr>
                <w:t>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Cash Flows for the six months ended June 30, 2025 and 2024 (Unaudited)</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34">
              <w:r>
                <w:rPr>
                  <w:rStyle w:val="InternetLink"/>
                  <w:rFonts w:ascii="Times New Roman;serif" w:hAnsi="Times New Roman;serif"/>
                  <w:b w:val="false"/>
                  <w:color w:val="0000FF"/>
                  <w:sz w:val="18"/>
                  <w:u w:val="single"/>
                </w:rPr>
                <w:t>7</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 (Unaudited)</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37">
              <w:r>
                <w:rPr>
                  <w:rStyle w:val="InternetLink"/>
                  <w:rFonts w:ascii="Times New Roman;serif" w:hAnsi="Times New Roman;serif"/>
                  <w:b w:val="false"/>
                  <w:color w:val="0000FF"/>
                  <w:sz w:val="18"/>
                  <w:u w:val="single"/>
                </w:rPr>
                <w:t>8</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Management’s Discussion and Analysis of Financial Condition and Results of Operations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118">
              <w:r>
                <w:rPr>
                  <w:rStyle w:val="InternetLink"/>
                  <w:rFonts w:ascii="Times New Roman;serif" w:hAnsi="Times New Roman;serif"/>
                  <w:b w:val="false"/>
                  <w:color w:val="0000FF"/>
                  <w:sz w:val="18"/>
                  <w:u w:val="single"/>
                </w:rPr>
                <w:t>27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193">
              <w:r>
                <w:rPr>
                  <w:rStyle w:val="InternetLink"/>
                  <w:rFonts w:ascii="Times New Roman;serif" w:hAnsi="Times New Roman;serif"/>
                  <w:b w:val="false"/>
                  <w:color w:val="0000FF"/>
                  <w:sz w:val="18"/>
                  <w:u w:val="single"/>
                </w:rPr>
                <w:t>36</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Controls and Procedures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196">
              <w:r>
                <w:rPr>
                  <w:rStyle w:val="InternetLink"/>
                  <w:rFonts w:ascii="Times New Roman;serif" w:hAnsi="Times New Roman;serif"/>
                  <w:b w:val="false"/>
                  <w:color w:val="0000FF"/>
                  <w:sz w:val="18"/>
                  <w:u w:val="single"/>
                </w:rPr>
                <w:t>36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 – OTHER INFORMATION</w:t>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Proceedings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02">
              <w:r>
                <w:rPr>
                  <w:rStyle w:val="InternetLink"/>
                  <w:rFonts w:ascii="Times New Roman;serif" w:hAnsi="Times New Roman;serif"/>
                  <w:b w:val="false"/>
                  <w:color w:val="0000FF"/>
                  <w:sz w:val="18"/>
                  <w:u w:val="single"/>
                </w:rPr>
                <w:t>37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05">
              <w:r>
                <w:rPr>
                  <w:rStyle w:val="InternetLink"/>
                  <w:rFonts w:ascii="Times New Roman;serif" w:hAnsi="Times New Roman;serif"/>
                  <w:b w:val="false"/>
                  <w:color w:val="0000FF"/>
                  <w:sz w:val="18"/>
                  <w:u w:val="single"/>
                </w:rPr>
                <w:t>37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08">
              <w:r>
                <w:rPr>
                  <w:rStyle w:val="InternetLink"/>
                  <w:rFonts w:ascii="Times New Roman;serif" w:hAnsi="Times New Roman;serif"/>
                  <w:b w:val="false"/>
                  <w:color w:val="0000FF"/>
                  <w:sz w:val="18"/>
                  <w:u w:val="single"/>
                </w:rPr>
                <w:t>37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Defaults Upon Senior Securities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11">
              <w:r>
                <w:rPr>
                  <w:rStyle w:val="InternetLink"/>
                  <w:rFonts w:ascii="Times New Roman;serif" w:hAnsi="Times New Roman;serif"/>
                  <w:b w:val="false"/>
                  <w:color w:val="0000FF"/>
                  <w:sz w:val="18"/>
                  <w:u w:val="single"/>
                </w:rPr>
                <w:t>37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14">
              <w:r>
                <w:rPr>
                  <w:rStyle w:val="InternetLink"/>
                  <w:rFonts w:ascii="Times New Roman;serif" w:hAnsi="Times New Roman;serif"/>
                  <w:b w:val="false"/>
                  <w:color w:val="0000FF"/>
                  <w:sz w:val="18"/>
                  <w:u w:val="single"/>
                </w:rPr>
                <w:t>37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17">
              <w:r>
                <w:rPr>
                  <w:rStyle w:val="InternetLink"/>
                  <w:rFonts w:ascii="Times New Roman;serif" w:hAnsi="Times New Roman;serif"/>
                  <w:b w:val="false"/>
                  <w:color w:val="0000FF"/>
                  <w:sz w:val="18"/>
                  <w:u w:val="single"/>
                </w:rPr>
                <w:t>37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20">
              <w:r>
                <w:rPr>
                  <w:rStyle w:val="InternetLink"/>
                  <w:rFonts w:ascii="Times New Roman;serif" w:hAnsi="Times New Roman;serif"/>
                  <w:b w:val="false"/>
                  <w:color w:val="0000FF"/>
                  <w:sz w:val="18"/>
                  <w:u w:val="single"/>
                </w:rPr>
                <w:t>38</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1fd433b731a4539afb1ec25a83c6bc0_223">
              <w:r>
                <w:rPr>
                  <w:rStyle w:val="InternetLink"/>
                  <w:rFonts w:ascii="Times New Roman;serif" w:hAnsi="Times New Roman;serif"/>
                  <w:b w:val="false"/>
                  <w:color w:val="0000FF"/>
                  <w:sz w:val="18"/>
                  <w:u w:val="single"/>
                </w:rPr>
                <w:t>38</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Certain statements contained in this Quarterly Report on Form 10-Q for the three months ended June 30, 2025,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cautions that the risks, uncertainties and other factors that could cause its actual results to differ materially from those expressed in, or implied by, the forward-looking statements include, without limitation, the factors discussed in the Company’s Annual Report on Form 10-K for the year ended December 31, 2024,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revolving credit agreement through the exercise by any lender of its demand right in its Revolving Credit Agreement;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and exports;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and the impact of unanticipated changes in our effective tax rate, the adoption of new tax legislation or exposure to additional income tax liabilities.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is subject to the reporting and information requirements of the Exchange Act, and as a result, it is obligated to file annual, quarterly and current reports,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proxy and information statements, and other information the Company electronically files with, or furnishes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708"/>
        <w:gridCol w:w="1917"/>
        <w:gridCol w:w="1925"/>
        <w:gridCol w:w="109"/>
        <w:gridCol w:w="109"/>
        <w:gridCol w:w="109"/>
        <w:gridCol w:w="297"/>
        <w:gridCol w:w="1115"/>
        <w:gridCol w:w="165"/>
        <w:gridCol w:w="109"/>
        <w:gridCol w:w="109"/>
        <w:gridCol w:w="109"/>
        <w:gridCol w:w="256"/>
        <w:gridCol w:w="963"/>
        <w:gridCol w:w="205"/>
      </w:tblGrid>
      <w:tr>
        <w:trPr/>
        <w:tc>
          <w:tcPr>
            <w:tcW w:w="27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par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$1,831 and $1,889 as of June 30, 2025 and December 31, 2024, respectively; (from related parties $623 and $1,383 as of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310,301 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437,682 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328,182 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 $26,592 and $14,427 as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short-term financing (from related parties $25,000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w:t>
            </w:r>
            <w:r>
              <w:rPr>
                <w:rFonts w:ascii="Times New Roman;serif" w:hAnsi="Times New Roman;serif"/>
                <w:b w:val="false"/>
                <w:color w:val="000000"/>
                <w:sz w:val="18"/>
                <w:shd w:fill="FFFFFF" w:val="clear"/>
              </w:rPr>
              <w:t>ther accrued liabilities (to related parties $139 and $807 a</w:t>
            </w:r>
            <w:r>
              <w:rPr>
                <w:rFonts w:ascii="Times New Roman;serif" w:hAnsi="Times New Roman;serif"/>
                <w:b w:val="false"/>
                <w:color w:val="000000"/>
                <w:sz w:val="18"/>
              </w:rPr>
              <w:t>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246,865 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227,567 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302,031 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262,932 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$0.001 par value; 50,000 shares authorized; 23,117 shares issued; 23,011 and 23,000 shares outstanding at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Treasury stock, at cost, 106 and 117 shares at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437,682 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328,182 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29"/>
        <w:gridCol w:w="1267"/>
        <w:gridCol w:w="1272"/>
        <w:gridCol w:w="109"/>
        <w:gridCol w:w="109"/>
        <w:gridCol w:w="109"/>
        <w:gridCol w:w="206"/>
        <w:gridCol w:w="776"/>
        <w:gridCol w:w="114"/>
        <w:gridCol w:w="114"/>
        <w:gridCol w:w="114"/>
        <w:gridCol w:w="114"/>
        <w:gridCol w:w="206"/>
        <w:gridCol w:w="776"/>
        <w:gridCol w:w="114"/>
        <w:gridCol w:w="109"/>
        <w:gridCol w:w="109"/>
        <w:gridCol w:w="109"/>
        <w:gridCol w:w="203"/>
        <w:gridCol w:w="762"/>
        <w:gridCol w:w="112"/>
        <w:gridCol w:w="112"/>
        <w:gridCol w:w="112"/>
        <w:gridCol w:w="112"/>
        <w:gridCol w:w="203"/>
        <w:gridCol w:w="762"/>
        <w:gridCol w:w="171"/>
      </w:tblGrid>
      <w:tr>
        <w:trPr/>
        <w:tc>
          <w:tcPr>
            <w:tcW w:w="192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pPr>
            <w:r>
              <w:rPr>
                <w:rFonts w:ascii="Times New Roman;serif" w:hAnsi="Times New Roman;serif"/>
                <w:b w:val="false"/>
                <w:color w:val="000000"/>
                <w:sz w:val="18"/>
              </w:rPr>
              <w:t xml:space="preserve">(to related parties </w:t>
            </w:r>
            <w:r>
              <w:rPr>
                <w:rFonts w:ascii="Times New Roman;serif" w:hAnsi="Times New Roman;serif"/>
                <w:b w:val="false"/>
                <w:color w:val="000000"/>
                <w:sz w:val="18"/>
                <w:shd w:fill="CCEEFF" w:val="clear"/>
              </w:rPr>
              <w:t xml:space="preserve">$402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$253</w:t>
            </w:r>
            <w:r>
              <w:rPr>
                <w:color w:val="000000"/>
              </w:rPr>
              <w:t xml:space="preserve"> </w:t>
            </w:r>
            <w:r>
              <w:rPr>
                <w:rFonts w:ascii="Times New Roman;serif" w:hAnsi="Times New Roman;serif"/>
                <w:b w:val="false"/>
                <w:color w:val="000000"/>
                <w:sz w:val="18"/>
              </w:rPr>
              <w:t xml:space="preserve">for the three months ended June 30, 2025 and June 30, 2024, respectively, </w:t>
            </w:r>
            <w:r>
              <w:rPr>
                <w:rFonts w:ascii="Times New Roman;serif" w:hAnsi="Times New Roman;serif"/>
                <w:b w:val="false"/>
                <w:color w:val="000000"/>
                <w:sz w:val="18"/>
                <w:shd w:fill="CCEEFF" w:val="clear"/>
              </w:rPr>
              <w:t xml:space="preserve">$865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$453</w:t>
            </w:r>
            <w:r>
              <w:rPr>
                <w:color w:val="000000"/>
              </w:rPr>
              <w:t xml:space="preserve"> </w:t>
            </w:r>
            <w:r>
              <w:rPr>
                <w:rFonts w:ascii="Times New Roman;serif" w:hAnsi="Times New Roman;serif"/>
                <w:b w:val="false"/>
                <w:color w:val="000000"/>
                <w:sz w:val="18"/>
              </w:rPr>
              <w:t>for the six months ended June 30, 2025 and June 30,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sales</w:t>
            </w:r>
          </w:p>
          <w:p>
            <w:pPr>
              <w:pStyle w:val="TableContents"/>
              <w:bidi w:val="0"/>
              <w:spacing w:lineRule="auto" w:line="240" w:before="0" w:after="0"/>
              <w:jc w:val="left"/>
              <w:rPr/>
            </w:pPr>
            <w:r>
              <w:rPr>
                <w:rFonts w:ascii="Times New Roman;serif" w:hAnsi="Times New Roman;serif"/>
                <w:b w:val="false"/>
                <w:color w:val="000000"/>
                <w:sz w:val="18"/>
              </w:rPr>
              <w:t xml:space="preserve">(derived from any related party sales </w:t>
            </w:r>
            <w:r>
              <w:rPr>
                <w:rFonts w:ascii="Times New Roman;serif" w:hAnsi="Times New Roman;serif"/>
                <w:b w:val="false"/>
                <w:color w:val="000000"/>
                <w:sz w:val="18"/>
                <w:shd w:fill="FFFFFF" w:val="clear"/>
              </w:rPr>
              <w:t>$271</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$176</w:t>
            </w:r>
            <w:r>
              <w:rPr>
                <w:color w:val="000000"/>
              </w:rPr>
              <w:t xml:space="preserve"> </w:t>
            </w:r>
            <w:r>
              <w:rPr>
                <w:rFonts w:ascii="Times New Roman;serif" w:hAnsi="Times New Roman;serif"/>
                <w:b w:val="false"/>
                <w:color w:val="000000"/>
                <w:sz w:val="18"/>
              </w:rPr>
              <w:t xml:space="preserve">for the three months ended June 30, 2025 and June 30, 2024, respectively, and </w:t>
            </w:r>
            <w:r>
              <w:rPr>
                <w:rFonts w:ascii="Times New Roman;serif" w:hAnsi="Times New Roman;serif"/>
                <w:b w:val="false"/>
                <w:color w:val="000000"/>
                <w:sz w:val="18"/>
                <w:shd w:fill="FFFFFF" w:val="clear"/>
              </w:rPr>
              <w:t>$587</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 xml:space="preserve">$329 </w:t>
            </w:r>
            <w:r>
              <w:rPr>
                <w:rFonts w:ascii="Times New Roman;serif" w:hAnsi="Times New Roman;serif"/>
                <w:b w:val="false"/>
                <w:color w:val="000000"/>
                <w:sz w:val="18"/>
              </w:rPr>
              <w:t>for the six months ended June 30, 2025 and June 30,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expense (from related part</w:t>
            </w:r>
            <w:r>
              <w:rPr>
                <w:rFonts w:ascii="Times New Roman;serif" w:hAnsi="Times New Roman;serif"/>
                <w:b w:val="false"/>
                <w:color w:val="000000"/>
                <w:sz w:val="18"/>
                <w:shd w:fill="CCEEFF" w:val="clear"/>
              </w:rPr>
              <w:t>ies $219 and $2,216 for the three months ended June 30, 2025 and 2024, respectively, and $634 and $4,438 for the six m</w:t>
            </w:r>
            <w:r>
              <w:rPr>
                <w:rFonts w:ascii="Times New Roman;serif" w:hAnsi="Times New Roman;serif"/>
                <w:b w:val="false"/>
                <w:color w:val="000000"/>
                <w:sz w:val="18"/>
              </w:rPr>
              <w:t>onths ended June 30, 2025 and June 30,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STOCKHOLDERS’ EQUITY</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1037"/>
        <w:gridCol w:w="751"/>
        <w:gridCol w:w="754"/>
        <w:gridCol w:w="109"/>
        <w:gridCol w:w="109"/>
        <w:gridCol w:w="109"/>
        <w:gridCol w:w="294"/>
        <w:gridCol w:w="498"/>
        <w:gridCol w:w="166"/>
        <w:gridCol w:w="109"/>
        <w:gridCol w:w="109"/>
        <w:gridCol w:w="109"/>
        <w:gridCol w:w="253"/>
        <w:gridCol w:w="953"/>
        <w:gridCol w:w="140"/>
        <w:gridCol w:w="109"/>
        <w:gridCol w:w="109"/>
        <w:gridCol w:w="109"/>
        <w:gridCol w:w="234"/>
        <w:gridCol w:w="907"/>
        <w:gridCol w:w="133"/>
        <w:gridCol w:w="109"/>
        <w:gridCol w:w="109"/>
        <w:gridCol w:w="109"/>
        <w:gridCol w:w="246"/>
        <w:gridCol w:w="558"/>
        <w:gridCol w:w="138"/>
        <w:gridCol w:w="109"/>
        <w:gridCol w:w="109"/>
        <w:gridCol w:w="109"/>
        <w:gridCol w:w="269"/>
        <w:gridCol w:w="1016"/>
        <w:gridCol w:w="223"/>
      </w:tblGrid>
      <w:tr>
        <w:trPr/>
        <w:tc>
          <w:tcPr>
            <w:tcW w:w="103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157,648 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(72,429)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84,343 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(153,675)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exercise of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(132,135)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24,765 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7"/>
        <w:gridCol w:w="752"/>
        <w:gridCol w:w="754"/>
        <w:gridCol w:w="109"/>
        <w:gridCol w:w="109"/>
        <w:gridCol w:w="109"/>
        <w:gridCol w:w="294"/>
        <w:gridCol w:w="498"/>
        <w:gridCol w:w="166"/>
        <w:gridCol w:w="109"/>
        <w:gridCol w:w="109"/>
        <w:gridCol w:w="109"/>
        <w:gridCol w:w="253"/>
        <w:gridCol w:w="953"/>
        <w:gridCol w:w="140"/>
        <w:gridCol w:w="109"/>
        <w:gridCol w:w="109"/>
        <w:gridCol w:w="109"/>
        <w:gridCol w:w="234"/>
        <w:gridCol w:w="907"/>
        <w:gridCol w:w="133"/>
        <w:gridCol w:w="109"/>
        <w:gridCol w:w="109"/>
        <w:gridCol w:w="109"/>
        <w:gridCol w:w="246"/>
        <w:gridCol w:w="558"/>
        <w:gridCol w:w="138"/>
        <w:gridCol w:w="109"/>
        <w:gridCol w:w="109"/>
        <w:gridCol w:w="109"/>
        <w:gridCol w:w="269"/>
        <w:gridCol w:w="1016"/>
        <w:gridCol w:w="222"/>
      </w:tblGrid>
      <w:tr>
        <w:trPr/>
        <w:tc>
          <w:tcPr>
            <w:tcW w:w="103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exercise of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(132,135)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24,765 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9506" w:type="dxa"/>
        <w:jc w:val="center"/>
        <w:tblInd w:w="0" w:type="dxa"/>
        <w:tblLayout w:type="fixed"/>
        <w:tblCellMar>
          <w:top w:w="28" w:type="dxa"/>
          <w:left w:w="28" w:type="dxa"/>
          <w:bottom w:w="28" w:type="dxa"/>
          <w:right w:w="28" w:type="dxa"/>
        </w:tblCellMar>
      </w:tblPr>
      <w:tblGrid>
        <w:gridCol w:w="2280"/>
        <w:gridCol w:w="2007"/>
        <w:gridCol w:w="2013"/>
        <w:gridCol w:w="109"/>
        <w:gridCol w:w="109"/>
        <w:gridCol w:w="109"/>
        <w:gridCol w:w="248"/>
        <w:gridCol w:w="818"/>
        <w:gridCol w:w="138"/>
        <w:gridCol w:w="138"/>
        <w:gridCol w:w="138"/>
        <w:gridCol w:w="138"/>
        <w:gridCol w:w="248"/>
        <w:gridCol w:w="818"/>
        <w:gridCol w:w="195"/>
      </w:tblGrid>
      <w:tr>
        <w:trPr/>
        <w:tc>
          <w:tcPr>
            <w:tcW w:w="228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(10,239)</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11" w:type="dxa"/>
        <w:jc w:val="center"/>
        <w:tblInd w:w="0" w:type="dxa"/>
        <w:tblLayout w:type="fixed"/>
        <w:tblCellMar>
          <w:top w:w="28" w:type="dxa"/>
          <w:left w:w="28" w:type="dxa"/>
          <w:bottom w:w="28" w:type="dxa"/>
          <w:right w:w="28" w:type="dxa"/>
        </w:tblCellMar>
      </w:tblPr>
      <w:tblGrid>
        <w:gridCol w:w="2678"/>
        <w:gridCol w:w="2357"/>
        <w:gridCol w:w="2375"/>
        <w:gridCol w:w="109"/>
        <w:gridCol w:w="109"/>
        <w:gridCol w:w="109"/>
        <w:gridCol w:w="196"/>
        <w:gridCol w:w="646"/>
        <w:gridCol w:w="109"/>
        <w:gridCol w:w="109"/>
        <w:gridCol w:w="109"/>
        <w:gridCol w:w="109"/>
        <w:gridCol w:w="196"/>
        <w:gridCol w:w="646"/>
        <w:gridCol w:w="154"/>
      </w:tblGrid>
      <w:tr>
        <w:trPr/>
        <w:tc>
          <w:tcPr>
            <w:tcW w:w="267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1.    Summary of Significant Accounting Policies and Other Information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Nature of Business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large custom-engineered integrated electrical power generation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Stock Ownership and Control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Weichai America Corp., a wholly-owned subsidiary of Weichai Power Co., Ltd. (HK2338, SZ000338) (herein collectively referred to as “Weichai”) owns a majority of the outstanding shares of the Company’s Common Stock. As a result, Weichai is able to exercise control over 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Weichai has entered into an Investor Rights Agreement (the “Rights Agreement”). The Rights Agreement provides Weichai with representation on the Company’s Board of Directors (the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 to the extent applicable.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Going Concern Considerations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During the first six months of 2025, the Company reported net income of $70.3 million and cash provided by operations of $25.5 million. On July 30, 2025, the Company amended its Uncommitted Revolving Credit Agreement (the “Revolving Credit Agreement”), which extended the maturity date from </w:t>
      </w:r>
      <w:r>
        <w:rPr>
          <w:rFonts w:ascii="Times New Roman;serif" w:hAnsi="Times New Roman;serif"/>
          <w:b w:val="false"/>
          <w:color w:val="000000"/>
          <w:sz w:val="20"/>
        </w:rPr>
        <w:t>August 30, 2025</w:t>
      </w:r>
      <w:r>
        <w:rPr>
          <w:color w:val="000000"/>
          <w:shd w:fill="FFFFFF" w:val="clear"/>
        </w:rPr>
        <w:t xml:space="preserve"> </w:t>
      </w:r>
      <w:r>
        <w:rPr>
          <w:rFonts w:ascii="Times New Roman;serif" w:hAnsi="Times New Roman;serif"/>
          <w:b w:val="false"/>
          <w:color w:val="000000"/>
          <w:sz w:val="20"/>
          <w:shd w:fill="FFFFFF" w:val="clear"/>
        </w:rPr>
        <w:t xml:space="preserve">to July 30, 2027 (See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and increased the borrowing capacity to </w:t>
      </w:r>
      <w:r>
        <w:rPr>
          <w:rFonts w:ascii="Times New Roman;serif" w:hAnsi="Times New Roman;serif"/>
          <w:b w:val="false"/>
          <w:color w:val="000000"/>
          <w:sz w:val="20"/>
        </w:rPr>
        <w:t>$135.0 million</w:t>
      </w:r>
      <w:r>
        <w:rPr>
          <w:rFonts w:ascii="Times New Roman;serif" w:hAnsi="Times New Roman;serif"/>
          <w:b w:val="false"/>
          <w:color w:val="000000"/>
          <w:sz w:val="20"/>
          <w:shd w:fill="FFFFFF" w:val="clear"/>
        </w:rPr>
        <w:t>. As the Company has achieved profitability, is generating positive cash flows from operating activities, and has amended the Revolving Credit Agreement, the Company has concluded that its existing cash and cash equivalents and cash from operations will be sufficient for the Company to continue as a going concern for at least twelve months from the issuance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filing this Form 10-Q for the quarterly period ended June 30, 2025, which contains unaudited condensed consolidated financial statements as of June 30, 2025 and for the three and six months ended June 30, 2025 and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Power Solutions International, Inc. and its wholly-owned subsidiaries and majority-owned subsidiaries in which the Company exercises control. The condensed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normally included in the Company’s annual financial statements prepared in accordance with U.S. GAAP have been condensed or omitted. The accompanying unaudited Condensed Consolidated Financial Statements have been prepared in accordance with the instructions to Form 10-Q and Article 8 of Regulation S-X and include all of the information and disclosures required by U.S GAAP for interim financial reporting. These unaudited Condensed Consolidated Financial Statements should be read in conjunction with the Consolidated Financial Statements of the Company and related footnotes for the year ended December 31, 2024, included in the 2024 Annual Report on Form 10-K, filed with the SEC on March 24, 2025 (the “2024 Annual Report”). The Company’s significant accounting policies are described in the aforementioned 2024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customers individually accounting for more than 10% of the Company’s net sales:</w:t>
      </w:r>
    </w:p>
    <w:tbl>
      <w:tblPr>
        <w:tblW w:w="7559"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0"/>
        <w:gridCol w:w="260"/>
        <w:gridCol w:w="611"/>
        <w:gridCol w:w="260"/>
        <w:gridCol w:w="260"/>
        <w:gridCol w:w="260"/>
        <w:gridCol w:w="260"/>
        <w:gridCol w:w="260"/>
        <w:gridCol w:w="611"/>
        <w:gridCol w:w="109"/>
        <w:gridCol w:w="109"/>
        <w:gridCol w:w="109"/>
        <w:gridCol w:w="237"/>
        <w:gridCol w:w="237"/>
        <w:gridCol w:w="558"/>
        <w:gridCol w:w="237"/>
        <w:gridCol w:w="237"/>
        <w:gridCol w:w="237"/>
        <w:gridCol w:w="237"/>
        <w:gridCol w:w="237"/>
        <w:gridCol w:w="656"/>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customers individually accounting for more than 10% of the Company’s trade accounts receivable:</w:t>
      </w:r>
    </w:p>
    <w:tbl>
      <w:tblPr>
        <w:tblW w:w="5288"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367"/>
        <w:gridCol w:w="367"/>
        <w:gridCol w:w="871"/>
        <w:gridCol w:w="109"/>
        <w:gridCol w:w="109"/>
        <w:gridCol w:w="109"/>
        <w:gridCol w:w="427"/>
        <w:gridCol w:w="427"/>
        <w:gridCol w:w="118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suppliers individually accounting for more than 10% of the Company’s purchases:</w:t>
      </w:r>
    </w:p>
    <w:tbl>
      <w:tblPr>
        <w:tblW w:w="7469"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60"/>
        <w:gridCol w:w="260"/>
        <w:gridCol w:w="611"/>
        <w:gridCol w:w="260"/>
        <w:gridCol w:w="260"/>
        <w:gridCol w:w="260"/>
        <w:gridCol w:w="260"/>
        <w:gridCol w:w="260"/>
        <w:gridCol w:w="611"/>
        <w:gridCol w:w="109"/>
        <w:gridCol w:w="109"/>
        <w:gridCol w:w="109"/>
        <w:gridCol w:w="237"/>
        <w:gridCol w:w="237"/>
        <w:gridCol w:w="558"/>
        <w:gridCol w:w="237"/>
        <w:gridCol w:w="237"/>
        <w:gridCol w:w="237"/>
        <w:gridCol w:w="237"/>
        <w:gridCol w:w="237"/>
        <w:gridCol w:w="656"/>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**Less than 10% of the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credit losses,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jc w:val="both"/>
        <w:rPr/>
      </w:pPr>
      <w:r>
        <w:rPr>
          <w:rFonts w:ascii="Times New Roman;serif" w:hAnsi="Times New Roman;serif"/>
          <w:b w:val="false"/>
          <w:color w:val="000000"/>
          <w:sz w:val="20"/>
        </w:rPr>
        <w:t xml:space="preserve">Restricted cash consists of funds that are contractually restricted as to usage or withdrawal due to required minimum levels of cash collateral for letters of credits and contractual agreements with customers. As of </w:t>
      </w:r>
      <w:r>
        <w:rPr>
          <w:rFonts w:ascii="Times New Roman;serif" w:hAnsi="Times New Roman;serif"/>
          <w:b w:val="false"/>
          <w:color w:val="000000"/>
          <w:sz w:val="20"/>
          <w:shd w:fill="FFFFFF" w:val="clear"/>
        </w:rPr>
        <w:t xml:space="preserve">June 30, 2025 and </w:t>
      </w:r>
      <w:r>
        <w:rPr>
          <w:rFonts w:ascii="Times New Roman;serif" w:hAnsi="Times New Roman;serif"/>
          <w:b w:val="false"/>
          <w:color w:val="000000"/>
          <w:sz w:val="20"/>
        </w:rPr>
        <w:t xml:space="preserve">December 31, 2024, </w:t>
      </w:r>
      <w:r>
        <w:rPr>
          <w:rFonts w:ascii="Times New Roman;serif" w:hAnsi="Times New Roman;serif"/>
          <w:b w:val="false"/>
          <w:color w:val="000000"/>
          <w:sz w:val="20"/>
          <w:shd w:fill="FFFFFF" w:val="clear"/>
        </w:rPr>
        <w:t xml:space="preserve">the Company had restricted cash of </w:t>
      </w:r>
      <w:r>
        <w:rPr>
          <w:rFonts w:ascii="Times New Roman;serif" w:hAnsi="Times New Roman;serif"/>
          <w:b w:val="false"/>
          <w:color w:val="000000"/>
          <w:sz w:val="20"/>
        </w:rPr>
        <w:t>$3.7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$3.2 million</w:t>
      </w:r>
      <w:r>
        <w:rPr>
          <w:rFonts w:ascii="Times New Roman;serif" w:hAnsi="Times New Roman;serif"/>
          <w:b w:val="false"/>
          <w:color w:val="000000"/>
          <w:sz w:val="20"/>
          <w:shd w:fill="FFFFFF" w:val="clear"/>
        </w:rPr>
        <w:t xml:space="preserve">, respectively, which includes $1.4 million restricted cash held in escrow which could be required to be refunded to the customer if conditions occur as defined in the agreement with the customer. The Company has not recognized revenue associated with the restricted cash. The deferred revenue is included within </w:t>
      </w:r>
      <w:r>
        <w:rPr>
          <w:rFonts w:ascii="Times New Roman;serif" w:hAnsi="Times New Roman;serif"/>
          <w:b w:val="false"/>
          <w:i/>
          <w:color w:val="000000"/>
          <w:sz w:val="20"/>
          <w:shd w:fill="FFFFFF" w:val="clear"/>
        </w:rPr>
        <w:t>Noncurrent Contract Liabilities</w:t>
      </w:r>
      <w:r>
        <w:rPr>
          <w:color w:val="000000"/>
          <w:shd w:fill="FFFFFF" w:val="clear"/>
        </w:rPr>
        <w:t xml:space="preserve"> </w:t>
      </w:r>
      <w:r>
        <w:rPr>
          <w:rFonts w:ascii="Times New Roman;serif" w:hAnsi="Times New Roman;serif"/>
          <w:b w:val="false"/>
          <w:color w:val="000000"/>
          <w:sz w:val="20"/>
          <w:shd w:fill="FFFFFF" w:val="clear"/>
        </w:rPr>
        <w:t>on the Consolidated Balance Sheets.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inventories consist primarily of engines and parts. Engines are valued at the lower of cost, including estimated freight-in, or net realizable value. Parts are valued at the lower of cost or net realizable value, except for integral parts provided by customers for installation on custom ordered engines. Such parts are accounted for as noncash consideration which is valued at fair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power system. Specific analysis of individual items or groups of items is performed based on these same criteria, as well as on changes in market conditions or any other identified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w:t>
      </w:r>
    </w:p>
    <w:tbl>
      <w:tblPr>
        <w:tblW w:w="5858"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302"/>
        <w:gridCol w:w="1135"/>
        <w:gridCol w:w="168"/>
        <w:gridCol w:w="109"/>
        <w:gridCol w:w="109"/>
        <w:gridCol w:w="109"/>
        <w:gridCol w:w="401"/>
        <w:gridCol w:w="1323"/>
        <w:gridCol w:w="315"/>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Raw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131,936 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157,190 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148,980 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93,872 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in the Company’s inventory allowance was as follows:</w:t>
      </w:r>
    </w:p>
    <w:tbl>
      <w:tblPr>
        <w:tblW w:w="5660"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269"/>
        <w:gridCol w:w="764"/>
        <w:gridCol w:w="149"/>
        <w:gridCol w:w="149"/>
        <w:gridCol w:w="149"/>
        <w:gridCol w:w="149"/>
        <w:gridCol w:w="269"/>
        <w:gridCol w:w="764"/>
        <w:gridCol w:w="211"/>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7,081 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 xml:space="preserve">the Company’s inventory included </w:t>
      </w:r>
      <w:r>
        <w:rPr>
          <w:rFonts w:ascii="Times New Roman;serif" w:hAnsi="Times New Roman;serif"/>
          <w:b w:val="false"/>
          <w:color w:val="000000"/>
          <w:sz w:val="20"/>
          <w:shd w:fill="FFFFFF" w:val="clear"/>
        </w:rPr>
        <w:t>$5.7 million</w:t>
      </w:r>
      <w:r>
        <w:rPr>
          <w:color w:val="000000"/>
        </w:rPr>
        <w:t xml:space="preserve"> </w:t>
      </w:r>
      <w:r>
        <w:rPr>
          <w:rFonts w:ascii="Times New Roman;serif" w:hAnsi="Times New Roman;serif"/>
          <w:b w:val="false"/>
          <w:color w:val="000000"/>
          <w:sz w:val="20"/>
        </w:rPr>
        <w:t xml:space="preserve">of raw materials provided by its customers for installation in the fulfillment of its performance obligations to these customers and recorded an associated contract liability. See </w:t>
      </w:r>
      <w:r>
        <w:rPr>
          <w:rFonts w:ascii="Times New Roman;serif" w:hAnsi="Times New Roman;serif"/>
          <w:b w:val="false"/>
          <w:color w:val="000000"/>
          <w:sz w:val="20"/>
          <w:shd w:fill="FFFFFF" w:val="clear"/>
        </w:rPr>
        <w:t>Note 2.</w:t>
      </w:r>
      <w:r>
        <w:rPr>
          <w:color w:val="000000"/>
        </w:rPr>
        <w:t xml:space="preserve"> </w:t>
      </w:r>
      <w:r>
        <w:rPr>
          <w:rFonts w:ascii="Times New Roman;serif" w:hAnsi="Times New Roman;serif"/>
          <w:b w:val="false"/>
          <w:i/>
          <w:color w:val="000000"/>
          <w:sz w:val="20"/>
          <w:shd w:fill="FFFFFF" w:val="clear"/>
        </w:rPr>
        <w:t>Revenue</w:t>
      </w:r>
      <w:r>
        <w:rPr>
          <w:color w:val="000000"/>
        </w:rPr>
        <w:t xml:space="preserve"> </w:t>
      </w:r>
      <w:r>
        <w:rPr>
          <w:rFonts w:ascii="Times New Roman;serif" w:hAnsi="Times New Roman;serif"/>
          <w:b w:val="false"/>
          <w:color w:val="000000"/>
          <w:sz w:val="20"/>
        </w:rPr>
        <w:t>for further information regarding contract assets and contract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w:t>
      </w:r>
    </w:p>
    <w:tbl>
      <w:tblPr>
        <w:tblW w:w="6937"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330"/>
        <w:gridCol w:w="1090"/>
        <w:gridCol w:w="184"/>
        <w:gridCol w:w="109"/>
        <w:gridCol w:w="109"/>
        <w:gridCol w:w="109"/>
        <w:gridCol w:w="401"/>
        <w:gridCol w:w="1323"/>
        <w:gridCol w:w="315"/>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Accrued litigation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 appreciation rights liability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Customs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June 30, 2025 and December 31, 2024</w:t>
      </w:r>
      <w:r>
        <w:rPr>
          <w:color w:val="000000"/>
          <w:shd w:fill="FFFFFF" w:val="clear"/>
        </w:rPr>
        <w:t xml:space="preserve"> </w:t>
      </w:r>
      <w:r>
        <w:rPr>
          <w:rFonts w:ascii="Times New Roman;serif" w:hAnsi="Times New Roman;serif"/>
          <w:b w:val="false"/>
          <w:color w:val="000000"/>
          <w:sz w:val="16"/>
          <w:shd w:fill="FFFFFF" w:val="clear"/>
        </w:rPr>
        <w:t xml:space="preserve">accrued </w:t>
      </w:r>
      <w:r>
        <w:rPr>
          <w:rFonts w:ascii="Times New Roman;serif" w:hAnsi="Times New Roman;serif"/>
          <w:b w:val="false"/>
          <w:color w:val="000000"/>
          <w:sz w:val="16"/>
        </w:rPr>
        <w:t xml:space="preserve">litigation includes accruals related to various ongoing legal matters including associated legal fees. See </w:t>
      </w:r>
      <w:r>
        <w:rPr>
          <w:rFonts w:ascii="Times New Roman;serif" w:hAnsi="Times New Roman;serif"/>
          <w:b w:val="false"/>
          <w:color w:val="000000"/>
          <w:sz w:val="16"/>
          <w:shd w:fill="FFFFFF" w:val="clear"/>
        </w:rPr>
        <w:t>Note 10.</w:t>
      </w:r>
      <w:r>
        <w:rPr>
          <w:color w:val="000000"/>
        </w:rPr>
        <w:t xml:space="preserve"> </w:t>
      </w:r>
      <w:r>
        <w:rPr>
          <w:rFonts w:ascii="Times New Roman;serif" w:hAnsi="Times New Roman;serif"/>
          <w:b w:val="false"/>
          <w:i/>
          <w:color w:val="000000"/>
          <w:sz w:val="16"/>
          <w:shd w:fill="FFFFFF" w:val="clear"/>
        </w:rPr>
        <w:t>Commitments and Contingencies</w:t>
      </w:r>
      <w:r>
        <w:rPr>
          <w:color w:val="000000"/>
        </w:rPr>
        <w:t xml:space="preserve"> </w:t>
      </w:r>
      <w:r>
        <w:rPr>
          <w:rFonts w:ascii="Times New Roman;serif" w:hAnsi="Times New Roman;serif"/>
          <w:b w:val="false"/>
          <w:color w:val="000000"/>
          <w:sz w:val="16"/>
        </w:rPr>
        <w:t>for further information regarding the various ongoing legal matters.</w:t>
      </w:r>
    </w:p>
    <w:p>
      <w:pPr>
        <w:pStyle w:val="TextBody"/>
        <w:bidi w:val="0"/>
        <w:spacing w:lineRule="auto" w:line="288" w:before="120" w:after="12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Company has an incentive compensation plan, which authorizes the granting of a variety of different types of awards including, but not limited to, non-qualified stock options, incentive stock options, Stock Appreciation Rights (“SARs”), Restricted Stock Awards (“RSAs”)</w:t>
      </w:r>
      <w:r>
        <w:rPr>
          <w:rFonts w:ascii="Times New Roman;serif" w:hAnsi="Times New Roman;serif"/>
          <w:b w:val="false"/>
          <w:color w:val="000000"/>
          <w:sz w:val="20"/>
        </w:rPr>
        <w:t xml:space="preserve">, </w:t>
      </w:r>
      <w:r>
        <w:rPr>
          <w:rFonts w:ascii="Times New Roman;serif" w:hAnsi="Times New Roman;serif"/>
          <w:b w:val="false"/>
          <w:color w:val="000000"/>
          <w:sz w:val="16"/>
        </w:rPr>
        <w:t>deferred stock and performance units to its executive officers, employees, consultants and Directors. T</w:t>
      </w:r>
      <w:r>
        <w:rPr>
          <w:rFonts w:ascii="Times New Roman;serif" w:hAnsi="Times New Roman;serif"/>
          <w:b w:val="false"/>
          <w:color w:val="000000"/>
          <w:sz w:val="16"/>
          <w:shd w:fill="FFFFFF" w:val="clear"/>
        </w:rPr>
        <w:t xml:space="preserve">he </w:t>
      </w:r>
      <w:r>
        <w:rPr>
          <w:rFonts w:ascii="Times New Roman;serif" w:hAnsi="Times New Roman;serif"/>
          <w:b w:val="false"/>
          <w:color w:val="000000"/>
          <w:sz w:val="16"/>
        </w:rPr>
        <w:t>SAR</w:t>
      </w:r>
      <w:r>
        <w:rPr>
          <w:color w:val="000000"/>
          <w:shd w:fill="FFFFFF" w:val="clear"/>
        </w:rPr>
        <w:t xml:space="preserve"> </w:t>
      </w:r>
      <w:r>
        <w:rPr>
          <w:rFonts w:ascii="Times New Roman;serif" w:hAnsi="Times New Roman;serif"/>
          <w:b w:val="false"/>
          <w:color w:val="000000"/>
          <w:sz w:val="16"/>
          <w:shd w:fill="FFFFFF" w:val="clear"/>
        </w:rPr>
        <w:t xml:space="preserve">awards granted for the year ended June 30, 2025 and </w:t>
      </w:r>
      <w:r>
        <w:rPr>
          <w:rFonts w:ascii="Times New Roman;serif" w:hAnsi="Times New Roman;serif"/>
          <w:b w:val="false"/>
          <w:color w:val="000000"/>
          <w:sz w:val="16"/>
        </w:rPr>
        <w:t>December 31, 2024</w:t>
      </w:r>
      <w:r>
        <w:rPr>
          <w:color w:val="000000"/>
          <w:shd w:fill="FFFFFF" w:val="clear"/>
        </w:rPr>
        <w:t xml:space="preserve"> </w:t>
      </w:r>
      <w:r>
        <w:rPr>
          <w:rFonts w:ascii="Times New Roman;serif" w:hAnsi="Times New Roman;serif"/>
          <w:b w:val="false"/>
          <w:color w:val="000000"/>
          <w:sz w:val="16"/>
          <w:shd w:fill="FFFFFF" w:val="clear"/>
        </w:rPr>
        <w:t xml:space="preserve">were all liability classified awards and remained outstanding. </w:t>
      </w:r>
      <w:r>
        <w:rPr>
          <w:rFonts w:ascii="Times New Roman;serif" w:hAnsi="Times New Roman;serif"/>
          <w:b w:val="false"/>
          <w:color w:val="000000"/>
          <w:sz w:val="16"/>
        </w:rPr>
        <w:t xml:space="preserve">See Note 13.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in the Company’s 2024 Annual Report for additional information on the SARs and RSAs.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Warranty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standard limited warranty on the workmanship of its products that in most cases covers defects for a defined period. Warranties for certified emission products are mandated by the U.S. Environmental Protection Agency (the “EPA”) and/or the California Air Resources Board (the “CARB”) and are longer than the Company’s standard warranty on certain emission-related products. The Company’s products also carry limited warranties from suppliers.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warranties generally apply to engines fully manufactured by the Company and to the modifications the Company makes to supplier base products. Costs related to supplier warranty claims are generally borne by the supplier and passed through to the end customer.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Accrued product warranty activities are presented below:</w:t>
      </w:r>
    </w:p>
    <w:tbl>
      <w:tblPr>
        <w:tblW w:w="6836"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48"/>
        <w:gridCol w:w="818"/>
        <w:gridCol w:w="138"/>
        <w:gridCol w:w="138"/>
        <w:gridCol w:w="138"/>
        <w:gridCol w:w="138"/>
        <w:gridCol w:w="248"/>
        <w:gridCol w:w="818"/>
        <w:gridCol w:w="195"/>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Accrued Product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period provision </w:t>
            </w: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Changes in estimates for preexisting warranties </w:t>
            </w: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made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Noncurrent accrued product warranty </w:t>
              <w:br/>
              <w:t>(included with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pPr>
      <w:r>
        <w:rPr>
          <w:rFonts w:ascii="Times New Roman;serif" w:hAnsi="Times New Roman;serif"/>
          <w:b w:val="false"/>
          <w:color w:val="000000"/>
          <w:sz w:val="16"/>
          <w:shd w:fill="FFFFFF" w:val="clear"/>
        </w:rPr>
        <w:t>*Warranty costs, net of supplier recoveries, and other adjustments, were $2.5 million and $4.1 million</w:t>
      </w:r>
      <w:r>
        <w:rPr>
          <w:color w:val="000000"/>
          <w:shd w:fill="FFFFFF" w:val="clear"/>
        </w:rPr>
        <w:t xml:space="preserve"> </w:t>
      </w:r>
      <w:r>
        <w:rPr>
          <w:rFonts w:ascii="Times New Roman;serif" w:hAnsi="Times New Roman;serif"/>
          <w:b w:val="false"/>
          <w:color w:val="000000"/>
          <w:sz w:val="16"/>
          <w:shd w:fill="FFFFFF" w:val="clear"/>
        </w:rPr>
        <w:t>for the six months ended June 30, 2025 a</w:t>
      </w:r>
      <w:r>
        <w:rPr>
          <w:rFonts w:ascii="Times New Roman;serif" w:hAnsi="Times New Roman;serif"/>
          <w:b w:val="false"/>
          <w:color w:val="000000"/>
          <w:sz w:val="16"/>
        </w:rPr>
        <w:t>nd 2024</w:t>
      </w:r>
      <w:r>
        <w:rPr>
          <w:rFonts w:ascii="Times New Roman;serif" w:hAnsi="Times New Roman;serif"/>
          <w:b w:val="false"/>
          <w:color w:val="000000"/>
          <w:sz w:val="16"/>
          <w:shd w:fill="FFFFFF" w:val="clear"/>
        </w:rPr>
        <w:t>, respectively. There were no supplier recoveries for the six months ended June 30, 2025 and $0.5 million for the six months ended June 30, 2024.</w:t>
      </w:r>
    </w:p>
    <w:p>
      <w:pPr>
        <w:pStyle w:val="TextBody"/>
        <w:bidi w:val="0"/>
        <w:spacing w:lineRule="auto" w:line="276" w:before="0" w:after="0"/>
        <w:ind w:left="0" w:right="0" w:hanging="720"/>
        <w:jc w:val="both"/>
        <w:rPr/>
      </w:pPr>
      <w:r>
        <w:rPr>
          <w:rFonts w:ascii="Times New Roman;serif" w:hAnsi="Times New Roman;serif"/>
          <w:b w:val="false"/>
          <w:color w:val="000000"/>
          <w:sz w:val="16"/>
          <w:shd w:fill="FFFFFF" w:val="clear"/>
        </w:rPr>
        <w:t xml:space="preserve">**Changes in estimates for preexisting warranties reflect changes in the Company’s estimate of warranty costs for products sold in prior periods. Such adjustments typically occur when claims experience deviates from historical and expected trends. During the </w:t>
      </w:r>
      <w:r>
        <w:rPr>
          <w:rFonts w:ascii="Times New Roman;serif" w:hAnsi="Times New Roman;serif"/>
          <w:b w:val="false"/>
          <w:color w:val="000000"/>
          <w:sz w:val="16"/>
        </w:rPr>
        <w:t>six</w:t>
      </w:r>
      <w:r>
        <w:rPr>
          <w:color w:val="000000"/>
          <w:shd w:fill="FFFFFF" w:val="clear"/>
        </w:rPr>
        <w:t xml:space="preserve"> </w:t>
      </w:r>
      <w:r>
        <w:rPr>
          <w:rFonts w:ascii="Times New Roman;serif" w:hAnsi="Times New Roman;serif"/>
          <w:b w:val="false"/>
          <w:color w:val="000000"/>
          <w:sz w:val="16"/>
          <w:shd w:fill="FFFFFF" w:val="clear"/>
        </w:rPr>
        <w:t xml:space="preserve">months ended June 30, 2025, the Company recorded a cost for changes in estimates of preexisting warranties of $0.1 million, or $0.00 per diluted share. During the </w:t>
      </w:r>
      <w:r>
        <w:rPr>
          <w:rFonts w:ascii="Times New Roman;serif" w:hAnsi="Times New Roman;serif"/>
          <w:b w:val="false"/>
          <w:color w:val="000000"/>
          <w:sz w:val="16"/>
        </w:rPr>
        <w:t>six</w:t>
      </w:r>
      <w:r>
        <w:rPr>
          <w:color w:val="000000"/>
          <w:shd w:fill="FFFFFF" w:val="clear"/>
        </w:rPr>
        <w:t xml:space="preserve"> </w:t>
      </w:r>
      <w:r>
        <w:rPr>
          <w:rFonts w:ascii="Times New Roman;serif" w:hAnsi="Times New Roman;serif"/>
          <w:b w:val="false"/>
          <w:color w:val="000000"/>
          <w:sz w:val="16"/>
          <w:shd w:fill="FFFFFF" w:val="clear"/>
        </w:rPr>
        <w:t xml:space="preserve">months ended June 30, 2024, the Company recorded a cost of $1.7 million, or $0.07 per diluted share. </w:t>
      </w:r>
    </w:p>
    <w:p>
      <w:pPr>
        <w:pStyle w:val="TextBody"/>
        <w:bidi w:val="0"/>
        <w:spacing w:lineRule="auto" w:line="288" w:before="120" w:after="120"/>
        <w:jc w:val="both"/>
        <w:rPr/>
      </w:pPr>
      <w:r>
        <w:rPr>
          <w:rFonts w:ascii="Times New Roman;serif" w:hAnsi="Times New Roman;serif"/>
          <w:b/>
          <w:i/>
          <w:color w:val="000000"/>
          <w:sz w:val="20"/>
          <w:shd w:fill="FFFFFF" w:val="clear"/>
        </w:rPr>
        <w:t xml:space="preserve">Recently Issued Accounting Pronouncements </w:t>
      </w:r>
      <w:r>
        <w:rPr>
          <w:color w:val="000000"/>
          <w:shd w:fill="FFFFFF" w:val="clear"/>
        </w:rPr>
        <w:t xml:space="preserve">– </w:t>
      </w:r>
      <w:r>
        <w:rPr>
          <w:rFonts w:ascii="Times New Roman;serif" w:hAnsi="Times New Roman;serif"/>
          <w:b/>
          <w:i/>
          <w:color w:val="000000"/>
          <w:sz w:val="20"/>
          <w:shd w:fill="FFFFFF" w:val="clear"/>
        </w:rPr>
        <w:t>Adopted</w:t>
      </w:r>
    </w:p>
    <w:p>
      <w:pPr>
        <w:pStyle w:val="TextBody"/>
        <w:bidi w:val="0"/>
        <w:spacing w:lineRule="auto" w:line="288" w:before="120" w:after="120"/>
        <w:jc w:val="both"/>
        <w:rPr/>
      </w:pPr>
      <w:r>
        <w:rPr>
          <w:rFonts w:ascii="Times New Roman;serif" w:hAnsi="Times New Roman;serif"/>
          <w:b w:val="false"/>
          <w:color w:val="000000"/>
          <w:sz w:val="20"/>
        </w:rPr>
        <w:t xml:space="preserve">In November 2023, the FASB issued ASU 2023-07, Improvements to Reportable Segment Disclosures – Segment Reporting (Topic 280). The amendments to this standard require public entities to disclose more detailed information about their reportable segments’ significant expenses on an interim and annual basis. The amendments to this standard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adopted this guidance for the year ending December 31, 2024 and subsequent interim periods. See Note 15. </w:t>
      </w:r>
      <w:r>
        <w:rPr>
          <w:rFonts w:ascii="Times New Roman;serif" w:hAnsi="Times New Roman;serif"/>
          <w:b w:val="false"/>
          <w:i/>
          <w:color w:val="000000"/>
          <w:sz w:val="20"/>
        </w:rPr>
        <w:t>Segment Reporting</w:t>
      </w:r>
      <w:r>
        <w:rPr>
          <w:color w:val="000000"/>
          <w:shd w:fill="FFFFFF" w:val="clear"/>
        </w:rPr>
        <w:t xml:space="preserve"> </w:t>
      </w:r>
      <w:r>
        <w:rPr>
          <w:rFonts w:ascii="Times New Roman;serif" w:hAnsi="Times New Roman;serif"/>
          <w:b w:val="false"/>
          <w:color w:val="000000"/>
          <w:sz w:val="20"/>
        </w:rPr>
        <w:t xml:space="preserve">for the new disclosures required by the standard.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 – Not Yet Adopted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Improvements to Income Tax Disclosures - Income Taxes (Topic 740). The amendments to this standard enhances the transparency and decision usefulness of income tax disclosures, primarily related to rate reconciliation and income taxes paid information as well as effectiveness of overall income tax disclosures. The new standard is effective for non-public companies, and public business entities that meet the definition of a smaller reporting company as defined by the SEC, for annual periods beginning after December 15, 2024. The Company is required to adopt the guidance for its 2025 annual report filed on Form 10-K, though early adoption is permitted. The Company is currently evaluating the impact of these amendments on its disclosures, but this standard update will not impact the Company's results of operations or financial position.</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Expense Disaggregation Disclosures (Subtopic 220-40). </w:t>
      </w:r>
      <w:r>
        <w:rPr>
          <w:rFonts w:ascii="Times New Roman;serif" w:hAnsi="Times New Roman;serif"/>
          <w:b w:val="false"/>
          <w:color w:val="000000"/>
          <w:sz w:val="20"/>
        </w:rPr>
        <w:t>This update requires entities to provide more detailed disclosures about the components of significant expense categories, enhancing the transparency and decision usefulness of financial statements. The amendments in this update are intended to provide investors with additional information about specific expense categories in the notes to the financial statements at interim and annual reporting periods. The updated standard is effective for annual periods beginning after December 15, 2026, and interim reporting periods thereafter, although early adoption is permitted. While we anticipate that the adoption of this standard will require additional disclosures, the Company is currently assessing the impact of the amendment to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2.    Revenue </w:t>
      </w:r>
    </w:p>
    <w:p>
      <w:pPr>
        <w:pStyle w:val="TextBody"/>
        <w:bidi w:val="0"/>
        <w:spacing w:lineRule="auto" w:line="288" w:before="120" w:after="120"/>
        <w:jc w:val="both"/>
        <w:rPr/>
      </w:pPr>
      <w:r>
        <w:rPr>
          <w:rFonts w:ascii="Times New Roman;serif" w:hAnsi="Times New Roman;serif"/>
          <w:b/>
          <w:color w:val="000000"/>
          <w:sz w:val="20"/>
          <w:shd w:fill="FFFFFF" w:val="clear"/>
        </w:rPr>
        <w:t>Disaggregation of Revenu</w:t>
      </w:r>
      <w:r>
        <w:rPr>
          <w:rFonts w:ascii="Times New Roman;serif" w:hAnsi="Times New Roman;serif"/>
          <w:b/>
          <w:color w:val="000000"/>
          <w:sz w:val="20"/>
        </w:rPr>
        <w:t>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end market:</w:t>
      </w:r>
    </w:p>
    <w:tbl>
      <w:tblPr>
        <w:tblW w:w="7799"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47"/>
        <w:gridCol w:w="930"/>
        <w:gridCol w:w="137"/>
        <w:gridCol w:w="137"/>
        <w:gridCol w:w="137"/>
        <w:gridCol w:w="137"/>
        <w:gridCol w:w="247"/>
        <w:gridCol w:w="930"/>
        <w:gridCol w:w="137"/>
        <w:gridCol w:w="109"/>
        <w:gridCol w:w="109"/>
        <w:gridCol w:w="109"/>
        <w:gridCol w:w="230"/>
        <w:gridCol w:w="864"/>
        <w:gridCol w:w="127"/>
        <w:gridCol w:w="127"/>
        <w:gridCol w:w="127"/>
        <w:gridCol w:w="127"/>
        <w:gridCol w:w="230"/>
        <w:gridCol w:w="864"/>
        <w:gridCol w:w="180"/>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135,049 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60,258 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110,586 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205,826 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geographic area:</w:t>
      </w:r>
    </w:p>
    <w:tbl>
      <w:tblPr>
        <w:tblW w:w="9614" w:type="dxa"/>
        <w:jc w:val="left"/>
        <w:tblInd w:w="0" w:type="dxa"/>
        <w:tblLayout w:type="fixed"/>
        <w:tblCellMar>
          <w:top w:w="28" w:type="dxa"/>
          <w:left w:w="28" w:type="dxa"/>
          <w:bottom w:w="28" w:type="dxa"/>
          <w:right w:w="28" w:type="dxa"/>
        </w:tblCellMar>
      </w:tblPr>
      <w:tblGrid>
        <w:gridCol w:w="1101"/>
        <w:gridCol w:w="971"/>
        <w:gridCol w:w="973"/>
        <w:gridCol w:w="109"/>
        <w:gridCol w:w="109"/>
        <w:gridCol w:w="109"/>
        <w:gridCol w:w="247"/>
        <w:gridCol w:w="930"/>
        <w:gridCol w:w="137"/>
        <w:gridCol w:w="137"/>
        <w:gridCol w:w="137"/>
        <w:gridCol w:w="137"/>
        <w:gridCol w:w="247"/>
        <w:gridCol w:w="930"/>
        <w:gridCol w:w="137"/>
        <w:gridCol w:w="109"/>
        <w:gridCol w:w="109"/>
        <w:gridCol w:w="109"/>
        <w:gridCol w:w="230"/>
        <w:gridCol w:w="864"/>
        <w:gridCol w:w="127"/>
        <w:gridCol w:w="127"/>
        <w:gridCol w:w="127"/>
        <w:gridCol w:w="127"/>
        <w:gridCol w:w="230"/>
        <w:gridCol w:w="864"/>
        <w:gridCol w:w="180"/>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98,490 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180,762 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110,586 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205,826 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Sheets. Contract assets include amounts related to the contractual right to consideration for completed performance when the right to consideration is conditional. The Company records contract liabilities when cash payments are received or due in advance of performance. The fair value of noncash consideration of parts provided by customers is recorded in contract liabilities. Contract assets and contract liabilities are recognized at the contract level.</w:t>
      </w:r>
    </w:p>
    <w:tbl>
      <w:tblPr>
        <w:tblW w:w="10205" w:type="dxa"/>
        <w:jc w:val="left"/>
        <w:tblInd w:w="0" w:type="dxa"/>
        <w:tblLayout w:type="fixed"/>
        <w:tblCellMar>
          <w:top w:w="28" w:type="dxa"/>
          <w:left w:w="28" w:type="dxa"/>
          <w:bottom w:w="28" w:type="dxa"/>
          <w:right w:w="28" w:type="dxa"/>
        </w:tblCellMar>
      </w:tblPr>
      <w:tblGrid>
        <w:gridCol w:w="1550"/>
        <w:gridCol w:w="1344"/>
        <w:gridCol w:w="1347"/>
        <w:gridCol w:w="109"/>
        <w:gridCol w:w="109"/>
        <w:gridCol w:w="109"/>
        <w:gridCol w:w="297"/>
        <w:gridCol w:w="983"/>
        <w:gridCol w:w="166"/>
        <w:gridCol w:w="109"/>
        <w:gridCol w:w="109"/>
        <w:gridCol w:w="109"/>
        <w:gridCol w:w="359"/>
        <w:gridCol w:w="1185"/>
        <w:gridCol w:w="199"/>
        <w:gridCol w:w="109"/>
        <w:gridCol w:w="109"/>
        <w:gridCol w:w="109"/>
        <w:gridCol w:w="351"/>
        <w:gridCol w:w="1160"/>
        <w:gridCol w:w="283"/>
      </w:tblGrid>
      <w:tr>
        <w:trPr/>
        <w:tc>
          <w:tcPr>
            <w:tcW w:w="155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2023</w:t>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assets (included in </w:t>
            </w:r>
            <w:r>
              <w:rPr>
                <w:rFonts w:ascii="Times New Roman;serif" w:hAnsi="Times New Roman;serif"/>
                <w:b w:val="false"/>
                <w:i/>
                <w:color w:val="000000"/>
                <w:sz w:val="18"/>
              </w:rPr>
              <w:t>Contract assets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liabilities (included in </w:t>
            </w:r>
            <w:r>
              <w:rPr>
                <w:rFonts w:ascii="Times New Roman;serif" w:hAnsi="Times New Roman;serif"/>
                <w:b w:val="false"/>
                <w:i/>
                <w:color w:val="000000"/>
                <w:sz w:val="18"/>
              </w:rPr>
              <w:t>Other accrued liabilities</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Long-term contract liabilities (included in </w:t>
            </w:r>
            <w:r>
              <w:rPr>
                <w:rFonts w:ascii="Times New Roman;serif" w:hAnsi="Times New Roman;serif"/>
                <w:b w:val="false"/>
                <w:i/>
                <w:color w:val="000000"/>
                <w:sz w:val="18"/>
              </w:rPr>
              <w:t>Noncurrent contract liabilities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contract assets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9,401 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10,412 </w:t>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20"/>
          <w:shd w:fill="FFFFFF" w:val="clear"/>
        </w:rPr>
        <w:t>During the six months ended June 30, 2025 and 2024, the Company recognized $8.9 million and $0.7 million, respectively, of revenue upon satisfaction of performance obligations related to amounts that were included in the net contract liabilities balan</w:t>
      </w:r>
      <w:r>
        <w:rPr>
          <w:rFonts w:ascii="Times New Roman;serif" w:hAnsi="Times New Roman;serif"/>
          <w:b w:val="false"/>
          <w:color w:val="000000"/>
          <w:sz w:val="20"/>
        </w:rPr>
        <w:t xml:space="preserve">ce as of December 31, 2024 and 2023, respectively.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June 30, 2025 and 2024, the Company recognized $2.1 million and $0.3 million, respectively, of revenue upon satisfaction of performance obligations related to amounts that were included in the net contract liabilities balan</w:t>
      </w:r>
      <w:r>
        <w:rPr>
          <w:rFonts w:ascii="Times New Roman;serif" w:hAnsi="Times New Roman;serif"/>
          <w:b w:val="false"/>
          <w:color w:val="000000"/>
          <w:sz w:val="20"/>
        </w:rPr>
        <w:t xml:space="preserve">ce as of March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120"/>
        <w:jc w:val="both"/>
        <w:rPr/>
      </w:pPr>
      <w:r>
        <w:rPr>
          <w:rFonts w:ascii="Times New Roman;serif" w:hAnsi="Times New Roman;serif"/>
          <w:b w:val="false"/>
          <w:color w:val="000000"/>
          <w:sz w:val="20"/>
        </w:rPr>
        <w:t xml:space="preserve">The Company has elected the practical expedient to not disclose remaining performance obligations that have expected original durations of one year or less. For performance obligations that extend beyond one year, the Company had </w:t>
      </w:r>
      <w:r>
        <w:rPr>
          <w:rFonts w:ascii="Times New Roman;serif" w:hAnsi="Times New Roman;serif"/>
          <w:b w:val="false"/>
          <w:color w:val="000000"/>
          <w:sz w:val="20"/>
          <w:shd w:fill="FFFFFF" w:val="clear"/>
        </w:rPr>
        <w:t>$3.0 million</w:t>
      </w:r>
      <w:r>
        <w:rPr>
          <w:color w:val="000000"/>
        </w:rPr>
        <w:t xml:space="preserve"> </w:t>
      </w:r>
      <w:r>
        <w:rPr>
          <w:rFonts w:ascii="Times New Roman;serif" w:hAnsi="Times New Roman;serif"/>
          <w:b w:val="false"/>
          <w:color w:val="000000"/>
          <w:sz w:val="20"/>
        </w:rPr>
        <w:t>of remaining performance obligations as of June 30, 2025, primarily related to extended warranties. The Company expects to recognize revenue related to these remaining performance obligations of approximately $1.1 million in the remainder of 2025, $0.2 million in 2026, $1.5 million in 2027, $0.2 million in 2028, and none in 2029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3.    Weichai Transactions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Shareholder’s Loan Agreements</w:t>
      </w:r>
    </w:p>
    <w:p>
      <w:pPr>
        <w:pStyle w:val="TextBody"/>
        <w:bidi w:val="0"/>
        <w:spacing w:lineRule="auto" w:line="268" w:before="0" w:after="0"/>
        <w:jc w:val="both"/>
        <w:rPr/>
      </w:pPr>
      <w:r>
        <w:rPr>
          <w:rFonts w:ascii="Times New Roman;serif" w:hAnsi="Times New Roman;serif"/>
          <w:b w:val="false"/>
          <w:color w:val="000000"/>
          <w:sz w:val="20"/>
        </w:rPr>
        <w:t>The Company entered into a $105.0 million</w:t>
      </w:r>
      <w:r>
        <w:rPr>
          <w:color w:val="000000"/>
          <w:shd w:fill="FFFFFF" w:val="clear"/>
        </w:rPr>
        <w:t xml:space="preserve"> </w:t>
      </w:r>
      <w:r>
        <w:rPr>
          <w:rFonts w:ascii="Times New Roman;serif" w:hAnsi="Times New Roman;serif"/>
          <w:b w:val="false"/>
          <w:color w:val="000000"/>
          <w:sz w:val="20"/>
        </w:rPr>
        <w:t xml:space="preserve">SLA with Weichai in August 2024. The SLA has been fully repaid during the second quarter of 2025. See additional discussion of these debt agreements in Note 6. </w:t>
      </w:r>
      <w:r>
        <w:rPr>
          <w:rFonts w:ascii="Times New Roman;serif" w:hAnsi="Times New Roman;serif"/>
          <w:b w:val="false"/>
          <w:i/>
          <w:color w:val="000000"/>
          <w:sz w:val="20"/>
        </w:rPr>
        <w:t xml:space="preserve">Debt. </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Collaboration Arrangement and Related Party Transactions</w:t>
      </w:r>
    </w:p>
    <w:p>
      <w:pPr>
        <w:pStyle w:val="TextBody"/>
        <w:bidi w:val="0"/>
        <w:spacing w:lineRule="auto" w:line="288" w:before="120" w:after="120"/>
        <w:jc w:val="both"/>
        <w:rPr/>
      </w:pPr>
      <w:r>
        <w:rPr>
          <w:rFonts w:ascii="Times New Roman;serif" w:hAnsi="Times New Roman;serif"/>
          <w:b w:val="false"/>
          <w:color w:val="000000"/>
          <w:sz w:val="20"/>
        </w:rPr>
        <w:t xml:space="preserve">The Company and Weichai executed a strategic collaboration agreement (the “Collaboration Agreement”) in March 2017 in order to achieve their respective strategic objectives and enhance the strategic cooperation alliance to share experiences, expertise and resources. Among other things, the Collaboration Agreement established a joint steering committee, permitted Weichai to </w:t>
      </w:r>
      <w:r>
        <w:rPr>
          <w:rFonts w:ascii="Times New Roman;serif" w:hAnsi="Times New Roman;serif"/>
          <w:b w:val="false"/>
          <w:color w:val="000000"/>
          <w:sz w:val="20"/>
          <w:shd w:fill="FFFFFF" w:val="clear"/>
        </w:rPr>
        <w:t>select a limited number of certain technical, marketing, sales, procurement and finance personnel to work</w:t>
      </w:r>
      <w:r>
        <w:rPr>
          <w:color w:val="000000"/>
        </w:rPr>
        <w:t xml:space="preserve"> </w:t>
      </w:r>
      <w:r>
        <w:rPr>
          <w:rFonts w:ascii="Times New Roman;serif" w:hAnsi="Times New Roman;serif"/>
          <w:b w:val="false"/>
          <w:color w:val="000000"/>
          <w:sz w:val="20"/>
        </w:rPr>
        <w:t xml:space="preserve">at the Company and established several collaborations related to stationary natural-gas applications and Weichai diesel engines. The Collaboration Agreement provided for the steering committee to create various sub-committees with operating roles and otherwise governs the treatment of intellectual property of parties prior to the collaboration and the intellectual property developed during the collaboration. </w:t>
      </w:r>
      <w:r>
        <w:rPr>
          <w:rFonts w:ascii="Times New Roman;serif" w:hAnsi="Times New Roman;serif"/>
          <w:b w:val="false"/>
          <w:color w:val="000000"/>
          <w:sz w:val="20"/>
          <w:shd w:fill="FFFFFF" w:val="clear"/>
        </w:rPr>
        <w:t>On March 22, 2023, the Collaboration Agreement was extended for an additional term of three years.</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evaluates whether an arrangement is a collaborative arrangement at its inception ba</w:t>
      </w:r>
      <w:r>
        <w:rPr>
          <w:rFonts w:ascii="Times New Roman;serif" w:hAnsi="Times New Roman;serif"/>
          <w:b w:val="false"/>
          <w:color w:val="000000"/>
          <w:sz w:val="20"/>
        </w:rPr>
        <w:t>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w:t>
      </w:r>
      <w:r>
        <w:rPr>
          <w:rFonts w:ascii="Times New Roman;serif" w:hAnsi="Times New Roman;serif"/>
          <w:b w:val="false"/>
          <w:color w:val="000000"/>
          <w:sz w:val="20"/>
          <w:shd w:fill="FFFFFF" w:val="clear"/>
        </w:rPr>
        <w:t xml:space="preserve">s. Purchases of inventory from Weichai were $21.0 million and $32.5 million for the three and six months ended </w:t>
      </w:r>
      <w:r>
        <w:rPr>
          <w:rFonts w:ascii="Times New Roman;serif" w:hAnsi="Times New Roman;serif"/>
          <w:b w:val="false"/>
          <w:color w:val="000000"/>
          <w:sz w:val="20"/>
        </w:rPr>
        <w:t>June 30, 2025, respectively</w:t>
      </w:r>
      <w:r>
        <w:rPr>
          <w:rFonts w:ascii="Times New Roman;serif" w:hAnsi="Times New Roman;serif"/>
          <w:b w:val="false"/>
          <w:color w:val="000000"/>
          <w:sz w:val="20"/>
          <w:shd w:fill="FFFFFF" w:val="clear"/>
        </w:rPr>
        <w:t xml:space="preserve">. Purchases of inventory from Weichai were $3.4 million and $6.7 million for the three and six months ended </w:t>
      </w:r>
      <w:r>
        <w:rPr>
          <w:rFonts w:ascii="Times New Roman;serif" w:hAnsi="Times New Roman;serif"/>
          <w:b w:val="false"/>
          <w:color w:val="000000"/>
          <w:sz w:val="20"/>
        </w:rPr>
        <w:t>June 30, 2024,</w:t>
      </w:r>
      <w:r>
        <w:rPr>
          <w:color w:val="000000"/>
          <w:shd w:fill="FFFFFF" w:val="clear"/>
        </w:rPr>
        <w:t xml:space="preserve"> </w:t>
      </w:r>
      <w:r>
        <w:rPr>
          <w:rFonts w:ascii="Times New Roman;serif" w:hAnsi="Times New Roman;serif"/>
          <w:b w:val="false"/>
          <w:color w:val="000000"/>
          <w:sz w:val="20"/>
          <w:shd w:fill="FFFFFF" w:val="clear"/>
        </w:rPr>
        <w:t>respectively.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January 2022, PSI </w:t>
      </w:r>
      <w:r>
        <w:rPr>
          <w:rFonts w:ascii="Times New Roman;serif" w:hAnsi="Times New Roman;serif"/>
          <w:b w:val="false"/>
          <w:color w:val="000000"/>
          <w:sz w:val="20"/>
        </w:rPr>
        <w:t xml:space="preserve">and Societe Internationale des Moteurs Baudouin (“Baudouin”), a subsidiary of Weichai, </w:t>
      </w:r>
      <w:r>
        <w:rPr>
          <w:rFonts w:ascii="Times New Roman;serif" w:hAnsi="Times New Roman;serif"/>
          <w:b w:val="false"/>
          <w:color w:val="000000"/>
          <w:sz w:val="20"/>
          <w:shd w:fill="FFFFFF" w:val="clear"/>
        </w:rPr>
        <w:t>entered</w:t>
      </w:r>
      <w:r>
        <w:rPr>
          <w:color w:val="000000"/>
        </w:rPr>
        <w:t xml:space="preserve"> </w:t>
      </w:r>
      <w:r>
        <w:rPr>
          <w:rFonts w:ascii="Times New Roman;serif" w:hAnsi="Times New Roman;serif"/>
          <w:b w:val="false"/>
          <w:color w:val="000000"/>
          <w:sz w:val="20"/>
        </w:rPr>
        <w:t>into an international distribution and sales agreement that enables Baudouin to bring PSI’s power systems line of products into the European, Middle Eastern, and African markets. In addition to sales, Baudouin will manage service, support, warranty claims, and technical requests. Refer to the Consolidated Balance Sheets and Statements of Income for detailed related party information.</w:t>
      </w:r>
    </w:p>
    <w:p>
      <w:pPr>
        <w:pStyle w:val="TextBody"/>
        <w:bidi w:val="0"/>
        <w:spacing w:lineRule="auto" w:line="288" w:before="120" w:after="120"/>
        <w:jc w:val="both"/>
        <w:rPr/>
      </w:pPr>
      <w:r>
        <w:rPr>
          <w:rFonts w:ascii="Times New Roman;serif" w:hAnsi="Times New Roman;serif"/>
          <w:b w:val="false"/>
          <w:color w:val="000000"/>
          <w:sz w:val="20"/>
        </w:rPr>
        <w:t>See Note 14.</w:t>
      </w:r>
      <w:r>
        <w:rPr>
          <w:color w:val="000000"/>
        </w:rPr>
        <w:t xml:space="preserve"> </w:t>
      </w:r>
      <w:r>
        <w:rPr>
          <w:rFonts w:ascii="Times New Roman;serif" w:hAnsi="Times New Roman;serif"/>
          <w:b w:val="false"/>
          <w:i/>
          <w:color w:val="000000"/>
          <w:sz w:val="20"/>
        </w:rPr>
        <w:t xml:space="preserve">Related Party Transactions </w:t>
      </w:r>
      <w:r>
        <w:rPr>
          <w:rFonts w:ascii="Times New Roman;serif" w:hAnsi="Times New Roman;serif"/>
          <w:b w:val="false"/>
          <w:color w:val="000000"/>
          <w:sz w:val="20"/>
        </w:rPr>
        <w:t>for information regarding the purchase agreement with Shandong Weichai Import &amp; Export Corporation, an affiliate of Weichai (“SWIEC”), and a manufacture of record (“MOR”) agreement with Weichai.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Property, Plant and Equipment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by type were as follows:</w:t>
      </w:r>
    </w:p>
    <w:tbl>
      <w:tblPr>
        <w:tblW w:w="7836"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330"/>
        <w:gridCol w:w="1090"/>
        <w:gridCol w:w="184"/>
        <w:gridCol w:w="109"/>
        <w:gridCol w:w="109"/>
        <w:gridCol w:w="109"/>
        <w:gridCol w:w="401"/>
        <w:gridCol w:w="1323"/>
        <w:gridCol w:w="315"/>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8,352 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(45,458)</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(44,043)</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15,406 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400" w:after="120"/>
        <w:jc w:val="both"/>
        <w:rPr>
          <w:rFonts w:ascii="Times New Roman;serif" w:hAnsi="Times New Roman;serif"/>
          <w:b/>
          <w:color w:val="000000"/>
          <w:sz w:val="20"/>
        </w:rPr>
      </w:pPr>
      <w:r>
        <w:rPr>
          <w:rFonts w:ascii="Times New Roman;serif" w:hAnsi="Times New Roman;serif"/>
          <w:b/>
          <w:color w:val="000000"/>
          <w:sz w:val="20"/>
        </w:rPr>
        <w:t>Note 5.    Goodwill and Other Intangibles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 of goodwill at both June 30, 2025 and December 31, 2024 was $29.8 million. Accumulated impairment losses at both June 30, 2025 and December 31, 2024 were $11.6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Components of intangible assets are as follows:</w:t>
      </w:r>
    </w:p>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(33,174)</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(35,499)</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(34,886)</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6.    Debt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outstanding debt consisted of the following:</w:t>
      </w:r>
    </w:p>
    <w:tbl>
      <w:tblPr>
        <w:tblW w:w="10205" w:type="dxa"/>
        <w:jc w:val="left"/>
        <w:tblInd w:w="0" w:type="dxa"/>
        <w:tblLayout w:type="fixed"/>
        <w:tblCellMar>
          <w:top w:w="28" w:type="dxa"/>
          <w:left w:w="28" w:type="dxa"/>
          <w:bottom w:w="28" w:type="dxa"/>
          <w:right w:w="28" w:type="dxa"/>
        </w:tblCellMar>
      </w:tblPr>
      <w:tblGrid>
        <w:gridCol w:w="1545"/>
        <w:gridCol w:w="1350"/>
        <w:gridCol w:w="1354"/>
        <w:gridCol w:w="109"/>
        <w:gridCol w:w="109"/>
        <w:gridCol w:w="109"/>
        <w:gridCol w:w="243"/>
        <w:gridCol w:w="803"/>
        <w:gridCol w:w="134"/>
        <w:gridCol w:w="215"/>
        <w:gridCol w:w="215"/>
        <w:gridCol w:w="217"/>
        <w:gridCol w:w="109"/>
        <w:gridCol w:w="109"/>
        <w:gridCol w:w="109"/>
        <w:gridCol w:w="280"/>
        <w:gridCol w:w="1056"/>
        <w:gridCol w:w="156"/>
        <w:gridCol w:w="217"/>
        <w:gridCol w:w="217"/>
        <w:gridCol w:w="216"/>
        <w:gridCol w:w="386"/>
        <w:gridCol w:w="386"/>
        <w:gridCol w:w="561"/>
      </w:tblGrid>
      <w:tr>
        <w:trPr/>
        <w:tc>
          <w:tcPr>
            <w:tcW w:w="15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Revolving Credit Agreement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6.52%</w:t>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30, 2025</w:t>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Shareholder’s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8.49%</w:t>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August 31, 2025</w:t>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 xml:space="preserve">Unamortized financing costs and deferred fees on the new Revolving Credit Agreement are not presented in the above table as they are classified in </w:t>
            </w:r>
            <w:r>
              <w:rPr>
                <w:rFonts w:ascii="Times New Roman;serif" w:hAnsi="Times New Roman;serif"/>
                <w:b w:val="false"/>
                <w:i/>
                <w:color w:val="000000"/>
                <w:sz w:val="16"/>
              </w:rPr>
              <w:t>Prepaid expenses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other current assets</w:t>
            </w:r>
            <w:r>
              <w:rPr>
                <w:color w:val="000000"/>
              </w:rPr>
              <w:t xml:space="preserve"> </w:t>
            </w:r>
            <w:r>
              <w:rPr>
                <w:rFonts w:ascii="Times New Roman;serif" w:hAnsi="Times New Roman;serif"/>
                <w:b w:val="false"/>
                <w:color w:val="000000"/>
                <w:sz w:val="16"/>
              </w:rPr>
              <w:t xml:space="preserve">on the Consolidated Balance Sheets. Unamortized debt issuance costs, were </w:t>
            </w:r>
            <w:r>
              <w:rPr>
                <w:rFonts w:ascii="Times New Roman;serif" w:hAnsi="Times New Roman;serif"/>
                <w:b w:val="false"/>
                <w:color w:val="000000"/>
                <w:sz w:val="16"/>
                <w:shd w:fill="FFFFFF" w:val="clear"/>
              </w:rPr>
              <w:t>$0.1 million</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color w:val="000000"/>
                <w:sz w:val="16"/>
                <w:shd w:fill="FFFFFF" w:val="clear"/>
              </w:rPr>
              <w:t>$0.4 million</w:t>
            </w:r>
            <w:r>
              <w:rPr>
                <w:color w:val="000000"/>
              </w:rPr>
              <w:t xml:space="preserve"> </w:t>
            </w:r>
            <w:r>
              <w:rPr>
                <w:rFonts w:ascii="Times New Roman;serif" w:hAnsi="Times New Roman;serif"/>
                <w:b w:val="false"/>
                <w:color w:val="000000"/>
                <w:sz w:val="16"/>
              </w:rPr>
              <w:t>as of June 30, 2025 and December 31, 2024,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Includes the weighted average interest rate.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Finance lease obligations are a non-cash financing activity. See Note 8. Leases. </w:t>
            </w:r>
          </w:p>
        </w:tc>
      </w:tr>
    </w:tbl>
    <w:p>
      <w:pPr>
        <w:pStyle w:val="TextBody"/>
        <w:bidi w:val="0"/>
        <w:spacing w:lineRule="auto" w:line="288" w:before="180" w:after="120"/>
        <w:ind w:left="0" w:right="0" w:hanging="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Revolving Credit Agreement and Shareholder’s Loan Agreement</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On August 30, 2024, the Company closed on its new Uncommitted Revolving Credit Agreement </w:t>
      </w:r>
      <w:r>
        <w:rPr>
          <w:rFonts w:ascii="Times New Roman;serif" w:hAnsi="Times New Roman;serif"/>
          <w:b w:val="false"/>
          <w:color w:val="000000"/>
          <w:sz w:val="20"/>
        </w:rPr>
        <w:t>(the “Revolving Credit Agreement”),</w:t>
      </w:r>
      <w:r>
        <w:rPr>
          <w:color w:val="000000"/>
          <w:shd w:fill="FFFFFF" w:val="clear"/>
        </w:rPr>
        <w:t xml:space="preserve"> </w:t>
      </w:r>
      <w:r>
        <w:rPr>
          <w:rFonts w:ascii="Times New Roman;serif" w:hAnsi="Times New Roman;serif"/>
          <w:b w:val="false"/>
          <w:color w:val="000000"/>
          <w:sz w:val="20"/>
          <w:shd w:fill="FFFFFF" w:val="clear"/>
        </w:rPr>
        <w:t>with Standard Chartered Bank (“</w:t>
      </w:r>
      <w:r>
        <w:rPr>
          <w:rFonts w:ascii="Times New Roman;serif" w:hAnsi="Times New Roman;serif"/>
          <w:b w:val="false"/>
          <w:color w:val="000000"/>
          <w:sz w:val="20"/>
        </w:rPr>
        <w:t>Standard Chartered</w:t>
      </w:r>
      <w:r>
        <w:rPr>
          <w:color w:val="000000"/>
          <w:shd w:fill="FFFFFF" w:val="clear"/>
        </w:rPr>
        <w:t>”</w:t>
      </w:r>
      <w:r>
        <w:rPr>
          <w:rFonts w:ascii="Times New Roman;serif" w:hAnsi="Times New Roman;serif"/>
          <w:b w:val="false"/>
          <w:color w:val="000000"/>
          <w:sz w:val="20"/>
          <w:shd w:fill="FFFFFF" w:val="clear"/>
        </w:rPr>
        <w:t xml:space="preserve">) and two other lenders.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 xml:space="preserve">allows the Company to borrow up to </w:t>
      </w:r>
      <w:r>
        <w:rPr>
          <w:rFonts w:ascii="Times New Roman;serif" w:hAnsi="Times New Roman;serif"/>
          <w:b w:val="false"/>
          <w:color w:val="000000"/>
          <w:sz w:val="20"/>
        </w:rPr>
        <w:t>$120.0 million</w:t>
      </w:r>
      <w:r>
        <w:rPr>
          <w:color w:val="000000"/>
          <w:shd w:fill="FFFFFF" w:val="clear"/>
        </w:rPr>
        <w:t xml:space="preserve"> </w:t>
      </w:r>
      <w:r>
        <w:rPr>
          <w:rFonts w:ascii="Times New Roman;serif" w:hAnsi="Times New Roman;serif"/>
          <w:b w:val="false"/>
          <w:color w:val="000000"/>
          <w:sz w:val="20"/>
          <w:shd w:fill="FFFFFF" w:val="clear"/>
        </w:rPr>
        <w:t xml:space="preserve">and has a maturity date of </w:t>
      </w:r>
      <w:r>
        <w:rPr>
          <w:rFonts w:ascii="Times New Roman;serif" w:hAnsi="Times New Roman;serif"/>
          <w:b w:val="false"/>
          <w:color w:val="000000"/>
          <w:sz w:val="20"/>
        </w:rPr>
        <w:t>August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is subject to customary events of default and covenants, including minimum consolidated EBITDA and Consolidated Interest Coverage Ratio covenants for the third and fourth quarters of 2024 and the first and second quarters of 2025. Borrowings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will incur interest at the applicable </w:t>
      </w:r>
      <w:r>
        <w:rPr>
          <w:rFonts w:ascii="Times New Roman;serif" w:hAnsi="Times New Roman;serif"/>
          <w:b w:val="false"/>
          <w:color w:val="000000"/>
          <w:sz w:val="20"/>
        </w:rPr>
        <w:t>Secured Overnight Financing Rate (“SOFR”)</w:t>
      </w:r>
      <w:r>
        <w:rPr>
          <w:color w:val="000000"/>
          <w:shd w:fill="FFFFFF" w:val="clear"/>
        </w:rPr>
        <w:t xml:space="preserve"> </w:t>
      </w:r>
      <w:r>
        <w:rPr>
          <w:rFonts w:ascii="Times New Roman;serif" w:hAnsi="Times New Roman;serif"/>
          <w:b w:val="false"/>
          <w:color w:val="000000"/>
          <w:sz w:val="20"/>
          <w:shd w:fill="FFFFFF" w:val="clear"/>
        </w:rPr>
        <w:t xml:space="preserve">plus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 xml:space="preserve">per annum.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are unconditionally guaranteed, on a joint and several basis, by certain wholly-owned, existing and subsequently acquired or formed direct and indirect subsidiaries of the Company, subject to customary exceptions.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are secured by substantially all assets of the Company and the Company’s wholly-owned subsidiaries. In addition, the Company paid fees of $0.6 million related to the Revolving Credit Agreement which are deferred and amortized over the term of the Revolving Credit Agreement.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part of the closing of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the Company made an initial draw in the amount of </w:t>
      </w:r>
      <w:r>
        <w:rPr>
          <w:rFonts w:ascii="Times New Roman;serif" w:hAnsi="Times New Roman;serif"/>
          <w:b w:val="false"/>
          <w:color w:val="000000"/>
          <w:sz w:val="20"/>
        </w:rPr>
        <w:t>$100.0 million</w:t>
      </w:r>
      <w:r>
        <w:rPr>
          <w:rFonts w:ascii="Times New Roman;serif" w:hAnsi="Times New Roman;serif"/>
          <w:b w:val="false"/>
          <w:color w:val="000000"/>
          <w:sz w:val="20"/>
          <w:shd w:fill="FFFFFF" w:val="clear"/>
        </w:rPr>
        <w:t xml:space="preserve">. The Company utilized the amount drawn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 to repay the outstanding balance of approximately $40.0 million under the Company’s Fourth Amended and Restated Uncommitted Revolving Credit Agreement, dated March 22, 2024, by and among the Company and Standard Chartered; and (ii) to prepay approximately $60.0 million under previous shareholder loan agreements between PSI and Weichai. As of June 30, 2025, the Company had $95.0 million outstanding under the Revolving Credit Agreement. See </w:t>
      </w:r>
      <w:r>
        <w:rPr>
          <w:rFonts w:ascii="Times New Roman;serif" w:hAnsi="Times New Roman;serif"/>
          <w:b w:val="false"/>
          <w:color w:val="000000"/>
          <w:sz w:val="20"/>
        </w:rPr>
        <w:t>Note 16.</w:t>
      </w:r>
      <w:r>
        <w:rPr>
          <w:color w:val="000000"/>
        </w:rPr>
        <w:t xml:space="preserve">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 xml:space="preserve">for </w:t>
      </w:r>
      <w:r>
        <w:rPr>
          <w:rFonts w:ascii="Times New Roman;serif" w:hAnsi="Times New Roman;serif"/>
          <w:b w:val="false"/>
          <w:color w:val="000000"/>
          <w:sz w:val="20"/>
          <w:shd w:fill="FFFFFF" w:val="clear"/>
        </w:rPr>
        <w:t>further discussion.</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connection with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on August 30, 2024, the Company also entered into a new </w:t>
      </w:r>
      <w:r>
        <w:rPr>
          <w:rFonts w:ascii="Times New Roman;serif" w:hAnsi="Times New Roman;serif"/>
          <w:b w:val="false"/>
          <w:color w:val="000000"/>
          <w:sz w:val="20"/>
        </w:rPr>
        <w:t>Shareholder’s Loan Agreement (the “SLA”)</w:t>
      </w:r>
      <w:r>
        <w:rPr>
          <w:color w:val="000000"/>
          <w:shd w:fill="FFFFFF" w:val="clear"/>
        </w:rPr>
        <w:t xml:space="preserve"> </w:t>
      </w:r>
      <w:r>
        <w:rPr>
          <w:rFonts w:ascii="Times New Roman;serif" w:hAnsi="Times New Roman;serif"/>
          <w:b w:val="false"/>
          <w:color w:val="000000"/>
          <w:sz w:val="20"/>
          <w:shd w:fill="FFFFFF" w:val="clear"/>
        </w:rPr>
        <w:t xml:space="preserve">with Weichai, which allows the Company to borrow up to </w:t>
      </w:r>
      <w:r>
        <w:rPr>
          <w:rFonts w:ascii="Times New Roman;serif" w:hAnsi="Times New Roman;serif"/>
          <w:b w:val="false"/>
          <w:color w:val="000000"/>
          <w:sz w:val="20"/>
        </w:rPr>
        <w:t>$105.0 million</w:t>
      </w:r>
      <w:r>
        <w:rPr>
          <w:color w:val="000000"/>
          <w:shd w:fill="FFFFFF" w:val="clear"/>
        </w:rPr>
        <w:t xml:space="preserve"> </w:t>
      </w:r>
      <w:r>
        <w:rPr>
          <w:rFonts w:ascii="Times New Roman;serif" w:hAnsi="Times New Roman;serif"/>
          <w:b w:val="false"/>
          <w:color w:val="000000"/>
          <w:sz w:val="20"/>
          <w:shd w:fill="FFFFFF" w:val="clear"/>
        </w:rPr>
        <w:t xml:space="preserve">and expires </w:t>
      </w:r>
      <w:r>
        <w:rPr>
          <w:rFonts w:ascii="Times New Roman;serif" w:hAnsi="Times New Roman;serif"/>
          <w:b w:val="false"/>
          <w:color w:val="000000"/>
          <w:sz w:val="20"/>
        </w:rPr>
        <w:t>August 31, 2025</w:t>
      </w:r>
      <w:r>
        <w:rPr>
          <w:rFonts w:ascii="Times New Roman;serif" w:hAnsi="Times New Roman;serif"/>
          <w:b w:val="false"/>
          <w:color w:val="000000"/>
          <w:sz w:val="20"/>
          <w:shd w:fill="FFFFFF" w:val="clear"/>
        </w:rPr>
        <w:t xml:space="preserve">. Borrowings under the </w:t>
      </w:r>
      <w:r>
        <w:rPr>
          <w:rFonts w:ascii="Times New Roman;serif" w:hAnsi="Times New Roman;serif"/>
          <w:b w:val="false"/>
          <w:color w:val="000000"/>
          <w:sz w:val="20"/>
        </w:rPr>
        <w:t xml:space="preserve">SLA </w:t>
      </w:r>
      <w:r>
        <w:rPr>
          <w:rFonts w:ascii="Times New Roman;serif" w:hAnsi="Times New Roman;serif"/>
          <w:b w:val="false"/>
          <w:color w:val="000000"/>
          <w:sz w:val="20"/>
          <w:shd w:fill="FFFFFF" w:val="clear"/>
        </w:rPr>
        <w:t xml:space="preserve">will incur interest at the applicable SOFR, plus </w:t>
      </w:r>
      <w:r>
        <w:rPr>
          <w:rFonts w:ascii="Times New Roman;serif" w:hAnsi="Times New Roman;serif"/>
          <w:b w:val="false"/>
          <w:color w:val="000000"/>
          <w:sz w:val="20"/>
        </w:rPr>
        <w:t>4.05% per annum. If the interest rate for any loan is lower than Weichai’s borrowing cost, the interest rate for such loan shall be equal to Weichai’s borrowing cost plus 1.0%</w:t>
      </w:r>
      <w:r>
        <w:rPr>
          <w:rFonts w:ascii="Times New Roman;serif" w:hAnsi="Times New Roman;serif"/>
          <w:b w:val="false"/>
          <w:color w:val="000000"/>
          <w:sz w:val="20"/>
          <w:shd w:fill="FFFFFF" w:val="clear"/>
        </w:rPr>
        <w:t xml:space="preserve">. The borrowing requests made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are subject to Weichai’s discretionary approval. The payment of the borrowings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is subordinated in all respects to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with the exception that the Company is allowed to make a single payment of $10.0 million to Weichai. The $60.0 million portion of the initial advance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may repay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outstanding balance under the SLA in principal and interest provided there are no new borrowings under the SLA. In June 2025, the Company made payments totaling $10.2 million to fully repay the outstanding balance under the SLA.</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 Company’s total outstanding debt obligations under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SLA</w:t>
      </w:r>
      <w:r>
        <w:rPr>
          <w:rFonts w:ascii="Times New Roman;serif" w:hAnsi="Times New Roman;serif"/>
          <w:b w:val="false"/>
          <w:color w:val="000000"/>
          <w:sz w:val="20"/>
          <w:shd w:fill="FFFFFF" w:val="clear"/>
        </w:rPr>
        <w:t xml:space="preserve">, and for finance leases and other debt were $96.8 million in the aggregate. The Company's total accrued interest for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was $0.4 million and $1.2 million</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 and December 31, 2024, respectively</w:t>
      </w:r>
      <w:r>
        <w:rPr>
          <w:rFonts w:ascii="Times New Roman;serif" w:hAnsi="Times New Roman;serif"/>
          <w:b w:val="false"/>
          <w:color w:val="000000"/>
          <w:sz w:val="20"/>
          <w:shd w:fill="FFFFFF" w:val="clear"/>
        </w:rPr>
        <w:t>. Accrued interest is included within Other Accrued Liabilities on the Consolidated Balance Sheets.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7. Other Non-current Liabilities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June 14, 2024, the Company executed a non-interest bearing note payable of $4.5 million upon settlement of a legal matter. The note payable is due May 2028 and is discounted based on an imputed interest rate of </w:t>
      </w:r>
      <w:r>
        <w:rPr>
          <w:rFonts w:ascii="Times New Roman;serif" w:hAnsi="Times New Roman;serif"/>
          <w:b w:val="false"/>
          <w:color w:val="000000"/>
          <w:sz w:val="20"/>
        </w:rPr>
        <w:t>6.66%</w:t>
      </w:r>
      <w:r>
        <w:rPr>
          <w:rFonts w:ascii="Times New Roman;serif" w:hAnsi="Times New Roman;serif"/>
          <w:b w:val="false"/>
          <w:color w:val="000000"/>
          <w:sz w:val="20"/>
          <w:shd w:fill="FFFFFF" w:val="clear"/>
        </w:rPr>
        <w:t xml:space="preserve">. The note payable includes an option for the Company to extend maturity of the note to September 2029 upon written notice before the thirty-seventh payment and, if such option is exercised, the maximum payment amount of the note increases to $4.8 million.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current portion of the note of $0.7 million is included in other accrued liabilities in the Company’s Consolidated Balance Sheets.</w:t>
      </w:r>
    </w:p>
    <w:tbl>
      <w:tblPr>
        <w:tblW w:w="6549"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396"/>
        <w:gridCol w:w="1124"/>
        <w:gridCol w:w="220"/>
        <w:gridCol w:w="109"/>
        <w:gridCol w:w="109"/>
        <w:gridCol w:w="109"/>
        <w:gridCol w:w="482"/>
        <w:gridCol w:w="1371"/>
        <w:gridCol w:w="382"/>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remaining maturities for the note payable as of June 30, 2025:</w:t>
      </w:r>
    </w:p>
    <w:p>
      <w:pPr>
        <w:pStyle w:val="TextBody"/>
        <w:bidi w:val="0"/>
        <w:spacing w:before="120" w:after="120"/>
        <w:jc w:val="left"/>
        <w:rPr/>
      </w:pPr>
      <w:r>
        <w:rPr/>
      </w:r>
    </w:p>
    <w:tbl>
      <w:tblPr>
        <w:tblW w:w="6144"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225"/>
        <w:gridCol w:w="639"/>
        <w:gridCol w:w="127"/>
        <w:gridCol w:w="109"/>
        <w:gridCol w:w="109"/>
        <w:gridCol w:w="109"/>
        <w:gridCol w:w="526"/>
        <w:gridCol w:w="1129"/>
        <w:gridCol w:w="41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Amortization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recorded $0.3 million and $0.1 million discount amortization as interest expense as of June 30, 2025 and </w:t>
      </w:r>
      <w:r>
        <w:rPr>
          <w:rFonts w:ascii="Times New Roman;serif" w:hAnsi="Times New Roman;serif"/>
          <w:b w:val="false"/>
          <w:color w:val="000000"/>
          <w:sz w:val="20"/>
        </w:rPr>
        <w:t>2024, respectively</w:t>
      </w:r>
      <w:r>
        <w:rPr>
          <w:rFonts w:ascii="Times New Roman;serif" w:hAnsi="Times New Roman;serif"/>
          <w:b w:val="false"/>
          <w:color w:val="000000"/>
          <w:sz w:val="20"/>
          <w:shd w:fill="FFFFFF" w:val="clear"/>
        </w:rPr>
        <w: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Note 8.</w:t>
      </w:r>
      <w:r>
        <w:rPr>
          <w:color w:val="000000"/>
        </w:rPr>
        <w:t>    </w:t>
      </w:r>
      <w:r>
        <w:rPr>
          <w:rFonts w:ascii="Times New Roman;serif" w:hAnsi="Times New Roman;serif"/>
          <w:b/>
          <w:color w:val="000000"/>
          <w:sz w:val="20"/>
          <w:shd w:fill="FFFFFF" w:val="clear"/>
        </w:rPr>
        <w:t>Leases</w:t>
      </w:r>
      <w:r>
        <w:rPr>
          <w:color w:val="000000"/>
        </w:rPr>
        <w:t xml:space="preserve"> </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rPr>
        <w:t>The Company has obligations under lease arrangements primarily for facilities, equipment and vehicles. These leases have original lease periods expiring bet</w:t>
      </w:r>
      <w:r>
        <w:rPr>
          <w:rFonts w:ascii="Times New Roman;serif" w:hAnsi="Times New Roman;serif"/>
          <w:b w:val="false"/>
          <w:color w:val="000000"/>
          <w:sz w:val="20"/>
          <w:shd w:fill="FFFFFF" w:val="clear"/>
        </w:rPr>
        <w:t>ween September 2025 and March 2036. The following table summarizes the lease expense by category in the Consolidated Statements of Income:</w:t>
      </w:r>
    </w:p>
    <w:tbl>
      <w:tblPr>
        <w:tblW w:w="9810"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291"/>
        <w:gridCol w:w="826"/>
        <w:gridCol w:w="162"/>
        <w:gridCol w:w="162"/>
        <w:gridCol w:w="162"/>
        <w:gridCol w:w="162"/>
        <w:gridCol w:w="291"/>
        <w:gridCol w:w="826"/>
        <w:gridCol w:w="162"/>
        <w:gridCol w:w="109"/>
        <w:gridCol w:w="109"/>
        <w:gridCol w:w="109"/>
        <w:gridCol w:w="269"/>
        <w:gridCol w:w="764"/>
        <w:gridCol w:w="149"/>
        <w:gridCol w:w="149"/>
        <w:gridCol w:w="149"/>
        <w:gridCol w:w="149"/>
        <w:gridCol w:w="269"/>
        <w:gridCol w:w="764"/>
        <w:gridCol w:w="21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lease expense:</w:t>
      </w:r>
    </w:p>
    <w:tbl>
      <w:tblPr>
        <w:tblW w:w="9796" w:type="dxa"/>
        <w:jc w:val="left"/>
        <w:tblInd w:w="0" w:type="dxa"/>
        <w:tblLayout w:type="fixed"/>
        <w:tblCellMar>
          <w:top w:w="28" w:type="dxa"/>
          <w:left w:w="28" w:type="dxa"/>
          <w:bottom w:w="28" w:type="dxa"/>
          <w:right w:w="28" w:type="dxa"/>
        </w:tblCellMar>
      </w:tblPr>
      <w:tblGrid>
        <w:gridCol w:w="1167"/>
        <w:gridCol w:w="1027"/>
        <w:gridCol w:w="1031"/>
        <w:gridCol w:w="109"/>
        <w:gridCol w:w="109"/>
        <w:gridCol w:w="109"/>
        <w:gridCol w:w="291"/>
        <w:gridCol w:w="826"/>
        <w:gridCol w:w="162"/>
        <w:gridCol w:w="162"/>
        <w:gridCol w:w="162"/>
        <w:gridCol w:w="162"/>
        <w:gridCol w:w="291"/>
        <w:gridCol w:w="826"/>
        <w:gridCol w:w="162"/>
        <w:gridCol w:w="109"/>
        <w:gridCol w:w="109"/>
        <w:gridCol w:w="109"/>
        <w:gridCol w:w="269"/>
        <w:gridCol w:w="764"/>
        <w:gridCol w:w="149"/>
        <w:gridCol w:w="149"/>
        <w:gridCol w:w="149"/>
        <w:gridCol w:w="149"/>
        <w:gridCol w:w="269"/>
        <w:gridCol w:w="764"/>
        <w:gridCol w:w="21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cash flow information related to leases:</w:t>
      </w:r>
    </w:p>
    <w:tbl>
      <w:tblPr>
        <w:tblW w:w="8239"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269"/>
        <w:gridCol w:w="764"/>
        <w:gridCol w:w="149"/>
        <w:gridCol w:w="149"/>
        <w:gridCol w:w="149"/>
        <w:gridCol w:w="149"/>
        <w:gridCol w:w="269"/>
        <w:gridCol w:w="764"/>
        <w:gridCol w:w="211"/>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interest portion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paid for principal portion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2025 and December 31, 2024, the weighted-average remaining lease term was 7.9 years and 5.3 years for operating leases, respectively, and 4.5 years and 1.2 years for finance leases, respectively. As of June 30, 2025 and December 31, 2024, the weighted-average discount rate was 7.2% and 7.5% for operating leases, respectively, and 6.9% and 6.5%, respectively, for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balance sheet information related to leases:</w:t>
      </w:r>
    </w:p>
    <w:tbl>
      <w:tblPr>
        <w:tblW w:w="6248"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238"/>
        <w:gridCol w:w="785"/>
        <w:gridCol w:w="132"/>
        <w:gridCol w:w="109"/>
        <w:gridCol w:w="109"/>
        <w:gridCol w:w="109"/>
        <w:gridCol w:w="313"/>
        <w:gridCol w:w="1031"/>
        <w:gridCol w:w="245"/>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 xml:space="preserve">Operating lease ROU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18"/>
              </w:rPr>
              <w:t xml:space="preserve">Finance lease ROU assets, net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 xml:space="preserve">1.Included in </w:t>
      </w:r>
      <w:r>
        <w:rPr>
          <w:rFonts w:ascii="Times New Roman;serif" w:hAnsi="Times New Roman;serif"/>
          <w:b w:val="false"/>
          <w:i/>
          <w:color w:val="000000"/>
          <w:sz w:val="16"/>
        </w:rPr>
        <w:t>Property, plant and equipment, net</w:t>
      </w:r>
      <w:r>
        <w:rPr>
          <w:color w:val="000000"/>
        </w:rPr>
        <w:t xml:space="preserve"> </w:t>
      </w:r>
      <w:r>
        <w:rPr>
          <w:rFonts w:ascii="Times New Roman;serif" w:hAnsi="Times New Roman;serif"/>
          <w:b w:val="false"/>
          <w:color w:val="000000"/>
          <w:sz w:val="16"/>
        </w:rPr>
        <w:t>for finance leases on the Consolidated Balance Sheets.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maturity analysis of lease liabilities as of June 30, 2025:</w:t>
      </w:r>
    </w:p>
    <w:tbl>
      <w:tblPr>
        <w:tblW w:w="6291" w:type="dxa"/>
        <w:jc w:val="left"/>
        <w:tblInd w:w="0" w:type="dxa"/>
        <w:tblLayout w:type="fixed"/>
        <w:tblCellMar>
          <w:top w:w="28" w:type="dxa"/>
          <w:left w:w="28" w:type="dxa"/>
          <w:bottom w:w="28" w:type="dxa"/>
          <w:right w:w="28" w:type="dxa"/>
        </w:tblCellMar>
      </w:tblPr>
      <w:tblGrid>
        <w:gridCol w:w="1047"/>
        <w:gridCol w:w="922"/>
        <w:gridCol w:w="925"/>
        <w:gridCol w:w="109"/>
        <w:gridCol w:w="109"/>
        <w:gridCol w:w="109"/>
        <w:gridCol w:w="296"/>
        <w:gridCol w:w="978"/>
        <w:gridCol w:w="165"/>
        <w:gridCol w:w="109"/>
        <w:gridCol w:w="109"/>
        <w:gridCol w:w="109"/>
        <w:gridCol w:w="282"/>
        <w:gridCol w:w="801"/>
        <w:gridCol w:w="221"/>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9.    Fair Value of Financial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 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based on other significant observable inputs for the assets or liabilities through corroborations with market data at the measurement date;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 based on significant unobservable inputs that reflect management’s best estimate of what market participants would use to price the assets or liabilities at the measurement date.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Instruments Measured at Carrying Value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Current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(Level 1) are measured at carrying value, which approximates fair value because of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measured its material debt obligations and notes payable at original carrying value. The fair value of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and other short-term financing approximated carrying value, as it consisted primarily of short-term variable rate loans. The Company measured its non-interest bearing note payable using a rate which the Company could obtain financing of similar nature from other sources at the date of the transaction. The unamortized discount is reported in the Consolidated Balance Sheets as a deduction from the face amount of the note payable. The Company measured its material debt obligations and note payable using Level 2 inputs as follows:</w:t>
      </w:r>
    </w:p>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Financial Assets and Liabilities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the methods and assumptions used for the financial instruments discussed above, accounts receivable, net income tax receivable, accounts payable, and certain accrued expenses are measured at carrying value, which approximates fair value because of the short-term maturities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Commitments and Contingencies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Legal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what claims, if any, will survive dispositive motion practice;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of the claims, particularly when damages are not specified or are indeterminate;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how the discovery process will affect the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settlement posture of the other parties to the litigation;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other factors that may have a material effect on the litigation or investigation.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Jerome Treadwell v. the Company     </w:t>
      </w:r>
    </w:p>
    <w:p>
      <w:pPr>
        <w:pStyle w:val="TextBody"/>
        <w:bidi w:val="0"/>
        <w:spacing w:lineRule="auto" w:line="288" w:before="120" w:after="120"/>
        <w:jc w:val="both"/>
        <w:rPr/>
      </w:pPr>
      <w:r>
        <w:rPr>
          <w:rFonts w:ascii="Times New Roman;serif" w:hAnsi="Times New Roman;serif"/>
          <w:b w:val="false"/>
          <w:color w:val="000000"/>
          <w:sz w:val="20"/>
        </w:rPr>
        <w:t>In October 2018, a punitive class-action complaint was filed against the Company and NOVAtime Technology, Inc. (“NOVAtime” or “Plaintiff”) in the Circuit Court of Cook County, Illinois. In December 2018, NOVAtime removed the case to the U.S. District Court for the Northern District of Illinois, Eastern Division (the “Court”) under the Class Action Fairness Act. Plaintiff has since voluntarily dismissed NOVAtime</w:t>
      </w:r>
      <w:r>
        <w:rPr>
          <w:color w:val="000000"/>
          <w:shd w:fill="FFFFFF" w:val="clear"/>
        </w:rPr>
        <w:t xml:space="preserve"> </w:t>
      </w:r>
      <w:r>
        <w:rPr>
          <w:rFonts w:ascii="Times New Roman;serif" w:hAnsi="Times New Roman;serif"/>
          <w:b w:val="false"/>
          <w:color w:val="000000"/>
          <w:sz w:val="20"/>
          <w:shd w:fill="FFFFFF" w:val="clear"/>
        </w:rPr>
        <w:t xml:space="preserve">from the lawsuit without prejudice and filed an amended complaint in 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w:t>
      </w:r>
      <w:r>
        <w:rPr>
          <w:rFonts w:ascii="Times New Roman;serif" w:hAnsi="Times New Roman;serif"/>
          <w:b w:val="false"/>
          <w:color w:val="000000"/>
          <w:sz w:val="20"/>
        </w:rPr>
        <w:t xml:space="preserve">per violation if the Company is found to have intentionally or recklessly violated BIPA plus reasonable attorneys’ fees. In May 2019, the Company filed its motion to dismiss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 xml:space="preserve">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serif" w:hAnsi="Times New Roman;serif"/>
          <w:b w:val="false"/>
          <w:i/>
          <w:color w:val="000000"/>
          <w:sz w:val="20"/>
        </w:rPr>
        <w:t>McDonald v. Symphony Healthcare</w:t>
      </w:r>
      <w:r>
        <w:rPr>
          <w:color w:val="000000"/>
        </w:rPr>
        <w:t xml:space="preserve"> </w:t>
      </w:r>
      <w:r>
        <w:rPr>
          <w:rFonts w:ascii="Times New Roman;serif" w:hAnsi="Times New Roman;serif"/>
          <w:b w:val="false"/>
          <w:color w:val="000000"/>
          <w:sz w:val="20"/>
        </w:rPr>
        <w:t xml:space="preserve">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serif" w:hAnsi="Times New Roman;serif"/>
          <w:b w:val="false"/>
          <w:i/>
          <w:color w:val="000000"/>
          <w:sz w:val="20"/>
        </w:rPr>
        <w:t>McDonald v. Symphony Healthcare</w:t>
      </w:r>
      <w:r>
        <w:rPr>
          <w:rFonts w:ascii="Times New Roman;serif" w:hAnsi="Times New Roman;serif"/>
          <w:b w:val="false"/>
          <w:color w:val="000000"/>
          <w:sz w:val="20"/>
        </w:rPr>
        <w:t xml:space="preserve">. In October 2020, after the </w:t>
      </w:r>
      <w:r>
        <w:rPr>
          <w:rFonts w:ascii="Times New Roman;serif" w:hAnsi="Times New Roman;serif"/>
          <w:b w:val="false"/>
          <w:i/>
          <w:color w:val="000000"/>
          <w:sz w:val="20"/>
        </w:rPr>
        <w:t>McDonald</w:t>
      </w:r>
      <w:r>
        <w:rPr>
          <w:color w:val="000000"/>
        </w:rPr>
        <w:t xml:space="preserve"> </w:t>
      </w:r>
      <w:r>
        <w:rPr>
          <w:rFonts w:ascii="Times New Roman;serif" w:hAnsi="Times New Roman;serif"/>
          <w:b w:val="false"/>
          <w:color w:val="000000"/>
          <w:sz w:val="20"/>
        </w:rPr>
        <w:t>ruling, the Court granted the parties’ joint request to continue the stay of the case f</w:t>
      </w:r>
      <w:r>
        <w:rPr>
          <w:rFonts w:ascii="Times New Roman;serif" w:hAnsi="Times New Roman;serif"/>
          <w:b w:val="false"/>
          <w:color w:val="000000"/>
          <w:sz w:val="20"/>
          <w:shd w:fill="FFFFFF" w:val="clear"/>
        </w:rPr>
        <w:t>or 60 days. T</w:t>
      </w:r>
      <w:r>
        <w:rPr>
          <w:rFonts w:ascii="Times New Roman;serif" w:hAnsi="Times New Roman;serif"/>
          <w:b w:val="false"/>
          <w:color w:val="000000"/>
          <w:sz w:val="20"/>
        </w:rPr>
        <w:t>he Court also ordered the parties to schedule a settlement conference with the Magistrate Judge in May 2021 which went forward without a settlement being reached. On May 22, 2023, the Company filed the answer to the amended complaint. Plaintiff and PSI have since reached a preliminary settlement of the case, and Plaintiff filed an Unopposed Motion for Preliminary Approval of Class Action Settlement on February 23, 2024. On February 5, 2025 Plaintiff filed an Unopposed Motion for Final Approval of the Class Settlement, which the Court granted on February 7, 2025. As of December 31, 2024, the Company had recorded an estimated liabili</w:t>
      </w:r>
      <w:r>
        <w:rPr>
          <w:rFonts w:ascii="Times New Roman;serif" w:hAnsi="Times New Roman;serif"/>
          <w:b w:val="false"/>
          <w:color w:val="000000"/>
          <w:sz w:val="20"/>
          <w:shd w:fill="FFFFFF" w:val="clear"/>
        </w:rPr>
        <w:t>ty of $2.4 million</w:t>
      </w:r>
      <w:r>
        <w:rPr>
          <w:rFonts w:ascii="Times New Roman;serif" w:hAnsi="Times New Roman;serif"/>
          <w:b w:val="false"/>
          <w:color w:val="000000"/>
          <w:sz w:val="20"/>
        </w:rPr>
        <w:t xml:space="preserve">, recorded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on the Consolidated Balance Sheets related to the potential settlement of this matter. During the first quar</w:t>
      </w:r>
      <w:r>
        <w:rPr>
          <w:rFonts w:ascii="Times New Roman;serif" w:hAnsi="Times New Roman;serif"/>
          <w:b w:val="false"/>
          <w:color w:val="000000"/>
          <w:sz w:val="20"/>
          <w:shd w:fill="FFFFFF" w:val="clear"/>
        </w:rPr>
        <w:t>ter of 2025, the final settlement amount of $2.4 million was paid to the Plaintiff, of which $0.7 million was paid by the Company and $1.7 million was paid by the Company’s insurance carrier.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Mast Powertrain v. the Company</w:t>
      </w:r>
    </w:p>
    <w:p>
      <w:pPr>
        <w:pStyle w:val="TextBody"/>
        <w:bidi w:val="0"/>
        <w:spacing w:lineRule="auto" w:line="288" w:before="120" w:after="120"/>
        <w:jc w:val="both"/>
        <w:rPr/>
      </w:pPr>
      <w:r>
        <w:rPr>
          <w:rFonts w:ascii="Times New Roman;serif" w:hAnsi="Times New Roman;serif"/>
          <w:b w:val="false"/>
          <w:color w:val="000000"/>
          <w:sz w:val="20"/>
        </w:rPr>
        <w:t xml:space="preserve">In February 2020, the Company received a demand for arbitration from Mast Powertrain, LLC (“Mast”) pursuant to a development agreement entered into in November 2011 (the “Development Agreement”). Mast claimed that it was owed more than </w:t>
      </w:r>
      <w:r>
        <w:rPr>
          <w:rFonts w:ascii="Times New Roman;serif" w:hAnsi="Times New Roman;serif"/>
          <w:b w:val="false"/>
          <w:color w:val="000000"/>
          <w:sz w:val="20"/>
          <w:shd w:fill="FFFFFF" w:val="clear"/>
        </w:rPr>
        <w:t>$9.0 million</w:t>
      </w:r>
      <w:r>
        <w:rPr>
          <w:color w:val="000000"/>
        </w:rPr>
        <w:t xml:space="preserve"> </w:t>
      </w:r>
      <w:r>
        <w:rPr>
          <w:rFonts w:ascii="Times New Roman;serif" w:hAnsi="Times New Roman;serif"/>
          <w:b w:val="false"/>
          <w:color w:val="000000"/>
          <w:sz w:val="20"/>
        </w:rPr>
        <w:t xml:space="preserve">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w:t>
      </w:r>
      <w:r>
        <w:rPr>
          <w:rFonts w:ascii="Times New Roman;serif" w:hAnsi="Times New Roman;serif"/>
          <w:b w:val="false"/>
          <w:color w:val="000000"/>
          <w:sz w:val="20"/>
          <w:shd w:fill="FFFFFF" w:val="clear"/>
        </w:rPr>
        <w:t>$4.5 million</w:t>
      </w:r>
      <w:r>
        <w:rPr>
          <w:rFonts w:ascii="Times New Roman;serif" w:hAnsi="Times New Roman;serif"/>
          <w:b w:val="false"/>
          <w:color w:val="000000"/>
          <w:sz w:val="20"/>
        </w:rPr>
        <w:t xml:space="preserve">. In July 2021, the Company reached a settlement with Mast to resolve past claims for royalties </w:t>
      </w:r>
      <w:r>
        <w:rPr>
          <w:rFonts w:ascii="Times New Roman;serif" w:hAnsi="Times New Roman;serif"/>
          <w:b w:val="false"/>
          <w:color w:val="000000"/>
          <w:sz w:val="20"/>
          <w:shd w:fill="FFFFFF" w:val="clear"/>
        </w:rPr>
        <w:t xml:space="preserve">owed for $1.5 million which the Company had previously recorded within </w:t>
      </w:r>
      <w:r>
        <w:rPr>
          <w:rFonts w:ascii="Times New Roman;serif" w:hAnsi="Times New Roman;serif"/>
          <w:b w:val="false"/>
          <w:i/>
          <w:color w:val="000000"/>
          <w:sz w:val="20"/>
          <w:shd w:fill="FFFFFF" w:val="clear"/>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in the Consolidated Statement of Income for the year-ended December 31, 2020</w:t>
      </w:r>
      <w:r>
        <w:rPr>
          <w:rFonts w:ascii="Times New Roman;serif" w:hAnsi="Times New Roman;serif"/>
          <w:b w:val="false"/>
          <w:color w:val="000000"/>
          <w:sz w:val="20"/>
        </w:rPr>
        <w:t>. The Company fully paid the settlement as of December 31, 2022. 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Upon court order, the Company participated in separate mediations in May 2024 and December 2024, and no settlement was reached. The Company has filed a motion to stay the lawsuit and compel it to arbitration, and the Court granted that motion on January 31, 2025</w:t>
      </w:r>
      <w:r>
        <w:rPr>
          <w:rFonts w:ascii="Times New Roman;serif" w:hAnsi="Times New Roman;serif"/>
          <w:b w:val="false"/>
          <w:color w:val="000000"/>
          <w:sz w:val="20"/>
          <w:shd w:fill="FFFFFF" w:val="clear"/>
        </w:rPr>
        <w:t xml:space="preserve">. As of both June 30, 2025 and December 31, 2024, the Company had recorded an estimated liability of $0.9 million, recorded within </w:t>
      </w:r>
      <w:r>
        <w:rPr>
          <w:rFonts w:ascii="Times New Roman;serif" w:hAnsi="Times New Roman;serif"/>
          <w:b w:val="false"/>
          <w:i/>
          <w:color w:val="000000"/>
          <w:sz w:val="20"/>
          <w:shd w:fill="FFFFFF" w:val="clear"/>
        </w:rPr>
        <w:t>Other accrued liabilities</w:t>
      </w:r>
      <w:r>
        <w:rPr>
          <w:color w:val="000000"/>
          <w:shd w:fill="FFFFFF" w:val="clear"/>
        </w:rPr>
        <w:t xml:space="preserve"> </w:t>
      </w:r>
      <w:r>
        <w:rPr>
          <w:rFonts w:ascii="Times New Roman;serif" w:hAnsi="Times New Roman;serif"/>
          <w:b w:val="false"/>
          <w:color w:val="000000"/>
          <w:sz w:val="20"/>
          <w:shd w:fill="FFFFFF" w:val="clear"/>
        </w:rPr>
        <w:t xml:space="preserve">on the Consolidated Balance Sheets related to the potential settlement of this matter. </w:t>
      </w:r>
      <w:r>
        <w:rPr>
          <w:color w:val="000000"/>
          <w:shd w:fill="FFFFFF" w:val="clear"/>
        </w:rPr>
        <w: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Gary Winemaster v. The Company</w:t>
      </w:r>
    </w:p>
    <w:p>
      <w:pPr>
        <w:pStyle w:val="TextBody"/>
        <w:bidi w:val="0"/>
        <w:spacing w:lineRule="auto" w:line="268" w:before="0" w:after="0"/>
        <w:jc w:val="both"/>
        <w:rPr/>
      </w:pPr>
      <w:r>
        <w:rPr>
          <w:rFonts w:ascii="Times New Roman;serif" w:hAnsi="Times New Roman;serif"/>
          <w:b w:val="false"/>
          <w:color w:val="000000"/>
          <w:sz w:val="20"/>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serif" w:hAnsi="Times New Roman;serif"/>
          <w:b w:val="false"/>
          <w:i/>
          <w:color w:val="000000"/>
          <w:sz w:val="20"/>
        </w:rPr>
        <w:t>U.S. v. Winemaster et al.</w:t>
      </w:r>
      <w:r>
        <w:rPr>
          <w:color w:val="000000"/>
        </w:rPr>
        <w:t xml:space="preserve"> </w:t>
      </w:r>
      <w:r>
        <w:rPr>
          <w:rFonts w:ascii="Times New Roman;serif" w:hAnsi="Times New Roman;serif"/>
          <w:b w:val="false"/>
          <w:color w:val="000000"/>
          <w:sz w:val="20"/>
        </w:rPr>
        <w:t xml:space="preserve">Since the filing of the complaint, the Company estimates that Travelers has paid approximately $8.8 million to Winemaster’s attorneys, 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policy. In June 2024, the Company reached a settlement with Travelers for $4.5 million. As of both June 30, 2025 and December 31, 2024, the Company recorded the aforementioned settlement liability within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 xml:space="preserve">with the current portion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 xml:space="preserve">on the Consolidated Balance Sheets. Refer to Note 7. </w:t>
      </w:r>
      <w:r>
        <w:rPr>
          <w:rFonts w:ascii="Times New Roman;serif" w:hAnsi="Times New Roman;serif"/>
          <w:b w:val="false"/>
          <w:i/>
          <w:color w:val="000000"/>
          <w:sz w:val="20"/>
        </w:rPr>
        <w:t xml:space="preserve">Other Non-current Liabilities </w:t>
      </w:r>
      <w:r>
        <w:rPr>
          <w:rFonts w:ascii="Times New Roman;serif" w:hAnsi="Times New Roman;serif"/>
          <w:b w:val="false"/>
          <w:color w:val="000000"/>
          <w:sz w:val="20"/>
        </w:rPr>
        <w:t xml:space="preserve">for additional information related to this settlement.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holds a directors’ and officers’ liability insurance policy, which is renewed annually and currently expires in July 2026. The insurance policy includes standard exclusions including for any previously pending litigation.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Commitments and Contingencies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At June 30, 2025, the Company had four outstanding letters of credit totaling $1.8 million. The letters of credit primarily serve as collateral for certain facility leases and insurance policies. As discussed in Note 1. </w:t>
      </w:r>
      <w:r>
        <w:rPr>
          <w:rFonts w:ascii="Times New Roman;serif" w:hAnsi="Times New Roman;serif"/>
          <w:b w:val="false"/>
          <w:i/>
          <w:color w:val="000000"/>
          <w:sz w:val="20"/>
          <w:shd w:fill="FFFFFF" w:val="clear"/>
        </w:rPr>
        <w:t>Summary of Significant Accounting Policies and Other Information</w:t>
      </w:r>
      <w:r>
        <w:rPr>
          <w:rFonts w:ascii="Times New Roman;serif" w:hAnsi="Times New Roman;serif"/>
          <w:b w:val="false"/>
          <w:color w:val="000000"/>
          <w:sz w:val="20"/>
          <w:shd w:fill="FFFFFF" w:val="clear"/>
        </w:rPr>
        <w:t xml:space="preserve">, the Company had restricted cash of $3.7 million as of June 30, 2025, related to these letters of credit and cash held in escrow due to a customer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11.    Income Taxes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 quarterly basis, the Company computes an estimated annual effective tax rate considering ordinary income and related income tax (benefit) expense. Ordinary income refers to income before income tax (benefit) expense excluding significant, unusual or infrequently occurring items. The tax effect of an unusual or infrequently occurring item is recorded in the interim period in which it occurs.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Through March 31, 2025, the Company maintained a full valuation allowance against its deferred tax assets due to significant negative evidence, about realizability of the assets, including cumulative losses and substantial doubt about its ability to continue as a going concern. Due to the successful refinancing of its debt in July 2025, the Company concluded that substantial doubt about its ability to continue as a going concern no longer exists. After evaluating all available evidence, including the alleviation of substantial doubt about the Company’s ability to continue as a going concern, recent and forecasted earnings, historical performance, and the Company’s improved financial condition, management determined that it is more likely than not that its deferred tax assets will be realized. As a result, the Company released an additional $16.4 million of the valuation allowance as a discrete tax benefit during the second quarter of 2025, and utilized a further $12.8 million to reduce tax expense for the quarter. In total, the valuation allowance release resulted in a $29.2 million tax benefit in the second quarter of 2025. As of June 30, 2025 and December 31, 2024, the Company had net deferred tax assets (liabilities) of $25.4 million and $(1.6) million, respectively.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effective tax rate for the three and six months ended June 30, 2025 was (64.8)% and (30.3)%, respectively, compared to an effective tax rate for the three and six months ended June 30, 2024 of 4.0% and 3.7%. </w:t>
      </w:r>
      <w:r>
        <w:rPr>
          <w:rFonts w:ascii="Times New Roman;serif" w:hAnsi="Times New Roman;serif"/>
          <w:b w:val="false"/>
          <w:color w:val="000000"/>
          <w:sz w:val="20"/>
        </w:rPr>
        <w:t xml:space="preserve">The negative effective tax rates in 2025 reflect the impact of the valuation allowance reversal. The Company paid approximately $8.1 million in income taxes during the three and six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 Tax Legislation</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One, Big, Beautiful Bill Act (the “Act”) was signed into law on July 4, 2025. The Act contains significant tax law changes with various effective dates affecting business taxpayers. Among the tax law changes that will impact the Company relate to the timing of certain tax deductions including depreciation expense, </w:t>
      </w:r>
      <w:r>
        <w:rPr>
          <w:rFonts w:ascii="Times New Roman;serif" w:hAnsi="Times New Roman;serif"/>
          <w:b w:val="false"/>
          <w:color w:val="000000"/>
          <w:sz w:val="20"/>
        </w:rPr>
        <w:t>research and development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R&amp;D”</w:t>
      </w:r>
      <w:r>
        <w:rPr>
          <w:rFonts w:ascii="Times New Roman;serif" w:hAnsi="Times New Roman;serif"/>
          <w:b w:val="false"/>
          <w:color w:val="000000"/>
          <w:sz w:val="20"/>
          <w:shd w:fill="FFFFFF" w:val="clear"/>
        </w:rPr>
        <w:t xml:space="preserve">) expenditures and interest expense. The Company will implement the tax law changes in the third 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The Company does not anticipate any significant impact to its overall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shd w:fill="FFFFFF" w:val="clear"/>
        </w:rPr>
        <w:t>Note 12.</w:t>
      </w:r>
      <w:r>
        <w:rPr>
          <w:color w:val="000000"/>
        </w:rPr>
        <w:t>    </w:t>
      </w:r>
      <w:r>
        <w:rPr>
          <w:rFonts w:ascii="Times New Roman;serif" w:hAnsi="Times New Roman;serif"/>
          <w:b/>
          <w:color w:val="000000"/>
          <w:sz w:val="20"/>
          <w:shd w:fill="FFFFFF" w:val="clear"/>
        </w:rPr>
        <w:t>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Common and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shares of Common and Treasury Stock are as follows:</w:t>
      </w:r>
    </w:p>
    <w:tbl>
      <w:tblPr>
        <w:tblW w:w="9874" w:type="dxa"/>
        <w:jc w:val="left"/>
        <w:tblInd w:w="0" w:type="dxa"/>
        <w:tblLayout w:type="fixed"/>
        <w:tblCellMar>
          <w:top w:w="28" w:type="dxa"/>
          <w:left w:w="28" w:type="dxa"/>
          <w:bottom w:w="28" w:type="dxa"/>
          <w:right w:w="28" w:type="dxa"/>
        </w:tblCellMar>
      </w:tblPr>
      <w:tblGrid>
        <w:gridCol w:w="949"/>
        <w:gridCol w:w="837"/>
        <w:gridCol w:w="839"/>
        <w:gridCol w:w="109"/>
        <w:gridCol w:w="109"/>
        <w:gridCol w:w="109"/>
        <w:gridCol w:w="649"/>
        <w:gridCol w:w="649"/>
        <w:gridCol w:w="651"/>
        <w:gridCol w:w="109"/>
        <w:gridCol w:w="109"/>
        <w:gridCol w:w="109"/>
        <w:gridCol w:w="619"/>
        <w:gridCol w:w="619"/>
        <w:gridCol w:w="621"/>
        <w:gridCol w:w="109"/>
        <w:gridCol w:w="109"/>
        <w:gridCol w:w="109"/>
        <w:gridCol w:w="719"/>
        <w:gridCol w:w="719"/>
        <w:gridCol w:w="1022"/>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Outstanding</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23,011 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Note 13.</w:t>
      </w:r>
      <w:r>
        <w:rPr>
          <w:color w:val="000000"/>
        </w:rPr>
        <w:t xml:space="preserve"> </w:t>
      </w:r>
      <w:r>
        <w:rPr>
          <w:rFonts w:ascii="Times New Roman;serif" w:hAnsi="Times New Roman;serif"/>
          <w:b/>
          <w:color w:val="000000"/>
          <w:sz w:val="20"/>
          <w:shd w:fill="FFFFFF" w:val="clear"/>
        </w:rPr>
        <w:t>Earnings Per Share</w:t>
      </w:r>
    </w:p>
    <w:p>
      <w:pPr>
        <w:pStyle w:val="TextBody"/>
        <w:bidi w:val="0"/>
        <w:spacing w:lineRule="auto" w:line="288" w:before="120" w:after="120"/>
        <w:jc w:val="both"/>
        <w:rPr/>
      </w:pPr>
      <w:r>
        <w:rPr>
          <w:rFonts w:ascii="Times New Roman;serif" w:hAnsi="Times New Roman;serif"/>
          <w:b w:val="false"/>
          <w:color w:val="000000"/>
          <w:sz w:val="20"/>
        </w:rPr>
        <w:t xml:space="preserve">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w:t>
      </w:r>
      <w:r>
        <w:rPr>
          <w:rFonts w:ascii="Times New Roman;serif" w:hAnsi="Times New Roman;serif"/>
          <w:b w:val="false"/>
          <w:color w:val="000000"/>
          <w:sz w:val="20"/>
          <w:shd w:fill="FFFFFF" w:val="clear"/>
        </w:rPr>
        <w:t>earnings</w:t>
      </w:r>
      <w:r>
        <w:rPr>
          <w:color w:val="000000"/>
        </w:rPr>
        <w:t xml:space="preserve"> </w:t>
      </w:r>
      <w:r>
        <w:rPr>
          <w:rFonts w:ascii="Times New Roman;serif" w:hAnsi="Times New Roman;serif"/>
          <w:b w:val="false"/>
          <w:color w:val="000000"/>
          <w:sz w:val="20"/>
        </w:rPr>
        <w:t xml:space="preserve">per share for the three and six months ended June 30, 2025 and 2024. </w:t>
      </w:r>
    </w:p>
    <w:p>
      <w:pPr>
        <w:pStyle w:val="TextBody"/>
        <w:bidi w:val="0"/>
        <w:spacing w:lineRule="auto" w:line="288" w:before="0" w:after="0"/>
        <w:jc w:val="both"/>
        <w:rPr/>
      </w:pPr>
      <w:r>
        <w:rPr>
          <w:rFonts w:ascii="Times New Roman;serif" w:hAnsi="Times New Roman;serif"/>
          <w:b w:val="false"/>
          <w:color w:val="000000"/>
          <w:sz w:val="20"/>
        </w:rPr>
        <w:t xml:space="preserve">The Company issued SARs and RSAs, all of which have been evaluated for their potentially dilutive effect under the treasury stock method. See Note 13.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in the Company’s 2024 Annual Report for additional information on the SARs and the RSAs.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per share are as follows:</w:t>
      </w:r>
    </w:p>
    <w:tbl>
      <w:tblPr>
        <w:tblW w:w="10205" w:type="dxa"/>
        <w:jc w:val="center"/>
        <w:tblInd w:w="0" w:type="dxa"/>
        <w:tblLayout w:type="fixed"/>
        <w:tblCellMar>
          <w:top w:w="28" w:type="dxa"/>
          <w:left w:w="28" w:type="dxa"/>
          <w:bottom w:w="28" w:type="dxa"/>
          <w:right w:w="28" w:type="dxa"/>
        </w:tblCellMar>
      </w:tblPr>
      <w:tblGrid>
        <w:gridCol w:w="1534"/>
        <w:gridCol w:w="1289"/>
        <w:gridCol w:w="1293"/>
        <w:gridCol w:w="259"/>
        <w:gridCol w:w="856"/>
        <w:gridCol w:w="143"/>
        <w:gridCol w:w="143"/>
        <w:gridCol w:w="143"/>
        <w:gridCol w:w="143"/>
        <w:gridCol w:w="259"/>
        <w:gridCol w:w="856"/>
        <w:gridCol w:w="143"/>
        <w:gridCol w:w="109"/>
        <w:gridCol w:w="109"/>
        <w:gridCol w:w="109"/>
        <w:gridCol w:w="242"/>
        <w:gridCol w:w="799"/>
        <w:gridCol w:w="134"/>
        <w:gridCol w:w="134"/>
        <w:gridCol w:w="134"/>
        <w:gridCol w:w="134"/>
        <w:gridCol w:w="242"/>
        <w:gridCol w:w="799"/>
        <w:gridCol w:w="199"/>
      </w:tblGrid>
      <w:tr>
        <w:trPr/>
        <w:tc>
          <w:tcPr>
            <w:tcW w:w="153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basis)</w:t>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Numerator:</w:t>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basic and diluted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used in computing net income per share:</w:t>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 – diluted</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23,067</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22,993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23,064</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22,983</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of common stock – basic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of common stock – diluted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erif" w:hAnsi="Times New Roman;serif"/>
          <w:b w:val="false"/>
          <w:color w:val="000000"/>
          <w:sz w:val="20"/>
        </w:rPr>
        <w:t>The aggregate number of shares excluded from the diluted earnings per share calculations, because they would have been anti-diluti</w:t>
      </w:r>
      <w:r>
        <w:rPr>
          <w:rFonts w:ascii="Times New Roman;serif" w:hAnsi="Times New Roman;serif"/>
          <w:b w:val="false"/>
          <w:color w:val="000000"/>
          <w:sz w:val="20"/>
          <w:shd w:fill="FFFFFF" w:val="clear"/>
        </w:rPr>
        <w:t xml:space="preserve">ve, were none and 0.1 million for the three months ended </w:t>
      </w:r>
      <w:r>
        <w:rPr>
          <w:rFonts w:ascii="Times New Roman;serif" w:hAnsi="Times New Roman;serif"/>
          <w:b w:val="false"/>
          <w:color w:val="000000"/>
          <w:sz w:val="20"/>
        </w:rPr>
        <w:t xml:space="preserve">June 30, 2025 and 2024, respectively, and none and </w:t>
      </w:r>
      <w:r>
        <w:rPr>
          <w:rFonts w:ascii="Times New Roman;serif" w:hAnsi="Times New Roman;serif"/>
          <w:b w:val="false"/>
          <w:color w:val="000000"/>
          <w:sz w:val="20"/>
          <w:shd w:fill="FFFFFF" w:val="clear"/>
        </w:rPr>
        <w:t xml:space="preserve">0.1 million for the </w:t>
      </w:r>
      <w:r>
        <w:rPr>
          <w:rFonts w:ascii="Times New Roman;serif" w:hAnsi="Times New Roman;serif"/>
          <w:b w:val="false"/>
          <w:color w:val="000000"/>
          <w:sz w:val="20"/>
        </w:rPr>
        <w:t>six months ended June 30, 2025 and 2024, respectively. For the three and six months ended June 30, 2025 and 2024, SARs and RSAs were not included in the diluted earnings per share calculations as they would have been anti-dilutive because the Company’s average stock price was less than or equal to the exercise price of the SARs or the grant price of the RSAs.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14.    Related Party Transactions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Weichai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Weichai Transactions</w:t>
      </w:r>
      <w:r>
        <w:rPr>
          <w:color w:val="000000"/>
        </w:rPr>
        <w:t xml:space="preserve"> </w:t>
      </w:r>
      <w:r>
        <w:rPr>
          <w:rFonts w:ascii="Times New Roman;serif" w:hAnsi="Times New Roman;serif"/>
          <w:b w:val="false"/>
          <w:color w:val="000000"/>
          <w:sz w:val="20"/>
        </w:rPr>
        <w:t>for information regarding the Weichai Shareholder’s Loan Agreement and Collaboration Agreement</w:t>
      </w:r>
      <w:r>
        <w:rPr>
          <w:rFonts w:ascii="Times New Roman;serif" w:hAnsi="Times New Roman;serif"/>
          <w:b/>
          <w:color w:val="000000"/>
          <w:sz w:val="20"/>
        </w:rPr>
        <w:t>.</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Related Party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10.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information regarding the Company’s indemnification obligations related to certain former directors and officers of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entered into a five-year purchase agreement with SWIEC,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tbl>
      <w:tblPr>
        <w:tblW w:w="3603" w:type="dxa"/>
        <w:jc w:val="left"/>
        <w:tblInd w:w="0" w:type="dxa"/>
        <w:tblLayout w:type="fixed"/>
        <w:tblCellMar>
          <w:top w:w="28" w:type="dxa"/>
          <w:left w:w="28" w:type="dxa"/>
          <w:bottom w:w="28" w:type="dxa"/>
          <w:right w:w="28" w:type="dxa"/>
        </w:tblCellMar>
      </w:tblPr>
      <w:tblGrid>
        <w:gridCol w:w="792"/>
        <w:gridCol w:w="698"/>
        <w:gridCol w:w="700"/>
        <w:gridCol w:w="109"/>
        <w:gridCol w:w="109"/>
        <w:gridCol w:w="109"/>
        <w:gridCol w:w="196"/>
        <w:gridCol w:w="73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In February 2025, the Company entered into a MOR agreement with Weichai. The MOR agreement requires the Company to pay Weichai a fee of 1.75% of gross revenues generated by the sale of certain engines manufactured by Weichai. Fees are due on a quarterly basis. The MOR agreement further requires the 1.75% fee to be paid for applicable sales of these engines beginning January 2024. As of</w:t>
      </w:r>
      <w:r>
        <w:rPr>
          <w:color w:val="000000"/>
          <w:shd w:fill="FFFFFF" w:val="clear"/>
        </w:rPr>
        <w:t xml:space="preserve"> </w:t>
      </w:r>
      <w:r>
        <w:rPr>
          <w:rFonts w:ascii="Times New Roman;serif" w:hAnsi="Times New Roman;serif"/>
          <w:b w:val="false"/>
          <w:color w:val="000000"/>
          <w:sz w:val="20"/>
        </w:rPr>
        <w:t xml:space="preserve">June 30, 2025, the Company had recorded an estimated liability of </w:t>
      </w:r>
      <w:r>
        <w:rPr>
          <w:rFonts w:ascii="Times New Roman;serif" w:hAnsi="Times New Roman;serif"/>
          <w:b w:val="false"/>
          <w:color w:val="000000"/>
          <w:sz w:val="20"/>
          <w:shd w:fill="FFFFFF" w:val="clear"/>
        </w:rPr>
        <w:t>$0.1 million</w:t>
      </w:r>
      <w:r>
        <w:rPr>
          <w:rFonts w:ascii="Times New Roman;serif" w:hAnsi="Times New Roman;serif"/>
          <w:b w:val="false"/>
          <w:color w:val="000000"/>
          <w:sz w:val="20"/>
        </w:rPr>
        <w:t xml:space="preserve">, recorded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 xml:space="preserve">on the Consolidated Balance Sheets for the fee due to Weichai. The MOR agreement expires in December 2029.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rPr>
        <w:t>Note 15.</w:t>
      </w:r>
      <w:r>
        <w:rPr>
          <w:color w:val="000000"/>
        </w:rPr>
        <w:t xml:space="preserve"> </w:t>
      </w:r>
      <w:r>
        <w:rPr>
          <w:rFonts w:ascii="Times New Roman;serif" w:hAnsi="Times New Roman;serif"/>
          <w:b/>
          <w:color w:val="000000"/>
          <w:sz w:val="20"/>
        </w:rPr>
        <w:t>Segment Reporting</w:t>
      </w:r>
    </w:p>
    <w:p>
      <w:pPr>
        <w:pStyle w:val="TextBody"/>
        <w:bidi w:val="0"/>
        <w:spacing w:lineRule="auto" w:line="288" w:before="120" w:after="120"/>
        <w:jc w:val="both"/>
        <w:rPr/>
      </w:pPr>
      <w:r>
        <w:rPr>
          <w:rFonts w:ascii="Times New Roman;serif" w:hAnsi="Times New Roman;serif"/>
          <w:b w:val="false"/>
          <w:color w:val="000000"/>
          <w:sz w:val="20"/>
        </w:rPr>
        <w:t xml:space="preserve">Operating segments are defined as components of a business that can earn revenues and incur expenses for which discrete financial information is available that is reviewed on a regular basis by the chief operating decision maker (“CODM”). The Company operates </w:t>
      </w:r>
      <w:r>
        <w:rPr>
          <w:rFonts w:ascii="Times New Roman;serif" w:hAnsi="Times New Roman;serif"/>
          <w:b w:val="false"/>
          <w:color w:val="000000"/>
          <w:sz w:val="20"/>
          <w:shd w:fill="FFFFFF" w:val="clear"/>
        </w:rPr>
        <w:t xml:space="preserve">as one business and geographic operating and reportable segment. </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Operating Decision Maker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its Chief Executive Officer (“CEO”). The CEO oversees the strategic planning and direction of the Company, and the CEO has final approval in assessing the Company’s performance and allocating its resources.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Identification of Reportable Segment</w:t>
      </w:r>
    </w:p>
    <w:p>
      <w:pPr>
        <w:pStyle w:val="TextBody"/>
        <w:bidi w:val="0"/>
        <w:spacing w:lineRule="auto" w:line="288" w:before="120" w:after="120"/>
        <w:jc w:val="both"/>
        <w:rPr/>
      </w:pPr>
      <w:r>
        <w:rPr>
          <w:rFonts w:ascii="Times New Roman;serif" w:hAnsi="Times New Roman;serif"/>
          <w:b w:val="false"/>
          <w:color w:val="000000"/>
          <w:sz w:val="20"/>
        </w:rPr>
        <w:t xml:space="preserve">The Company’s single reportable segment derives revenues primarily in North America from customers by designing, engineering, manufacturing, marketing and selling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Revenue is attributed to geographic areas based on the country of sale. The sources of external revenue by end market and geographic area are previously disclosed in Note 2. </w:t>
      </w:r>
      <w:r>
        <w:rPr>
          <w:rFonts w:ascii="Times New Roman;serif" w:hAnsi="Times New Roman;serif"/>
          <w:b w:val="false"/>
          <w:i/>
          <w:color w:val="000000"/>
          <w:sz w:val="20"/>
        </w:rPr>
        <w:t>Revenue</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basis for the CODM's decisions about the allocation of Company resources as well as the basis for the CODM's assessments of the evaluation of the Company's (segment) performance. Specifically, the Company evaluated the financial information that is generally provided and / or is available to the CODM. The Company’s CODM reviews consolidated statements of income to make decisions, allocate resources and assess performance.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Measurement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and decides how to allocate resources primarily using consolidated revenue by end market and consolidated net income (loss). The CODM uses consolidated net income (loss) to monitor budget and forecast information to actual results. The CODM reviews cash, accounts receivable, inventory, accounts payable, and total debt; however other long-lived asset information is not reviewed by the CODM. </w:t>
      </w:r>
    </w:p>
    <w:p>
      <w:pPr>
        <w:pStyle w:val="TextBody"/>
        <w:bidi w:val="0"/>
        <w:spacing w:lineRule="auto" w:line="288" w:before="120" w:after="120"/>
        <w:jc w:val="both"/>
        <w:rPr/>
      </w:pPr>
      <w:r>
        <w:rPr>
          <w:rFonts w:ascii="Times New Roman;serif" w:hAnsi="Times New Roman;serif"/>
          <w:b w:val="false"/>
          <w:color w:val="000000"/>
          <w:sz w:val="20"/>
        </w:rPr>
        <w:t xml:space="preserve">The accounting policies of the Company’s single reportable segment are the same as those described in the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The measure of segment assets is consolidated total assets presented in the Company’s Consolidated Balance Sheets. Note 1 </w:t>
      </w:r>
      <w:r>
        <w:rPr>
          <w:rFonts w:ascii="Times New Roman;serif" w:hAnsi="Times New Roman;serif"/>
          <w:b w:val="false"/>
          <w:i/>
          <w:color w:val="000000"/>
          <w:sz w:val="20"/>
        </w:rPr>
        <w:t>Concentrations</w:t>
      </w:r>
      <w:r>
        <w:rPr>
          <w:color w:val="000000"/>
        </w:rPr>
        <w:t xml:space="preserve"> </w:t>
      </w:r>
      <w:r>
        <w:rPr>
          <w:rFonts w:ascii="Times New Roman;serif" w:hAnsi="Times New Roman;serif"/>
          <w:b w:val="false"/>
          <w:color w:val="000000"/>
          <w:sz w:val="20"/>
        </w:rPr>
        <w:t xml:space="preserve">discloses customers individually accounting for more than 10% of the Company’s consolidated net sales.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Significant Expenses</w:t>
      </w:r>
    </w:p>
    <w:p>
      <w:pPr>
        <w:pStyle w:val="TextBody"/>
        <w:bidi w:val="0"/>
        <w:spacing w:lineRule="auto" w:line="268" w:before="0" w:after="0"/>
        <w:jc w:val="left"/>
        <w:rPr/>
      </w:pPr>
      <w:r>
        <w:rPr>
          <w:rFonts w:ascii="Times New Roman;serif" w:hAnsi="Times New Roman;serif"/>
          <w:b w:val="false"/>
          <w:color w:val="000000"/>
          <w:sz w:val="20"/>
        </w:rPr>
        <w:t xml:space="preserve">Significant segment expenses are presented in the </w:t>
      </w:r>
      <w:r>
        <w:rPr>
          <w:rFonts w:ascii="Times New Roman;serif" w:hAnsi="Times New Roman;serif"/>
          <w:b w:val="false"/>
          <w:i/>
          <w:color w:val="000000"/>
          <w:sz w:val="20"/>
        </w:rPr>
        <w:t>Consolidated Statements of Income</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16. Subsequent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2025, the Company amended its Revolving Credit Agreement with Standard Chartered Bank and three other lenders. The Second Amended Revolving Credit Agreement allows the Company to borrow up to $135.0 million and extends the maturity date to July 30, 2027. Accordingly, management has concluded that the substantial doubt about the Company’s ability to continue as a going concern that existed as of and for the three months ended March 31, 2025 has been alleviated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the issuance of these financial statements by the increase credit commitment and extended maturity date. The amended Revolving Credit Agreement is subject to customary events of default and quarterly covenants, including minimum consolidated EBITDA, consolidated interest coverage ratio, and consolidated leverage ratio covenants. Refer to Note 1 Going Concern Considerations for discussion of the impact of this amendment on the Company’s liquidity.</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includes forward-looking statements about the Company’s business and consolidated results of operations for the three and six months ended June 30, 2025 and 2024,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Overview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by geographic area and by end market for the three and six months ended June 30, 2025 and 2024 are presented below:</w:t>
      </w:r>
    </w:p>
    <w:tbl>
      <w:tblPr>
        <w:tblW w:w="10205" w:type="dxa"/>
        <w:jc w:val="center"/>
        <w:tblInd w:w="0" w:type="dxa"/>
        <w:tblLayout w:type="fixed"/>
        <w:tblCellMar>
          <w:top w:w="28" w:type="dxa"/>
          <w:left w:w="28" w:type="dxa"/>
          <w:bottom w:w="28" w:type="dxa"/>
          <w:right w:w="28" w:type="dxa"/>
        </w:tblCellMar>
      </w:tblPr>
      <w:tblGrid>
        <w:gridCol w:w="589"/>
        <w:gridCol w:w="491"/>
        <w:gridCol w:w="450"/>
        <w:gridCol w:w="109"/>
        <w:gridCol w:w="109"/>
        <w:gridCol w:w="109"/>
        <w:gridCol w:w="196"/>
        <w:gridCol w:w="751"/>
        <w:gridCol w:w="109"/>
        <w:gridCol w:w="242"/>
        <w:gridCol w:w="194"/>
        <w:gridCol w:w="337"/>
        <w:gridCol w:w="109"/>
        <w:gridCol w:w="109"/>
        <w:gridCol w:w="109"/>
        <w:gridCol w:w="196"/>
        <w:gridCol w:w="751"/>
        <w:gridCol w:w="109"/>
        <w:gridCol w:w="242"/>
        <w:gridCol w:w="194"/>
        <w:gridCol w:w="337"/>
        <w:gridCol w:w="109"/>
        <w:gridCol w:w="109"/>
        <w:gridCol w:w="109"/>
        <w:gridCol w:w="196"/>
        <w:gridCol w:w="751"/>
        <w:gridCol w:w="109"/>
        <w:gridCol w:w="242"/>
        <w:gridCol w:w="194"/>
        <w:gridCol w:w="337"/>
        <w:gridCol w:w="109"/>
        <w:gridCol w:w="109"/>
        <w:gridCol w:w="109"/>
        <w:gridCol w:w="196"/>
        <w:gridCol w:w="751"/>
        <w:gridCol w:w="109"/>
        <w:gridCol w:w="234"/>
        <w:gridCol w:w="202"/>
        <w:gridCol w:w="388"/>
      </w:tblGrid>
      <w:tr>
        <w:trPr/>
        <w:tc>
          <w:tcPr>
            <w:tcW w:w="5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191,907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110,586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205,826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445"/>
        <w:gridCol w:w="392"/>
        <w:gridCol w:w="367"/>
        <w:gridCol w:w="109"/>
        <w:gridCol w:w="109"/>
        <w:gridCol w:w="109"/>
        <w:gridCol w:w="196"/>
        <w:gridCol w:w="751"/>
        <w:gridCol w:w="109"/>
        <w:gridCol w:w="243"/>
        <w:gridCol w:w="193"/>
        <w:gridCol w:w="417"/>
        <w:gridCol w:w="109"/>
        <w:gridCol w:w="109"/>
        <w:gridCol w:w="109"/>
        <w:gridCol w:w="196"/>
        <w:gridCol w:w="751"/>
        <w:gridCol w:w="109"/>
        <w:gridCol w:w="243"/>
        <w:gridCol w:w="193"/>
        <w:gridCol w:w="417"/>
        <w:gridCol w:w="109"/>
        <w:gridCol w:w="109"/>
        <w:gridCol w:w="109"/>
        <w:gridCol w:w="196"/>
        <w:gridCol w:w="751"/>
        <w:gridCol w:w="109"/>
        <w:gridCol w:w="243"/>
        <w:gridCol w:w="193"/>
        <w:gridCol w:w="417"/>
        <w:gridCol w:w="109"/>
        <w:gridCol w:w="109"/>
        <w:gridCol w:w="109"/>
        <w:gridCol w:w="196"/>
        <w:gridCol w:w="751"/>
        <w:gridCol w:w="109"/>
        <w:gridCol w:w="234"/>
        <w:gridCol w:w="202"/>
        <w:gridCol w:w="47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191,907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110,586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205,826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center"/>
        <w:rPr/>
      </w:pPr>
      <w:r>
        <w:rPr/>
      </w:r>
    </w:p>
    <w:p>
      <w:pPr>
        <w:pStyle w:val="TextBody"/>
        <w:bidi w:val="0"/>
        <w:spacing w:lineRule="auto" w:line="288" w:before="18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Trends and Business Outlook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PSI’s growth in net revenue for the six months in 2025 was driven by power systems markets, including data center and oil and gas products, partially offset by lower sales from more mature, lower-margin markets such as industrial. This shift in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reflects the Company’s conscious strategic prioritization toward higher growth, higher-margin markets with less emphasis on more mature markets.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focused on leading the business through a growth phase with a stronger balance sheet while strategically prioritizing products that demonstrate strong demand and higher gross margins. Consistent with those goals, the Company is actively pursuing several initiatives to enhance and expand manufacturing capacity to meet the increasing demand from data center markets. Pivoting the focus to these markets is driving current net sales growth and profitability. Through expanded capacity and strategic partnerships, management expects this positive trend to continue. </w:t>
      </w:r>
    </w:p>
    <w:p>
      <w:pPr>
        <w:pStyle w:val="TextBody"/>
        <w:bidi w:val="0"/>
        <w:spacing w:lineRule="auto" w:line="288" w:before="120" w:after="120"/>
        <w:jc w:val="both"/>
        <w:rPr/>
      </w:pPr>
      <w:r>
        <w:rPr>
          <w:rFonts w:ascii="Times New Roman;serif" w:hAnsi="Times New Roman;serif"/>
          <w:b w:val="false"/>
          <w:color w:val="000000"/>
          <w:sz w:val="20"/>
        </w:rPr>
        <w:t>PSI’s business is impacted by the current macroeconomic and geopolitical environment.</w:t>
      </w:r>
      <w:r>
        <w:rPr>
          <w:color w:val="000000"/>
        </w:rPr>
        <w:t xml:space="preserve"> </w:t>
      </w:r>
      <w:r>
        <w:rPr>
          <w:rFonts w:ascii="Times New Roman;serif" w:hAnsi="Times New Roman;serif"/>
          <w:b w:val="false"/>
          <w:color w:val="000000"/>
          <w:sz w:val="20"/>
        </w:rPr>
        <w:t xml:space="preserve">For example, although the oil and gas market, in which the Company has historically operated, has experienced year over year growth from its historic lows, sales levels may not reach their previous higher levels because of lower rig counts. The Company has been actively navigating these challenges by balancing its investments, expenses, pricing and sales efforts in this market as well as others.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prioritizing gross profit, the Company is committed to efficiently managing expenses, including streamlining operating expenses and prioritizing certain R&amp;D investments in support of long-term growth objectives. The Company is committed to focusing on growth opportunities and investment while also optimizing its cost structure to enhance growth and profitability, ultimately delivering sustained value to our shareholders.</w:t>
      </w:r>
    </w:p>
    <w:p>
      <w:pPr>
        <w:pStyle w:val="TextBody"/>
        <w:bidi w:val="0"/>
        <w:spacing w:lineRule="auto" w:line="288" w:before="120" w:after="120"/>
        <w:jc w:val="both"/>
        <w:rPr/>
      </w:pPr>
      <w:r>
        <w:rPr>
          <w:rFonts w:ascii="Times New Roman;serif" w:hAnsi="Times New Roman;serif"/>
          <w:b w:val="false"/>
          <w:color w:val="000000"/>
          <w:sz w:val="20"/>
        </w:rPr>
        <w:t>The Company experiences recent tariff costs associated with its supply chain products. We are actively assessing the evolving tariff environment and are committed to proactively mitigate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 On July 30, 2025, the Company amended its Revolving Credit Agreement with Standard Chartered Bank and three other lenders. The Second Amended Revolving Credit Agreement allows the Company to borrow up to $135.0 million and extends the maturity date to July 30, 2027.</w:t>
      </w:r>
      <w:r>
        <w:rPr>
          <w:color w:val="000000"/>
        </w:rPr>
        <w:t xml:space="preserve">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pPr>
      <w:r>
        <w:rPr>
          <w:rFonts w:ascii="Times New Roman;serif" w:hAnsi="Times New Roman;serif"/>
          <w:b/>
          <w:i/>
          <w:color w:val="000000"/>
          <w:sz w:val="20"/>
        </w:rPr>
        <w:t xml:space="preserve">Condensed consolidated results of operations for the three and six months ended June 30, 2025, compared with the three and six months ended June 30, 2024 </w:t>
      </w:r>
      <w:r>
        <w:rPr>
          <w:rFonts w:ascii="Times New Roman;serif" w:hAnsi="Times New Roman;serif"/>
          <w:b/>
          <w:color w:val="000000"/>
          <w:sz w:val="20"/>
        </w:rPr>
        <w:t>(UNAUDITED)</w:t>
      </w:r>
      <w:r>
        <w:rPr>
          <w:rFonts w:ascii="Times New Roman;serif" w:hAnsi="Times New Roman;serif"/>
          <w:b w:val="false"/>
          <w:color w:val="000000"/>
          <w:sz w:val="20"/>
        </w:rPr>
        <w:t>:</w:t>
      </w:r>
    </w:p>
    <w:tbl>
      <w:tblPr>
        <w:tblW w:w="12606" w:type="dxa"/>
        <w:jc w:val="left"/>
        <w:tblInd w:w="0" w:type="dxa"/>
        <w:tblLayout w:type="fixed"/>
        <w:tblCellMar>
          <w:top w:w="28" w:type="dxa"/>
          <w:left w:w="28" w:type="dxa"/>
          <w:bottom w:w="28" w:type="dxa"/>
          <w:right w:w="28" w:type="dxa"/>
        </w:tblCellMar>
      </w:tblPr>
      <w:tblGrid>
        <w:gridCol w:w="576"/>
        <w:gridCol w:w="282"/>
        <w:gridCol w:w="283"/>
        <w:gridCol w:w="109"/>
        <w:gridCol w:w="109"/>
        <w:gridCol w:w="109"/>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210"/>
        <w:gridCol w:w="211"/>
        <w:gridCol w:w="455"/>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210"/>
        <w:gridCol w:w="211"/>
        <w:gridCol w:w="51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pPr>
            <w:r>
              <w:rPr>
                <w:rFonts w:ascii="Times New Roman;serif" w:hAnsi="Times New Roman;serif"/>
                <w:b w:val="false"/>
                <w:color w:val="000000"/>
                <w:sz w:val="18"/>
              </w:rPr>
              <w:t xml:space="preserve">(to related parties </w:t>
            </w:r>
            <w:r>
              <w:rPr>
                <w:rFonts w:ascii="Times New Roman;serif" w:hAnsi="Times New Roman;serif"/>
                <w:b w:val="false"/>
                <w:color w:val="000000"/>
                <w:sz w:val="18"/>
                <w:shd w:fill="CCEEFF" w:val="clear"/>
              </w:rPr>
              <w:t xml:space="preserve">$402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$253</w:t>
            </w:r>
            <w:r>
              <w:rPr>
                <w:color w:val="000000"/>
              </w:rPr>
              <w:t xml:space="preserve"> </w:t>
            </w:r>
            <w:r>
              <w:rPr>
                <w:rFonts w:ascii="Times New Roman;serif" w:hAnsi="Times New Roman;serif"/>
                <w:b w:val="false"/>
                <w:color w:val="000000"/>
                <w:sz w:val="18"/>
              </w:rPr>
              <w:t xml:space="preserve">for the three months ended June 30, 2025 and June 30, 2024, respectively, </w:t>
            </w:r>
            <w:r>
              <w:rPr>
                <w:rFonts w:ascii="Times New Roman;serif" w:hAnsi="Times New Roman;serif"/>
                <w:b w:val="false"/>
                <w:color w:val="000000"/>
                <w:sz w:val="18"/>
                <w:shd w:fill="CCEEFF" w:val="clear"/>
              </w:rPr>
              <w:t xml:space="preserve">$865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$453</w:t>
            </w:r>
            <w:r>
              <w:rPr>
                <w:color w:val="000000"/>
              </w:rPr>
              <w:t xml:space="preserve"> </w:t>
            </w:r>
            <w:r>
              <w:rPr>
                <w:rFonts w:ascii="Times New Roman;serif" w:hAnsi="Times New Roman;serif"/>
                <w:b w:val="false"/>
                <w:color w:val="000000"/>
                <w:sz w:val="18"/>
              </w:rPr>
              <w:t>for the six months ended June 30, 2025 and June 30,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w:t>
            </w:r>
            <w:r>
              <w:rPr>
                <w:rFonts w:ascii="Times New Roman;serif" w:hAnsi="Times New Roman;serif"/>
                <w:b w:val="false"/>
                <w:color w:val="000000"/>
                <w:sz w:val="18"/>
                <w:shd w:fill="FFFFFF" w:val="clear"/>
              </w:rPr>
              <w:t>sales</w:t>
            </w:r>
          </w:p>
          <w:p>
            <w:pPr>
              <w:pStyle w:val="TableContents"/>
              <w:bidi w:val="0"/>
              <w:spacing w:lineRule="auto" w:line="240" w:before="0" w:after="0"/>
              <w:jc w:val="left"/>
              <w:rPr/>
            </w:pPr>
            <w:r>
              <w:rPr>
                <w:rFonts w:ascii="Times New Roman;serif" w:hAnsi="Times New Roman;serif"/>
                <w:b w:val="false"/>
                <w:color w:val="000000"/>
                <w:sz w:val="18"/>
              </w:rPr>
              <w:t xml:space="preserve">(derived from any related party sales </w:t>
            </w:r>
            <w:r>
              <w:rPr>
                <w:rFonts w:ascii="Times New Roman;serif" w:hAnsi="Times New Roman;serif"/>
                <w:b w:val="false"/>
                <w:color w:val="000000"/>
                <w:sz w:val="18"/>
                <w:shd w:fill="FFFFFF" w:val="clear"/>
              </w:rPr>
              <w:t>$271</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$176</w:t>
            </w:r>
            <w:r>
              <w:rPr>
                <w:color w:val="000000"/>
              </w:rPr>
              <w:t xml:space="preserve"> </w:t>
            </w:r>
            <w:r>
              <w:rPr>
                <w:rFonts w:ascii="Times New Roman;serif" w:hAnsi="Times New Roman;serif"/>
                <w:b w:val="false"/>
                <w:color w:val="000000"/>
                <w:sz w:val="18"/>
              </w:rPr>
              <w:t xml:space="preserve">for the three months ended June 30, 2025 and June 30, 2024, respectively, and </w:t>
            </w:r>
            <w:r>
              <w:rPr>
                <w:rFonts w:ascii="Times New Roman;serif" w:hAnsi="Times New Roman;serif"/>
                <w:b w:val="false"/>
                <w:color w:val="000000"/>
                <w:sz w:val="18"/>
                <w:shd w:fill="FFFFFF" w:val="clear"/>
              </w:rPr>
              <w:t>$587</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 xml:space="preserve">$329 </w:t>
            </w:r>
            <w:r>
              <w:rPr>
                <w:rFonts w:ascii="Times New Roman;serif" w:hAnsi="Times New Roman;serif"/>
                <w:b w:val="false"/>
                <w:color w:val="000000"/>
                <w:sz w:val="18"/>
              </w:rPr>
              <w:t>for the six months ended June 30, 2025 and June 30,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(from related parties $219 and $2,216 for the three months ended June 30, 2024 and 2023, respectively, and $634 and $4,438 for the six months ended June 30, 2025 and June 30,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NM    Not meaningful</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*Non-GAAP measurement, see reconciliation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increased $81.3 million, or 74%, during the three months ended June 30, 2025, compared to the three months ended June 30, 2024, as a result of higher sales of $83.8 million in the power systems end market, partially offset by a decrease of $1.6 million and $0.9 million within the industrial and transportation end markets, respectively. This shift in market mix reflects our deliberate strategic focus on higher-growth sectors such as data centers and oil and gas. In particular, we are prioritizing the rapidly expanding data center sector by enhancing our manufacturing capacity and capabilities to meet evolving customer demand. The decline in industrial sales is largely attributable to softer demand in the material handling market.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sales increased $121.5 million, or 59%, during the six months ended June 30, 2025, compared to the six months ended June 30, 2024, as a result of </w:t>
      </w:r>
      <w:r>
        <w:rPr>
          <w:rFonts w:ascii="Times New Roman;serif" w:hAnsi="Times New Roman;serif"/>
          <w:b w:val="false"/>
          <w:color w:val="000000"/>
          <w:sz w:val="20"/>
        </w:rPr>
        <w:t>higher</w:t>
      </w:r>
      <w:r>
        <w:rPr>
          <w:color w:val="000000"/>
          <w:shd w:fill="FFFFFF" w:val="clear"/>
        </w:rPr>
        <w:t xml:space="preserve"> </w:t>
      </w:r>
      <w:r>
        <w:rPr>
          <w:rFonts w:ascii="Times New Roman;serif" w:hAnsi="Times New Roman;serif"/>
          <w:b w:val="false"/>
          <w:color w:val="000000"/>
          <w:sz w:val="20"/>
          <w:shd w:fill="FFFFFF" w:val="clear"/>
        </w:rPr>
        <w:t>sales of $128.6 million in the power systems end</w:t>
      </w:r>
      <w:r>
        <w:rPr>
          <w:color w:val="000000"/>
        </w:rPr>
        <w:t xml:space="preserve"> </w:t>
      </w:r>
      <w:r>
        <w:rPr>
          <w:rFonts w:ascii="Times New Roman;serif" w:hAnsi="Times New Roman;serif"/>
          <w:b w:val="false"/>
          <w:color w:val="000000"/>
          <w:sz w:val="20"/>
        </w:rPr>
        <w:t>market, partially offset by a decrease of</w:t>
      </w:r>
      <w:r>
        <w:rPr>
          <w:color w:val="000000"/>
          <w:shd w:fill="FFFFFF" w:val="clear"/>
        </w:rPr>
        <w:t xml:space="preserve"> </w:t>
      </w:r>
      <w:r>
        <w:rPr>
          <w:rFonts w:ascii="Times New Roman;serif" w:hAnsi="Times New Roman;serif"/>
          <w:b w:val="false"/>
          <w:color w:val="000000"/>
          <w:sz w:val="20"/>
          <w:shd w:fill="FFFFFF" w:val="clear"/>
        </w:rPr>
        <w:t>$6.9 million and $0.2 million within the industrial and transportation end markets, respectively. This shift in market mix reflects our deliberate strategic focus on higher-growth sectors such as data centers and oil and gas. In particular, we are prioritizing the rapidly expanding data center sector by enhancing our manufacturing capacity and capabilities to meet evolving customer demand. The decline in industrial sales is largely attributable to softer demand in the material handling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Gross Profit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profit increased during the three months ended June 30, 2025 by $18.9 million, or 54%, compared to the three months ended June 30, 2024. Gross margin was 28.2% and 31.8% during the three months ended June 30, 2025 and 2024, respectively. The decrease in gross margin is primarily due to strong sales growth in comparatively lower-margin products and temporary inefficiencies related to our accelerated production ramp-up.</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profit increased during the six months ended June 30, 2025 by $33.4 million, or 55%, compared to the six months ended June 30, 2024. Gross margin was 28.8% and 29.6% during the six months ended June 30, 2025 and 2024, respectively. The decrease in gross margin is primarily due to strong sales growth in comparatively lower-margin products and temporary inefficiencies related to our accelerated production ramp-up.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Research and Development Expenses </w:t>
      </w:r>
    </w:p>
    <w:p>
      <w:pPr>
        <w:pStyle w:val="TextBody"/>
        <w:bidi w:val="0"/>
        <w:spacing w:lineRule="auto" w:line="288" w:before="120" w:after="120"/>
        <w:jc w:val="both"/>
        <w:rPr/>
      </w:pPr>
      <w:r>
        <w:rPr>
          <w:rFonts w:ascii="Times New Roman;serif" w:hAnsi="Times New Roman;serif"/>
          <w:b w:val="false"/>
          <w:color w:val="000000"/>
          <w:sz w:val="20"/>
        </w:rPr>
        <w:t>Research and develo</w:t>
      </w:r>
      <w:r>
        <w:rPr>
          <w:rFonts w:ascii="Times New Roman;serif" w:hAnsi="Times New Roman;serif"/>
          <w:b w:val="false"/>
          <w:color w:val="000000"/>
          <w:sz w:val="20"/>
          <w:shd w:fill="FFFFFF" w:val="clear"/>
        </w:rPr>
        <w:t>pment expenses during the three months ended June 30, 2025 and 2024 were $4.6 million and $5.0 million, respectively.</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during the six months ended June 30, 2025 and 2024 were $8.9 million and $10.2 million, respectively. The decrease of $1.3 million was primarily driven by the timing of R&amp;D program expenditures and the recovery of R&amp;D costs from certain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i/>
          <w:color w:val="000000"/>
          <w:sz w:val="20"/>
          <w:shd w:fill="FFFFFF" w:val="clear"/>
        </w:rPr>
        <w:t>Selling, General and Ad</w:t>
      </w:r>
      <w:r>
        <w:rPr>
          <w:rFonts w:ascii="Times New Roman;serif" w:hAnsi="Times New Roman;serif"/>
          <w:b/>
          <w:i/>
          <w:color w:val="000000"/>
          <w:sz w:val="20"/>
        </w:rPr>
        <w:t>ministrative Expenses</w:t>
      </w:r>
    </w:p>
    <w:p>
      <w:pPr>
        <w:pStyle w:val="TextBody"/>
        <w:bidi w:val="0"/>
        <w:spacing w:lineRule="auto" w:line="288" w:before="120" w:after="120"/>
        <w:jc w:val="both"/>
        <w:rPr/>
      </w:pPr>
      <w:r>
        <w:rPr>
          <w:rFonts w:ascii="Times New Roman;serif" w:hAnsi="Times New Roman;serif"/>
          <w:b w:val="false"/>
          <w:color w:val="000000"/>
          <w:sz w:val="20"/>
        </w:rPr>
        <w:t xml:space="preserve">Selling, general and administrative </w:t>
      </w:r>
      <w:r>
        <w:rPr>
          <w:rFonts w:ascii="Times New Roman;serif" w:hAnsi="Times New Roman;serif"/>
          <w:b w:val="false"/>
          <w:color w:val="000000"/>
          <w:sz w:val="20"/>
          <w:shd w:fill="FFFFFF" w:val="clear"/>
        </w:rPr>
        <w:t xml:space="preserve">(“SG&amp;A”) </w:t>
      </w:r>
      <w:r>
        <w:rPr>
          <w:rFonts w:ascii="Times New Roman;serif" w:hAnsi="Times New Roman;serif"/>
          <w:b w:val="false"/>
          <w:color w:val="000000"/>
          <w:sz w:val="20"/>
        </w:rPr>
        <w:t xml:space="preserve">expenses were </w:t>
      </w:r>
      <w:r>
        <w:rPr>
          <w:rFonts w:ascii="Times New Roman;serif" w:hAnsi="Times New Roman;serif"/>
          <w:b w:val="false"/>
          <w:color w:val="000000"/>
          <w:sz w:val="20"/>
          <w:shd w:fill="FFFFFF" w:val="clear"/>
        </w:rPr>
        <w:t>$16.7 million</w:t>
      </w:r>
      <w:r>
        <w:rPr>
          <w:color w:val="000000"/>
        </w:rPr>
        <w:t xml:space="preserve"> </w:t>
      </w:r>
      <w:r>
        <w:rPr>
          <w:rFonts w:ascii="Times New Roman;serif" w:hAnsi="Times New Roman;serif"/>
          <w:b w:val="false"/>
          <w:color w:val="000000"/>
          <w:sz w:val="20"/>
        </w:rPr>
        <w:t>during the three</w:t>
      </w:r>
      <w:r>
        <w:rPr>
          <w:color w:val="000000"/>
          <w:shd w:fill="FFFFFF" w:val="clear"/>
        </w:rPr>
        <w:t xml:space="preserve"> </w:t>
      </w:r>
      <w:r>
        <w:rPr>
          <w:rFonts w:ascii="Times New Roman;serif" w:hAnsi="Times New Roman;serif"/>
          <w:b w:val="false"/>
          <w:color w:val="000000"/>
          <w:sz w:val="20"/>
          <w:shd w:fill="FFFFFF" w:val="clear"/>
        </w:rPr>
        <w:t xml:space="preserve">months ended June 30, 2025 an </w:t>
      </w:r>
      <w:r>
        <w:rPr>
          <w:rFonts w:ascii="Times New Roman;serif" w:hAnsi="Times New Roman;serif"/>
          <w:b w:val="false"/>
          <w:color w:val="000000"/>
          <w:sz w:val="20"/>
        </w:rPr>
        <w:t>increase of</w:t>
      </w:r>
      <w:r>
        <w:rPr>
          <w:color w:val="000000"/>
          <w:shd w:fill="FFFFFF" w:val="clear"/>
        </w:rPr>
        <w:t xml:space="preserve"> </w:t>
      </w:r>
      <w:r>
        <w:rPr>
          <w:rFonts w:ascii="Times New Roman;serif" w:hAnsi="Times New Roman;serif"/>
          <w:b w:val="false"/>
          <w:color w:val="000000"/>
          <w:sz w:val="20"/>
          <w:shd w:fill="FFFFFF" w:val="clear"/>
        </w:rPr>
        <w:t xml:space="preserve">$12.2 million, or 269%, compared to the three months ended June 30, 2024. The increase is primarily due to a favorable non-recurring legal reserve reduction in 2024, and higher costs associated with employee incentive programs, increased sales and administrative expenses to support ongoing business growth in 2025. </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SG&amp;A expenses were $27.8 million during the six months ended June 30, 2025, an </w:t>
      </w:r>
      <w:r>
        <w:rPr>
          <w:rFonts w:ascii="Times New Roman;serif" w:hAnsi="Times New Roman;serif"/>
          <w:b w:val="false"/>
          <w:color w:val="000000"/>
          <w:sz w:val="20"/>
        </w:rPr>
        <w:t xml:space="preserve">increase of </w:t>
      </w:r>
      <w:r>
        <w:rPr>
          <w:rFonts w:ascii="Times New Roman;serif" w:hAnsi="Times New Roman;serif"/>
          <w:b w:val="false"/>
          <w:color w:val="000000"/>
          <w:sz w:val="20"/>
          <w:shd w:fill="FFFFFF" w:val="clear"/>
        </w:rPr>
        <w:t xml:space="preserve">$13.7 million, or 98%, compared to the six months ended June 30, 2024. The increase is primarily due to a favorable non-recurring legal reserve reduction in 2024, and higher costs associated with employee incentive programs, increased sales and administrative expenses to support ongoing business growth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lineRule="auto" w:line="268" w:before="0" w:after="0"/>
        <w:jc w:val="both"/>
        <w:rPr/>
      </w:pPr>
      <w:r>
        <w:rPr>
          <w:rFonts w:ascii="Times New Roman;serif" w:hAnsi="Times New Roman;serif"/>
          <w:b w:val="false"/>
          <w:color w:val="000000"/>
          <w:sz w:val="20"/>
        </w:rPr>
        <w:t>Interest expense w</w:t>
      </w:r>
      <w:r>
        <w:rPr>
          <w:rFonts w:ascii="Times New Roman;serif" w:hAnsi="Times New Roman;serif"/>
          <w:b w:val="false"/>
          <w:color w:val="000000"/>
          <w:sz w:val="20"/>
          <w:shd w:fill="FFFFFF" w:val="clear"/>
        </w:rPr>
        <w:t xml:space="preserve">as $1.7 million for the three months ended June 30, 2025, as compared to $2.9 million for the three months ended June 30, 2024, largely due to reduced outstanding debt and lower overall effective interest rates. See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1,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Interest expense was $3.5 million for the six months ended June 30, 2025, as compared to $6.3 million for the six months ended June 30, 2024, largely due to reduced outstanding debt and lower overall effective interest rates. See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1,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(Benefit)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recorded income tax benefit of $20.1 million for the three months ended June 30, 2025, as compared to income tax </w:t>
      </w:r>
      <w:r>
        <w:rPr>
          <w:rFonts w:ascii="Times New Roman;serif" w:hAnsi="Times New Roman;serif"/>
          <w:b w:val="false"/>
          <w:color w:val="000000"/>
          <w:sz w:val="20"/>
        </w:rPr>
        <w:t>expense</w:t>
      </w:r>
      <w:r>
        <w:rPr>
          <w:color w:val="000000"/>
          <w:shd w:fill="FFFFFF" w:val="clear"/>
        </w:rPr>
        <w:t xml:space="preserve"> </w:t>
      </w:r>
      <w:r>
        <w:rPr>
          <w:rFonts w:ascii="Times New Roman;serif" w:hAnsi="Times New Roman;serif"/>
          <w:b w:val="false"/>
          <w:color w:val="000000"/>
          <w:sz w:val="20"/>
          <w:shd w:fill="FFFFFF" w:val="clear"/>
        </w:rPr>
        <w:t xml:space="preserve">of $0.9 million 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change was primarily driven by the release of a valuation allowance on deferred tax assets with tax benefit of </w:t>
      </w:r>
      <w:r>
        <w:rPr>
          <w:rFonts w:ascii="Times New Roman;serif" w:hAnsi="Times New Roman;serif"/>
          <w:b w:val="false"/>
          <w:color w:val="000000"/>
          <w:sz w:val="22"/>
        </w:rPr>
        <w:t>$29.2 million</w:t>
      </w:r>
      <w:r>
        <w:rPr>
          <w:color w:val="000000"/>
          <w:shd w:fill="FFFFFF" w:val="clear"/>
        </w:rPr>
        <w:t xml:space="preserve"> </w:t>
      </w:r>
      <w:r>
        <w:rPr>
          <w:rFonts w:ascii="Times New Roman;serif" w:hAnsi="Times New Roman;serif"/>
          <w:b w:val="false"/>
          <w:color w:val="000000"/>
          <w:sz w:val="20"/>
          <w:shd w:fill="FFFFFF" w:val="clear"/>
        </w:rPr>
        <w:t xml:space="preserve">in the second quarter of 2025. Pretax income was $31.1 million for the three months ended June 30, 2025, compared to $22.4 million for the same period in </w:t>
      </w:r>
      <w:r>
        <w:rPr>
          <w:rFonts w:ascii="Times New Roman;serif" w:hAnsi="Times New Roman;serif"/>
          <w:b w:val="false"/>
          <w:color w:val="000000"/>
          <w:sz w:val="20"/>
        </w:rPr>
        <w:t>2024.</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Company recorded income tax benefit of $16.3 million for the six months ended June 30, 2025, as compared to income tax expense of $1.1 million 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year to date benefit reflects the valuation allowance release.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effect of the valuation allowance release, there would be no income tax expense for the six months ended June 30, 2025. Pretax income was $53.9 million for the six months ended June 30, 2025, compared to $29.8 million 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See Note 11. </w:t>
      </w:r>
      <w:r>
        <w:rPr>
          <w:rFonts w:ascii="Times New Roman;serif" w:hAnsi="Times New Roman;serif"/>
          <w:b w:val="false"/>
          <w:i/>
          <w:color w:val="000000"/>
          <w:sz w:val="20"/>
          <w:shd w:fill="FFFFFF" w:val="clear"/>
        </w:rPr>
        <w:t>Income Taxes</w:t>
      </w:r>
      <w:r>
        <w:rPr>
          <w:rFonts w:ascii="Times New Roman;serif" w:hAnsi="Times New Roman;serif"/>
          <w:b w:val="false"/>
          <w:color w:val="000000"/>
          <w:sz w:val="20"/>
          <w:shd w:fill="FFFFFF" w:val="clear"/>
        </w:rPr>
        <w:t xml:space="preserve">, included in Part I,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related to the Company’s income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this report. Management does not use these non-GAAP financial measures for any purpose other than the reasons stated below.</w:t>
      </w:r>
    </w:p>
    <w:tbl>
      <w:tblPr>
        <w:tblW w:w="6043" w:type="dxa"/>
        <w:jc w:val="left"/>
        <w:tblInd w:w="0" w:type="dxa"/>
        <w:tblLayout w:type="fixed"/>
        <w:tblCellMar>
          <w:top w:w="28" w:type="dxa"/>
          <w:left w:w="28" w:type="dxa"/>
          <w:bottom w:w="28" w:type="dxa"/>
          <w:right w:w="28" w:type="dxa"/>
        </w:tblCellMar>
      </w:tblPr>
      <w:tblGrid>
        <w:gridCol w:w="1060"/>
        <w:gridCol w:w="931"/>
        <w:gridCol w:w="933"/>
        <w:gridCol w:w="912"/>
        <w:gridCol w:w="912"/>
        <w:gridCol w:w="129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w:t>
            </w:r>
          </w:p>
        </w:tc>
        <w:tc>
          <w:tcPr>
            <w:tcW w:w="3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Comparable GAAP Financial Measure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to Adjusted net income for the three and six months ended June 30, 2025 and 2024:</w:t>
      </w:r>
    </w:p>
    <w:tbl>
      <w:tblPr>
        <w:tblW w:w="8686"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267"/>
        <w:gridCol w:w="882"/>
        <w:gridCol w:w="148"/>
        <w:gridCol w:w="148"/>
        <w:gridCol w:w="148"/>
        <w:gridCol w:w="148"/>
        <w:gridCol w:w="267"/>
        <w:gridCol w:w="882"/>
        <w:gridCol w:w="148"/>
        <w:gridCol w:w="109"/>
        <w:gridCol w:w="109"/>
        <w:gridCol w:w="109"/>
        <w:gridCol w:w="248"/>
        <w:gridCol w:w="818"/>
        <w:gridCol w:w="138"/>
        <w:gridCol w:w="138"/>
        <w:gridCol w:w="138"/>
        <w:gridCol w:w="138"/>
        <w:gridCol w:w="248"/>
        <w:gridCol w:w="818"/>
        <w:gridCol w:w="195"/>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per share – diluted to Adjusted net income per share – diluted for the three and six months ended June 30, 2025 and 2024:</w:t>
      </w:r>
    </w:p>
    <w:tbl>
      <w:tblPr>
        <w:tblW w:w="9769" w:type="dxa"/>
        <w:jc w:val="left"/>
        <w:tblInd w:w="0" w:type="dxa"/>
        <w:tblLayout w:type="fixed"/>
        <w:tblCellMar>
          <w:top w:w="28" w:type="dxa"/>
          <w:left w:w="28" w:type="dxa"/>
          <w:bottom w:w="28" w:type="dxa"/>
          <w:right w:w="28" w:type="dxa"/>
        </w:tblCellMar>
      </w:tblPr>
      <w:tblGrid>
        <w:gridCol w:w="1155"/>
        <w:gridCol w:w="1016"/>
        <w:gridCol w:w="1024"/>
        <w:gridCol w:w="109"/>
        <w:gridCol w:w="109"/>
        <w:gridCol w:w="109"/>
        <w:gridCol w:w="319"/>
        <w:gridCol w:w="759"/>
        <w:gridCol w:w="177"/>
        <w:gridCol w:w="177"/>
        <w:gridCol w:w="177"/>
        <w:gridCol w:w="177"/>
        <w:gridCol w:w="319"/>
        <w:gridCol w:w="759"/>
        <w:gridCol w:w="177"/>
        <w:gridCol w:w="109"/>
        <w:gridCol w:w="109"/>
        <w:gridCol w:w="109"/>
        <w:gridCol w:w="295"/>
        <w:gridCol w:w="701"/>
        <w:gridCol w:w="164"/>
        <w:gridCol w:w="164"/>
        <w:gridCol w:w="164"/>
        <w:gridCol w:w="164"/>
        <w:gridCol w:w="295"/>
        <w:gridCol w:w="701"/>
        <w:gridCol w:w="231"/>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shares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23,067</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22,983</w:t>
            </w:r>
          </w:p>
        </w:tc>
      </w:tr>
    </w:tbl>
    <w:p>
      <w:pPr>
        <w:pStyle w:val="TextBody"/>
        <w:bidi w:val="0"/>
        <w:spacing w:lineRule="auto" w:line="288" w:before="120" w:after="120"/>
        <w:jc w:val="both"/>
        <w:rPr/>
      </w:pPr>
      <w:r>
        <w:rPr>
          <w:rFonts w:ascii="Times New Roman;serif" w:hAnsi="Times New Roman;serif"/>
          <w:b w:val="false"/>
          <w:color w:val="000000"/>
          <w:sz w:val="20"/>
        </w:rPr>
        <w:t xml:space="preserve">The following table presents a reconciliation from </w:t>
      </w:r>
      <w:r>
        <w:rPr>
          <w:rFonts w:ascii="Times New Roman;serif" w:hAnsi="Times New Roman;serif"/>
          <w:b w:val="false"/>
          <w:color w:val="000000"/>
          <w:sz w:val="20"/>
          <w:shd w:fill="FFFFFF" w:val="clear"/>
        </w:rPr>
        <w:t>Net income</w:t>
      </w:r>
      <w:r>
        <w:rPr>
          <w:color w:val="000000"/>
        </w:rPr>
        <w:t xml:space="preserve"> </w:t>
      </w:r>
      <w:r>
        <w:rPr>
          <w:rFonts w:ascii="Times New Roman;serif" w:hAnsi="Times New Roman;serif"/>
          <w:b w:val="false"/>
          <w:color w:val="000000"/>
          <w:sz w:val="20"/>
        </w:rPr>
        <w:t>to EBITDA and Adjusted EBITDA for the three and six months ended June 30, 2025 and 2024:</w:t>
      </w:r>
    </w:p>
    <w:tbl>
      <w:tblPr>
        <w:tblW w:w="9016"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267"/>
        <w:gridCol w:w="882"/>
        <w:gridCol w:w="148"/>
        <w:gridCol w:w="148"/>
        <w:gridCol w:w="148"/>
        <w:gridCol w:w="148"/>
        <w:gridCol w:w="267"/>
        <w:gridCol w:w="882"/>
        <w:gridCol w:w="148"/>
        <w:gridCol w:w="109"/>
        <w:gridCol w:w="109"/>
        <w:gridCol w:w="109"/>
        <w:gridCol w:w="248"/>
        <w:gridCol w:w="818"/>
        <w:gridCol w:w="138"/>
        <w:gridCol w:w="138"/>
        <w:gridCol w:w="138"/>
        <w:gridCol w:w="138"/>
        <w:gridCol w:w="248"/>
        <w:gridCol w:w="818"/>
        <w:gridCol w:w="195"/>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33,586 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1.Amounts reflect non-cash</w:t>
      </w:r>
      <w:r>
        <w:rPr>
          <w:color w:val="000000"/>
        </w:rPr>
        <w:t xml:space="preserve"> </w:t>
      </w:r>
      <w:r>
        <w:rPr>
          <w:rFonts w:ascii="Times New Roman;serif" w:hAnsi="Times New Roman;serif"/>
          <w:b w:val="false"/>
          <w:color w:val="000000"/>
          <w:sz w:val="16"/>
        </w:rPr>
        <w:t>stock-based compensation expense and have no material impact on the Adjusted net income per share – diluted</w:t>
      </w:r>
      <w:r>
        <w:rPr>
          <w:color w:val="000000"/>
        </w:rPr>
        <w:t xml:space="preserve"> </w:t>
      </w:r>
      <w:r>
        <w:rPr>
          <w:rFonts w:ascii="Times New Roman;serif" w:hAnsi="Times New Roman;serif"/>
          <w:b w:val="false"/>
          <w:color w:val="000000"/>
          <w:sz w:val="16"/>
        </w:rPr>
        <w:t>for the three and six months ended June 30, 2025 and 2024.</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2.Amounts include severance expense</w:t>
      </w:r>
      <w:r>
        <w:rPr>
          <w:color w:val="000000"/>
        </w:rPr>
        <w:t xml:space="preserve"> </w:t>
      </w:r>
      <w:r>
        <w:rPr>
          <w:rFonts w:ascii="Times New Roman;serif" w:hAnsi="Times New Roman;serif"/>
          <w:b w:val="false"/>
          <w:color w:val="000000"/>
          <w:sz w:val="16"/>
        </w:rPr>
        <w:t>for the three and six months ended June 30, 2025.</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3.Amounts include legal settlements</w:t>
      </w:r>
      <w:r>
        <w:rPr>
          <w:color w:val="000000"/>
        </w:rPr>
        <w:t xml:space="preserve"> </w:t>
      </w:r>
      <w:r>
        <w:rPr>
          <w:rFonts w:ascii="Times New Roman;serif" w:hAnsi="Times New Roman;serif"/>
          <w:b w:val="false"/>
          <w:color w:val="000000"/>
          <w:sz w:val="16"/>
        </w:rPr>
        <w:t>for the three and six months ended June 30, 2025 and 2024.</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was impacted as follows:</w:t>
      </w:r>
    </w:p>
    <w:tbl>
      <w:tblPr>
        <w:tblW w:w="10205" w:type="dxa"/>
        <w:jc w:val="left"/>
        <w:tblInd w:w="0" w:type="dxa"/>
        <w:tblLayout w:type="fixed"/>
        <w:tblCellMar>
          <w:top w:w="28" w:type="dxa"/>
          <w:left w:w="28" w:type="dxa"/>
          <w:bottom w:w="28" w:type="dxa"/>
          <w:right w:w="28" w:type="dxa"/>
        </w:tblCellMar>
      </w:tblPr>
      <w:tblGrid>
        <w:gridCol w:w="1647"/>
        <w:gridCol w:w="1401"/>
        <w:gridCol w:w="1406"/>
        <w:gridCol w:w="109"/>
        <w:gridCol w:w="109"/>
        <w:gridCol w:w="109"/>
        <w:gridCol w:w="237"/>
        <w:gridCol w:w="784"/>
        <w:gridCol w:w="131"/>
        <w:gridCol w:w="131"/>
        <w:gridCol w:w="131"/>
        <w:gridCol w:w="131"/>
        <w:gridCol w:w="237"/>
        <w:gridCol w:w="784"/>
        <w:gridCol w:w="131"/>
        <w:gridCol w:w="109"/>
        <w:gridCol w:w="109"/>
        <w:gridCol w:w="109"/>
        <w:gridCol w:w="196"/>
        <w:gridCol w:w="708"/>
        <w:gridCol w:w="109"/>
        <w:gridCol w:w="109"/>
        <w:gridCol w:w="109"/>
        <w:gridCol w:w="109"/>
        <w:gridCol w:w="241"/>
        <w:gridCol w:w="241"/>
        <w:gridCol w:w="578"/>
      </w:tblGrid>
      <w:tr>
        <w:trPr/>
        <w:tc>
          <w:tcPr>
            <w:tcW w:w="164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5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(5,439)</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5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for the Six Months Ended June 30, 2025</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Operating Activities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provided by operating activities was $25.5 million for the six months ended June 30, 2025, compared to net cash provided by operating activities of $17.2 million for the six months ended June 30, 2024, resulting in an increase of $8.3 million in cash provided by operating activities year-over-year. The increase in cash provided by operating activities primarily resulted from a $5.9 million increase of cash used by working capital accounts and an increase in earnings of $41.6 million. The decrease in cash generated from working capital was primarily related to the purchases of inventory and the timing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collections on accounts receivables, reflecting higher sales volume and operational growth, partially offset by increase in accounts payable and other current liabilities for the six months ended June 30, 2025 compared to June 30, 2024.</w:t>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Investing Activities</w:t>
      </w:r>
    </w:p>
    <w:p>
      <w:pPr>
        <w:pStyle w:val="TextBody"/>
        <w:bidi w:val="0"/>
        <w:spacing w:lineRule="auto" w:line="288" w:before="120" w:after="120"/>
        <w:jc w:val="both"/>
        <w:rPr/>
      </w:pPr>
      <w:r>
        <w:rPr>
          <w:rFonts w:ascii="Times New Roman;serif" w:hAnsi="Times New Roman;serif"/>
          <w:b w:val="false"/>
          <w:color w:val="000000"/>
          <w:sz w:val="20"/>
          <w:shd w:fill="FFFFFF" w:val="clear"/>
        </w:rPr>
        <w:t>Net cash used in investing activities was $5.4 million for the six months ended June 30, 2025, compared to cash used in investin</w:t>
      </w:r>
      <w:r>
        <w:rPr>
          <w:rFonts w:ascii="Times New Roman;serif" w:hAnsi="Times New Roman;serif"/>
          <w:b w:val="false"/>
          <w:color w:val="000000"/>
          <w:sz w:val="20"/>
        </w:rPr>
        <w:t>g activities of $1.5 million for the six months ended June 30, 2024</w:t>
      </w:r>
      <w:r>
        <w:rPr>
          <w:rFonts w:ascii="Times New Roman;serif" w:hAnsi="Times New Roman;serif"/>
          <w:b w:val="false"/>
          <w:color w:val="000000"/>
          <w:sz w:val="20"/>
          <w:shd w:fill="FFFFFF" w:val="clear"/>
        </w:rPr>
        <w:t>. For the six months ended June 30, 2025 and 2024, cash used in investing activities related to capital expenditures.</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The Company used $25.4 million in cash from financing activities for </w:t>
      </w:r>
      <w:r>
        <w:rPr>
          <w:rFonts w:ascii="Times New Roman;serif" w:hAnsi="Times New Roman;serif"/>
          <w:b w:val="false"/>
          <w:color w:val="000000"/>
          <w:sz w:val="20"/>
          <w:shd w:fill="FFFFFF" w:val="clear"/>
        </w:rPr>
        <w:t xml:space="preserve">the six months ended June 30, 2025, compared to $10.2 million cash used by financing activities for the six months ended June 30, 2024. The cash used by financing activities for the six months ended June 30, 2025, was due to the full repayment of the SLA and other existing debt year to date. See additional discussion in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I, Item 1. Financial Statements, which further describe the Company’s debt arrangements.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sources of funds are cash flows from operations, borrowings made pursuant to its credit facilities and shareholder’s loan agreements, and cash and cash equivalents on hand. Uses of funds include payments of principal on our debt facilities and shareholder’s loan agreements, capital expenditures, and working capital needs.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Company has achieved profitability and generated positive cash flows from operating activities in 2025. As June 30, 2025, the Company’s total outstanding debt obligations under the Revolving Credit Agreement and for finance leases and other debt, all of which are short-term requirements, were $96.8 million in the aggregate, and its cash and cash equivalents were $49.5 million. See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for additional information. On </w:t>
      </w:r>
      <w:r>
        <w:rPr>
          <w:rFonts w:ascii="Times New Roman;serif" w:hAnsi="Times New Roman;serif"/>
          <w:b w:val="false"/>
          <w:color w:val="000000"/>
          <w:sz w:val="20"/>
        </w:rPr>
        <w:t>July 30, 2025</w:t>
      </w:r>
      <w:r>
        <w:rPr>
          <w:rFonts w:ascii="Times New Roman;serif" w:hAnsi="Times New Roman;serif"/>
          <w:b w:val="false"/>
          <w:color w:val="000000"/>
          <w:sz w:val="20"/>
          <w:shd w:fill="FFFFFF" w:val="clear"/>
        </w:rPr>
        <w:t xml:space="preserve">, the Company amended its Revolving Credit Agreement with Standard Chartered Bank and three other lenders. The Second Amended Revolving Credit Agreement allows the Company to borrow up to </w:t>
      </w:r>
      <w:r>
        <w:rPr>
          <w:rFonts w:ascii="Times New Roman;serif" w:hAnsi="Times New Roman;serif"/>
          <w:b w:val="false"/>
          <w:color w:val="000000"/>
          <w:sz w:val="20"/>
        </w:rPr>
        <w:t>$135.0 million</w:t>
      </w:r>
      <w:r>
        <w:rPr>
          <w:color w:val="000000"/>
          <w:shd w:fill="FFFFFF" w:val="clear"/>
        </w:rPr>
        <w:t xml:space="preserve"> </w:t>
      </w:r>
      <w:r>
        <w:rPr>
          <w:rFonts w:ascii="Times New Roman;serif" w:hAnsi="Times New Roman;serif"/>
          <w:b w:val="false"/>
          <w:color w:val="000000"/>
          <w:sz w:val="20"/>
          <w:shd w:fill="FFFFFF" w:val="clear"/>
        </w:rPr>
        <w:t xml:space="preserve">and extends the maturity date to </w:t>
      </w:r>
      <w:r>
        <w:rPr>
          <w:rFonts w:ascii="Times New Roman;serif" w:hAnsi="Times New Roman;serif"/>
          <w:b w:val="false"/>
          <w:color w:val="000000"/>
          <w:sz w:val="20"/>
        </w:rPr>
        <w:t>July 30, 2027</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PSI’s business is impacted by the current macroeconomic and geopolitical environment. For example, although the oil and gas market, in which the Company has historically operated, has experienced year over year growth from its historic lows, sales levels may not reach previous higher levels because of lower rig counts. The Company experiences recent tariff costs associated with its supply chain products. We are actively assessing the evolving tariff environment and are committed to proactively mitigate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w:t>
      </w:r>
    </w:p>
    <w:p>
      <w:pPr>
        <w:pStyle w:val="TextBody"/>
        <w:bidi w:val="0"/>
        <w:spacing w:lineRule="auto" w:line="288" w:before="120" w:after="120"/>
        <w:jc w:val="both"/>
        <w:rPr/>
      </w:pPr>
      <w:r>
        <w:rPr>
          <w:rFonts w:ascii="Times New Roman;serif" w:hAnsi="Times New Roman;serif"/>
          <w:b w:val="false"/>
          <w:color w:val="000000"/>
          <w:sz w:val="20"/>
        </w:rPr>
        <w:t>At June 30, 2025, the Company ha</w:t>
      </w:r>
      <w:r>
        <w:rPr>
          <w:rFonts w:ascii="Times New Roman;serif" w:hAnsi="Times New Roman;serif"/>
          <w:b w:val="false"/>
          <w:color w:val="000000"/>
          <w:sz w:val="20"/>
          <w:shd w:fill="FFFFFF" w:val="clear"/>
        </w:rPr>
        <w:t>d four outstanding letters of credit totaling $1.8 million</w:t>
      </w:r>
      <w:r>
        <w:rPr>
          <w:rFonts w:ascii="Times New Roman;serif" w:hAnsi="Times New Roman;serif"/>
          <w:b w:val="false"/>
          <w:color w:val="000000"/>
          <w:sz w:val="20"/>
        </w:rPr>
        <w:t xml:space="preserve">. See Item 1. </w:t>
      </w:r>
      <w:r>
        <w:rPr>
          <w:rFonts w:ascii="Times New Roman;serif" w:hAnsi="Times New Roman;serif"/>
          <w:b w:val="false"/>
          <w:i/>
          <w:color w:val="000000"/>
          <w:sz w:val="20"/>
        </w:rPr>
        <w:t>Financial Statements</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rPr>
        <w:t xml:space="preserve">Note 10.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additional information related to the Company’s off-balance sheet arrangements and the outstanding letters of credit.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both"/>
        <w:rPr/>
      </w:pPr>
      <w:r>
        <w:rPr>
          <w:rFonts w:ascii="Times New Roman;serif" w:hAnsi="Times New Roman;serif"/>
          <w:b w:val="false"/>
          <w:color w:val="000000"/>
          <w:sz w:val="20"/>
        </w:rPr>
        <w:t xml:space="preserve">The Company’s consolidated financial statements are prepared in accordance with U.S. GAAP. </w:t>
      </w:r>
      <w:r>
        <w:rPr>
          <w:rFonts w:ascii="Times New Roman;serif" w:hAnsi="Times New Roman;serif"/>
          <w:b w:val="false"/>
          <w:color w:val="000000"/>
          <w:sz w:val="20"/>
          <w:shd w:fill="FFFFFF" w:val="clear"/>
        </w:rPr>
        <w:t xml:space="preserve">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policies and estimates are those most important to the portrayal of its financial condition and results of operations which require the Company to make its most difficult and subjective judgments, often as a result of the need to make estimates regarding matters that are inherently uncertain. The Company has identified the following as its most critical accounting policies and judgments. Although management believes that its estimates and assumptions are reasonable, they are based on information available when they are made and, therefore, may differ from estimates made under different assumptions or conditions. </w:t>
      </w:r>
      <w:r>
        <w:rPr>
          <w:rFonts w:ascii="Times New Roman;serif" w:hAnsi="Times New Roman;serif"/>
          <w:b w:val="false"/>
          <w:color w:val="000000"/>
          <w:sz w:val="20"/>
        </w:rPr>
        <w:t>.</w:t>
      </w:r>
    </w:p>
    <w:p>
      <w:pPr>
        <w:pStyle w:val="TextBody"/>
        <w:bidi w:val="0"/>
        <w:spacing w:lineRule="auto" w:line="288" w:before="120" w:after="120"/>
        <w:jc w:val="both"/>
        <w:rPr/>
      </w:pPr>
      <w:r>
        <w:rPr>
          <w:rFonts w:ascii="Times New Roman;serif" w:hAnsi="Times New Roman;serif"/>
          <w:b w:val="false"/>
          <w:color w:val="000000"/>
          <w:sz w:val="20"/>
        </w:rPr>
        <w:t xml:space="preserve">The Company’s significant accounting policies are consistent with those discussed in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to the consolidated financial statements and the MD&amp;A section of the Company’s 2024 Annual Report. During the six months ended June 30, 2025, there were no significant changes in the application of critical accounting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the following accounting policies as its most critical because they require the Company to make difficult, subjective, and complex judgments and estimates: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Recognition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Goodwill Impairment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Warranty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Impact of New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For information about recently issued accounting pronouncements, see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included in Part 1,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its Chief Executive Officer and Chief Financial Officer, conducted an evaluation of the effectiveness of its disclosure controls and procedures as of June 30, 2025. Based upon that evaluation, the Company’s Chief Executive Officer and Chief Financial Officer have concluded that the Company’s disclosure controls and procedures were effective as of June 30, 2025,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second quarter of 2025 that has materially affected, or is reasonably likely to materially affect, the Company’s internal control over financial reporting.</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jc w:val="both"/>
        <w:rPr/>
      </w:pPr>
      <w:r>
        <w:rPr>
          <w:rFonts w:ascii="Times New Roman;serif" w:hAnsi="Times New Roman;serif"/>
          <w:b w:val="false"/>
          <w:color w:val="000000"/>
          <w:sz w:val="20"/>
        </w:rPr>
        <w:t xml:space="preserve">See Note 10.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 Item 1.</w:t>
      </w:r>
      <w:r>
        <w:rPr>
          <w:color w:val="000000"/>
        </w:rPr>
        <w:t xml:space="preserve"> </w:t>
      </w:r>
      <w:r>
        <w:rPr>
          <w:rFonts w:ascii="Times New Roman;serif" w:hAnsi="Times New Roman;serif"/>
          <w:b w:val="false"/>
          <w:i/>
          <w:color w:val="000000"/>
          <w:sz w:val="20"/>
        </w:rPr>
        <w:t>Financial Statements</w:t>
      </w:r>
      <w:r>
        <w:rPr>
          <w:rFonts w:ascii="Times New Roman;serif" w:hAnsi="Times New Roman;serif"/>
          <w:b w:val="false"/>
          <w:color w:val="000000"/>
          <w:sz w:val="20"/>
        </w:rPr>
        <w:t>, for a discussion of legal proceedings,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 director or Section 16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documents listed below that have been previously filed with the SEC (1934 Act File No. 001-35944) are incorporated herein by reference:</w:t>
      </w:r>
    </w:p>
    <w:tbl>
      <w:tblPr>
        <w:tblW w:w="10205" w:type="dxa"/>
        <w:jc w:val="center"/>
        <w:tblInd w:w="0" w:type="dxa"/>
        <w:tblLayout w:type="fixed"/>
        <w:tblCellMar>
          <w:top w:w="28" w:type="dxa"/>
          <w:left w:w="28" w:type="dxa"/>
          <w:bottom w:w="28" w:type="dxa"/>
          <w:right w:w="28" w:type="dxa"/>
        </w:tblCellMar>
      </w:tblPr>
      <w:tblGrid>
        <w:gridCol w:w="309"/>
        <w:gridCol w:w="272"/>
        <w:gridCol w:w="273"/>
        <w:gridCol w:w="109"/>
        <w:gridCol w:w="109"/>
        <w:gridCol w:w="109"/>
        <w:gridCol w:w="2149"/>
        <w:gridCol w:w="2029"/>
        <w:gridCol w:w="2037"/>
        <w:gridCol w:w="222"/>
        <w:gridCol w:w="209"/>
        <w:gridCol w:w="168"/>
        <w:gridCol w:w="225"/>
        <w:gridCol w:w="225"/>
        <w:gridCol w:w="226"/>
        <w:gridCol w:w="271"/>
        <w:gridCol w:w="265"/>
        <w:gridCol w:w="217"/>
        <w:gridCol w:w="248"/>
        <w:gridCol w:w="248"/>
        <w:gridCol w:w="28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Separation Agreement and Release, effective as of April 24, 2025, between the Company and Randall D. Lehner.</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04/30/2025</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certificatio.htm">
              <w:r>
                <w:rPr>
                  <w:rStyle w:val="InternetLink"/>
                  <w:rFonts w:ascii="Times New Roman;serif" w:hAnsi="Times New Roman;serif"/>
                  <w:b w:val="false"/>
                  <w:color w:val="0000FF"/>
                  <w:sz w:val="18"/>
                  <w:u w:val="single"/>
                </w:rPr>
                <w:t xml:space="preserve">Certification of Chief Executive Officer, as adopted pursuant to Section 302 of the Sarbanes-Oxley Act of 2002. </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certificatio.htm">
              <w:r>
                <w:rPr>
                  <w:rStyle w:val="InternetLink"/>
                  <w:rFonts w:ascii="Times New Roman;serif" w:hAnsi="Times New Roman;serif"/>
                  <w:b w:val="false"/>
                  <w:color w:val="0000FF"/>
                  <w:sz w:val="18"/>
                  <w:u w:val="single"/>
                </w:rPr>
                <w:t>Certification of Chief Financial Officer, as adopted pursuant to Section 302 of the Sarbanes-Oxley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ocertificatio.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 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focertificatio.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 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Definition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*Filed with this Report.</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8"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40"/>
        <w:jc w:val="both"/>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thereunto duly authorized, on the </w:t>
      </w:r>
      <w:r>
        <w:rPr>
          <w:rFonts w:ascii="Times New Roman;serif" w:hAnsi="Times New Roman;serif"/>
          <w:b w:val="false"/>
          <w:color w:val="000000"/>
          <w:sz w:val="20"/>
          <w:shd w:fill="FFFFFF" w:val="clear"/>
        </w:rPr>
        <w:t>7th day of August 2025</w:t>
      </w:r>
      <w:r>
        <w:rPr>
          <w:rFonts w:ascii="Times New Roman;serif" w:hAnsi="Times New Roman;serif"/>
          <w:b w:val="false"/>
          <w:color w:val="000000"/>
          <w:sz w:val="20"/>
        </w:rPr>
        <w:t>.</w:t>
      </w:r>
    </w:p>
    <w:tbl>
      <w:tblPr>
        <w:tblW w:w="706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28"/>
        <w:gridCol w:w="428"/>
        <w:gridCol w:w="428"/>
        <w:gridCol w:w="428"/>
        <w:gridCol w:w="1118"/>
        <w:gridCol w:w="1118"/>
        <w:gridCol w:w="15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POWER SOLUTIONS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Dino Xykis, certify that: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702"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89"/>
        <w:gridCol w:w="189"/>
        <w:gridCol w:w="191"/>
        <w:gridCol w:w="109"/>
        <w:gridCol w:w="109"/>
        <w:gridCol w:w="109"/>
        <w:gridCol w:w="534"/>
        <w:gridCol w:w="534"/>
        <w:gridCol w:w="762"/>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Dino Xykis</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Dino Xykis</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Xun Li,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85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89"/>
        <w:gridCol w:w="189"/>
        <w:gridCol w:w="191"/>
        <w:gridCol w:w="109"/>
        <w:gridCol w:w="109"/>
        <w:gridCol w:w="109"/>
        <w:gridCol w:w="523"/>
        <w:gridCol w:w="523"/>
        <w:gridCol w:w="7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2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June 30, 2025, as filed with the Securities and Exchange Commission on the date hereof (the “Report”), I, Dino Xykis, Chief Executive Officer of the Company, certify, pursuant to 18 U.S.C. 1350, as adopted pursuant to 906 of the Sarbanes-Oxley Act of 2002, that:</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4702"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89"/>
        <w:gridCol w:w="189"/>
        <w:gridCol w:w="191"/>
        <w:gridCol w:w="109"/>
        <w:gridCol w:w="109"/>
        <w:gridCol w:w="109"/>
        <w:gridCol w:w="534"/>
        <w:gridCol w:w="534"/>
        <w:gridCol w:w="762"/>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Dino Xykis</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Dino Xykis</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2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June 30, 2025, as filed with the Securities and Exchange Commission on the date hereof (the “Report”), I, Xun Li, Chief Financial Officer of the Company, certify, pursuant to 18 U.S.C. 1350, as adopted pursuant to 906 of the Sarbanes-Oxley Act of 2002, that:</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657"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89"/>
        <w:gridCol w:w="189"/>
        <w:gridCol w:w="191"/>
        <w:gridCol w:w="109"/>
        <w:gridCol w:w="109"/>
        <w:gridCol w:w="109"/>
        <w:gridCol w:w="523"/>
        <w:gridCol w:w="523"/>
        <w:gridCol w:w="739"/>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120" w:after="120"/>
        <w:jc w:val="both"/>
        <w:rPr/>
      </w:pPr>
      <w:r>
        <w:rPr/>
      </w:r>
    </w:p>
    <w:p>
      <w:pPr>
        <w:pStyle w:val="TextBody"/>
        <w:bidi w:val="0"/>
        <w:spacing w:before="1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37091/000119312525106337/d98452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18160</Words>
  <Characters>100040</Characters>
  <CharactersWithSpaces>116942</CharactersWithSpaces>
  <Paragraphs>2615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