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48590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3143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ind w:left="0" w:right="0" w:firstLine="450"/>
        <w:jc w:val="left"/>
        <w:rPr/>
      </w:pPr>
      <w:r>
        <w:rPr>
          <w:rFonts w:ascii="Times New Roman;sans-serif" w:hAnsi="Times New Roman;sans-serif"/>
          <w:b w:val="false"/>
          <w:color w:val="000000"/>
          <w:sz w:val="20"/>
        </w:rPr>
        <w:t>For the quarterly period ended March 31, 2024</w:t>
      </w: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________to________</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001-35944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POWER SOLUTIONS INTERNATIONAL,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88" w:type="dxa"/>
        <w:jc w:val="center"/>
        <w:tblInd w:w="0" w:type="dxa"/>
        <w:tblLayout w:type="fixed"/>
        <w:tblCellMar>
          <w:top w:w="28" w:type="dxa"/>
          <w:left w:w="28" w:type="dxa"/>
          <w:bottom w:w="28" w:type="dxa"/>
          <w:right w:w="28" w:type="dxa"/>
        </w:tblCellMar>
      </w:tblPr>
      <w:tblGrid>
        <w:gridCol w:w="1607"/>
        <w:gridCol w:w="1418"/>
        <w:gridCol w:w="1430"/>
        <w:gridCol w:w="519"/>
        <w:gridCol w:w="519"/>
        <w:gridCol w:w="521"/>
        <w:gridCol w:w="1070"/>
        <w:gridCol w:w="1070"/>
        <w:gridCol w:w="1534"/>
      </w:tblGrid>
      <w:tr>
        <w:trPr/>
        <w:tc>
          <w:tcPr>
            <w:tcW w:w="160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33-0963637</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4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201 Mittel Drive, Wood Dale, IL</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60191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(630) 350-9400</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12(g) of the Act:</w:t>
            </w:r>
          </w:p>
        </w:tc>
      </w:tr>
      <w:tr>
        <w:trPr/>
        <w:tc>
          <w:tcPr>
            <w:tcW w:w="9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45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60"/>
        <w:ind w:left="0" w:right="0" w:firstLine="450"/>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10"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April 30, 2024</w:t>
      </w:r>
      <w:r>
        <w:rPr>
          <w:rFonts w:ascii="Times New Roman;sans-serif" w:hAnsi="Times New Roman;sans-serif"/>
          <w:b w:val="false"/>
          <w:color w:val="000000"/>
          <w:sz w:val="20"/>
        </w:rPr>
        <w:t xml:space="preserve">, there were </w:t>
      </w:r>
      <w:r>
        <w:rPr>
          <w:rFonts w:ascii="Times New Roman;sans-serif" w:hAnsi="Times New Roman;sans-serif"/>
          <w:b w:val="false"/>
          <w:color w:val="000000"/>
          <w:sz w:val="20"/>
          <w:shd w:fill="FFFFFF" w:val="clear"/>
        </w:rPr>
        <w:t>22,969,234</w:t>
      </w:r>
      <w:r>
        <w:rPr>
          <w:color w:val="000000"/>
        </w:rPr>
        <w:t xml:space="preserve"> </w:t>
      </w:r>
      <w:r>
        <w:rPr>
          <w:rFonts w:ascii="Times New Roman;sans-serif" w:hAnsi="Times New Roman;sans-serif"/>
          <w:b w:val="false"/>
          <w:color w:val="000000"/>
          <w:sz w:val="20"/>
        </w:rPr>
        <w:t>outstanding shares of the Common Stock of the registrant.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0"/>
        <w:gridCol w:w="281"/>
        <w:gridCol w:w="281"/>
        <w:gridCol w:w="2674"/>
        <w:gridCol w:w="2674"/>
        <w:gridCol w:w="2681"/>
        <w:gridCol w:w="375"/>
        <w:gridCol w:w="375"/>
        <w:gridCol w:w="54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PART I – FINANCIAL INFORMATION</w:t>
            </w:r>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Forward-Looking Statements</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10">
              <w:r>
                <w:rPr>
                  <w:rStyle w:val="InternetLink"/>
                  <w:rFonts w:ascii="Times New Roman;sans-serif" w:hAnsi="Times New Roman;sans-serif"/>
                  <w:b w:val="false"/>
                  <w:color w:val="0000FF"/>
                  <w:sz w:val="18"/>
                  <w:u w:val="single"/>
                </w:rPr>
                <w:t>3</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Statements</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16">
              <w:r>
                <w:rPr>
                  <w:rStyle w:val="InternetLink"/>
                  <w:rFonts w:ascii="Times New Roman;sans-serif" w:hAnsi="Times New Roman;sans-serif"/>
                  <w:b w:val="false"/>
                  <w:color w:val="0000FF"/>
                  <w:sz w:val="18"/>
                  <w:u w:val="single"/>
                </w:rPr>
                <w:t>4</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Balance Sheets as of March 31, 2024 (Unaudited) and December 31, 2023</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19">
              <w:r>
                <w:rPr>
                  <w:rStyle w:val="InternetLink"/>
                  <w:rFonts w:ascii="Times New Roman;sans-serif" w:hAnsi="Times New Roman;sans-serif"/>
                  <w:b w:val="false"/>
                  <w:color w:val="0000FF"/>
                  <w:sz w:val="18"/>
                  <w:u w:val="single"/>
                </w:rPr>
                <w:t>4</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Income for the three months ended March 31, 2024 and 2023 (Unaudited)</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22">
              <w:r>
                <w:rPr>
                  <w:rStyle w:val="InternetLink"/>
                  <w:rFonts w:ascii="Times New Roman;sans-serif" w:hAnsi="Times New Roman;sans-serif"/>
                  <w:b w:val="false"/>
                  <w:color w:val="0000FF"/>
                  <w:sz w:val="18"/>
                  <w:u w:val="single"/>
                </w:rPr>
                <w:t>5</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Stockholders’ Equity (Deficit) for the three months ended March 31, 2024 and 2023 (Unaudited)</w:t>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28">
              <w:r>
                <w:rPr>
                  <w:rStyle w:val="InternetLink"/>
                  <w:rFonts w:ascii="Times New Roman;sans-serif" w:hAnsi="Times New Roman;sans-serif"/>
                  <w:b w:val="false"/>
                  <w:color w:val="0000FF"/>
                  <w:sz w:val="18"/>
                  <w:u w:val="single"/>
                </w:rPr>
                <w:t>6</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Cash Flows for the three months ended March 31, 2024 and 2023 (Unaudited)</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34">
              <w:r>
                <w:rPr>
                  <w:rStyle w:val="InternetLink"/>
                  <w:rFonts w:ascii="Times New Roman;sans-serif" w:hAnsi="Times New Roman;sans-serif"/>
                  <w:b w:val="false"/>
                  <w:color w:val="0000FF"/>
                  <w:sz w:val="18"/>
                  <w:u w:val="single"/>
                </w:rPr>
                <w:t>7</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 (Unaudited)</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37">
              <w:r>
                <w:rPr>
                  <w:rStyle w:val="InternetLink"/>
                  <w:rFonts w:ascii="Times New Roman;sans-serif" w:hAnsi="Times New Roman;sans-serif"/>
                  <w:b w:val="false"/>
                  <w:color w:val="0000FF"/>
                  <w:sz w:val="18"/>
                  <w:u w:val="single"/>
                </w:rPr>
                <w:t>8</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Management’s Discussion and Analysis of Financial Condition and Results of Operations</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109">
              <w:r>
                <w:rPr>
                  <w:rStyle w:val="InternetLink"/>
                  <w:rFonts w:ascii="Times New Roman;sans-serif" w:hAnsi="Times New Roman;sans-serif"/>
                  <w:b w:val="false"/>
                  <w:color w:val="0000FF"/>
                  <w:sz w:val="18"/>
                  <w:u w:val="single"/>
                </w:rPr>
                <w:t>24</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Quantitative and Qualitative Disclosures About Market Risk</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184">
              <w:r>
                <w:rPr>
                  <w:rStyle w:val="InternetLink"/>
                  <w:rFonts w:ascii="Times New Roman;sans-serif" w:hAnsi="Times New Roman;sans-serif"/>
                  <w:b w:val="false"/>
                  <w:color w:val="0000FF"/>
                  <w:sz w:val="18"/>
                  <w:u w:val="single"/>
                </w:rPr>
                <w:t>32</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Controls and Procedures</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187">
              <w:r>
                <w:rPr>
                  <w:rStyle w:val="InternetLink"/>
                  <w:rFonts w:ascii="Times New Roman;sans-serif" w:hAnsi="Times New Roman;sans-serif"/>
                  <w:b w:val="false"/>
                  <w:color w:val="0000FF"/>
                  <w:sz w:val="18"/>
                  <w:u w:val="single"/>
                </w:rPr>
                <w:t>33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PART II – OTHER INFORMATION</w:t>
            </w:r>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Proceedings</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193">
              <w:r>
                <w:rPr>
                  <w:rStyle w:val="InternetLink"/>
                  <w:rFonts w:ascii="Times New Roman;sans-serif" w:hAnsi="Times New Roman;sans-serif"/>
                  <w:b w:val="false"/>
                  <w:color w:val="0000FF"/>
                  <w:sz w:val="18"/>
                  <w:u w:val="single"/>
                </w:rPr>
                <w:t>34</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 Factors</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196">
              <w:r>
                <w:rPr>
                  <w:rStyle w:val="InternetLink"/>
                  <w:rFonts w:ascii="Times New Roman;sans-serif" w:hAnsi="Times New Roman;sans-serif"/>
                  <w:b w:val="false"/>
                  <w:color w:val="0000FF"/>
                  <w:sz w:val="18"/>
                  <w:u w:val="single"/>
                </w:rPr>
                <w:t>34</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Unregistered Sales of Equity Securities and Use of Proceeds</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199">
              <w:r>
                <w:rPr>
                  <w:rStyle w:val="InternetLink"/>
                  <w:rFonts w:ascii="Times New Roman;sans-serif" w:hAnsi="Times New Roman;sans-serif"/>
                  <w:b w:val="false"/>
                  <w:color w:val="0000FF"/>
                  <w:sz w:val="18"/>
                  <w:u w:val="single"/>
                </w:rPr>
                <w:t>34</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Defaults Upon Senior Securities</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202">
              <w:r>
                <w:rPr>
                  <w:rStyle w:val="InternetLink"/>
                  <w:rFonts w:ascii="Times New Roman;sans-serif" w:hAnsi="Times New Roman;sans-serif"/>
                  <w:b w:val="false"/>
                  <w:color w:val="0000FF"/>
                  <w:sz w:val="18"/>
                  <w:u w:val="single"/>
                </w:rPr>
                <w:t>34</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Mine Safety Disclosures</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205">
              <w:r>
                <w:rPr>
                  <w:rStyle w:val="InternetLink"/>
                  <w:rFonts w:ascii="Times New Roman;sans-serif" w:hAnsi="Times New Roman;sans-serif"/>
                  <w:b w:val="false"/>
                  <w:color w:val="0000FF"/>
                  <w:sz w:val="18"/>
                  <w:u w:val="single"/>
                </w:rPr>
                <w:t>34</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Information</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208">
              <w:r>
                <w:rPr>
                  <w:rStyle w:val="InternetLink"/>
                  <w:rFonts w:ascii="Times New Roman;sans-serif" w:hAnsi="Times New Roman;sans-serif"/>
                  <w:b w:val="false"/>
                  <w:color w:val="0000FF"/>
                  <w:sz w:val="18"/>
                  <w:u w:val="single"/>
                </w:rPr>
                <w:t>34</w:t>
              </w:r>
            </w:hyperlink>
          </w:p>
        </w:tc>
      </w:tr>
      <w:tr>
        <w:trPr/>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Exhibits</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211">
              <w:r>
                <w:rPr>
                  <w:rStyle w:val="InternetLink"/>
                  <w:rFonts w:ascii="Times New Roman;sans-serif" w:hAnsi="Times New Roman;sans-serif"/>
                  <w:b w:val="false"/>
                  <w:color w:val="0000FF"/>
                  <w:sz w:val="18"/>
                  <w:u w:val="single"/>
                </w:rPr>
                <w:t>35</w:t>
              </w:r>
            </w:hyperlink>
          </w:p>
        </w:tc>
      </w:tr>
      <w:tr>
        <w:trPr/>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Signatures</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50bc7cbf7c348ce8ab09207a32b6eb9_214">
              <w:r>
                <w:rPr>
                  <w:rStyle w:val="InternetLink"/>
                  <w:rFonts w:ascii="Times New Roman;sans-serif" w:hAnsi="Times New Roman;sans-serif"/>
                  <w:b w:val="false"/>
                  <w:color w:val="0000FF"/>
                  <w:sz w:val="18"/>
                  <w:u w:val="single"/>
                </w:rPr>
                <w:t>35</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statements contained in this Quarterly Report on Form 10-Q for the three months ended March 31, 2024, (the “Quarterly Report”) that are not historical facts are intended to constitute “forward-looking statements”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Power Solutions International, Inc.’s, a Delaware corporation (“Power Solutions,” “PSI” or the “Company”), projected sales, potential profitability and liquidity, strategic initiatives, future business strategies, warranty mitigation efforts and market opportunities, improvements in its business, improvement of product margins, and product market conditions and trends. These statements are not guarantees of performance or results, and they involve risks, uncertainties and assumptions. Although the Company believes that these forward-looking statements are based on reasonable assumptions, there are many factors that could affect the Company’s results of operations and liquidity and could cause actual results, performance or achievements to differ materially from those expressed in, or implied by, the Company’s forward-looking statements.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Company cautions that the risks, uncertainties and other factors that could cause its actual results to differ materially from those expressed in, or implied by, the forward-looking statements include, without limitation, the factors discussed in the Company’s Annual Report on Form 10-K for the year ended December 31, 2023, and from time to time in the Company’s subsequent filings with the United States Securities and Exchange Commission (the “SEC”); the impact of the macro-economic environment in both the U.S. and internationally on our business and expectations regarding growth of the industry; uncertainties arising from global events (including the Russia-Ukraine and Israel-Hamas conflicts), natural disasters or pandemics, and their impact on material prices; the effects of strategic investments on our operations, including our efforts to expand our global market share and actions taken to increase sales growth; the ability to develop and successfully launch new products; labor costs and other employment-related costs; loss of suppliers and disruptions in the supply of raw materials; the Company’s ability to continue as a going concern; the Company’s ability to raise additional capital when needed and its liquidity; uncertainties around the Company’s ability to meet funding conditions under its financing arrangements and access to capital thereunder; the potential acceleration of the maturity at any time of the loans under the Company’s uncommitted senior secured revolving credit facility through the exercise by Standard Chartered Bank of its demand right; the impact of rising interest rates; changes in economic conditions, including inflationary trends in the price of raw materials; our reliance on information technology and the associated risk involving potential security lapses and/or cyber-attacks; the ability of the Company to accurately forecast sales, and the extent to which sales result in recorded revenues; changes in customer demand for the Company’s products; volatility in oil and gas prices; the impact of U.S. tariffs on imports; the impact of supply chain interruptions and raw material shortages, including compliance disruptions such as the Uyghur Forced Labor Prevention Act (the “UFLPA”) delaying goods from China; the potential impact of higher warranty costs and the Company’s ability to mitigate such costs; any delays and challenges in recruiting and retaining key employees consistent with the Company’s plans; the potential effects of damage to our reputation or other adverse consequences if our employees, suppliers, sub-suppliers or other contract parties, agents or business partners violate anti-bribery, competition, export and import, trade sanctions, data privacy, environmental, human rights or other laws; any negative impacts from delisting of the Company’s common stock par value $0.001 (the “Common Stock”) from the NASDAQ Stock Market (“NASDAQ”) and any delays and challenges in obtaining a re-listing on a stock exchange; the impact of unanticipated changes in our effective tax rate, the adoption of new tax legislation or exposure to additional income tax liabilities.</w:t>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Company is subject to the reporting and information requirements of the Exchange Act, and as a result, it is obligated to file annual, quarterly and current reports on Form 8-K, proxy and information statements and other information with the SEC. The Company makes these filings available free of charge on its website (http://www.psiengines.com) as soon as reasonably practicable after it electronically files them with, or furnishes them to, the SEC. Information on the Company’s website does not constitute part of this Quarterly Report. In addition, the SEC maintains a website (http://www.sec.gov) that contains the annual, quarterly and current reports on Form 8-K, proxy and information statements, and other information the Company electronically files with, or furnishes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POWER SOLUTIONS INTERNATIONAL, INC.</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699"/>
        <w:gridCol w:w="1906"/>
        <w:gridCol w:w="1913"/>
        <w:gridCol w:w="109"/>
        <w:gridCol w:w="109"/>
        <w:gridCol w:w="109"/>
        <w:gridCol w:w="304"/>
        <w:gridCol w:w="1142"/>
        <w:gridCol w:w="168"/>
        <w:gridCol w:w="109"/>
        <w:gridCol w:w="109"/>
        <w:gridCol w:w="109"/>
        <w:gridCol w:w="255"/>
        <w:gridCol w:w="960"/>
        <w:gridCol w:w="204"/>
      </w:tblGrid>
      <w:tr>
        <w:trPr/>
        <w:tc>
          <w:tcPr>
            <w:tcW w:w="269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6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par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$5,476 and $5,975 as of March 31, 2024 and December 31, 2023, respectively; (from related parties $733 and $777 as of March 31,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66,979 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84,947 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209,069 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205,382 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14,928 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286,803 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284,303 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Accounts payable (to related parties $27,626 and </w:t>
            </w:r>
            <w:r>
              <w:rPr>
                <w:rFonts w:ascii="Times New Roman;sans-serif" w:hAnsi="Times New Roman;sans-serif"/>
                <w:b w:val="false"/>
                <w:color w:val="000000"/>
                <w:sz w:val="18"/>
                <w:shd w:fill="CCEEFF" w:val="clear"/>
              </w:rPr>
              <w:t>$24,496</w:t>
            </w:r>
            <w:r>
              <w:rPr>
                <w:color w:val="000000"/>
              </w:rPr>
              <w:t xml:space="preserve"> </w:t>
            </w:r>
            <w:r>
              <w:rPr>
                <w:rFonts w:ascii="Times New Roman;sans-serif" w:hAnsi="Times New Roman;sans-serif"/>
                <w:b w:val="false"/>
                <w:color w:val="000000"/>
                <w:sz w:val="18"/>
              </w:rPr>
              <w:t>as of March 31,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67,355 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short-term financing (from related parties $94,820 as of both March 31, 2024 and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accrued liabilities (to related parties </w:t>
            </w:r>
            <w:r>
              <w:rPr>
                <w:rFonts w:ascii="Times New Roman;sans-serif" w:hAnsi="Times New Roman;sans-serif"/>
                <w:b w:val="false"/>
                <w:color w:val="000000"/>
                <w:sz w:val="18"/>
                <w:shd w:fill="CCEEFF" w:val="clear"/>
              </w:rPr>
              <w:t>$2,222</w:t>
            </w:r>
            <w:r>
              <w:rPr>
                <w:color w:val="000000"/>
              </w:rPr>
              <w:t xml:space="preserve"> </w:t>
            </w:r>
            <w:r>
              <w:rPr>
                <w:rFonts w:ascii="Times New Roman;sans-serif" w:hAnsi="Times New Roman;sans-serif"/>
                <w:b w:val="false"/>
                <w:color w:val="000000"/>
                <w:sz w:val="18"/>
              </w:rPr>
              <w:t>and $1,833 as of March 31,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245,751 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248,301 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283,579 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288,220 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6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6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6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 $0.001 par value. Shares authorized: 5,000. No shares issued and outstanding at all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 $0.001 par value; 50,000 shares authorized; 23,117 shares issued; 22,968 shares outstanding at both March 31, 2024 and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157,770 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(153,675)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(160,790)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Treasury stock, at cost, </w:t>
            </w:r>
            <w:r>
              <w:rPr>
                <w:rFonts w:ascii="Times New Roman;sans-serif" w:hAnsi="Times New Roman;sans-serif"/>
                <w:b w:val="false"/>
                <w:color w:val="000000"/>
                <w:sz w:val="18"/>
                <w:shd w:fill="FFFFFF" w:val="clear"/>
              </w:rPr>
              <w:t xml:space="preserve">149 </w:t>
            </w:r>
            <w:r>
              <w:rPr>
                <w:rFonts w:ascii="Times New Roman;sans-serif" w:hAnsi="Times New Roman;sans-serif"/>
                <w:b w:val="false"/>
                <w:color w:val="000000"/>
                <w:sz w:val="18"/>
              </w:rPr>
              <w:t>shares at both March 31, 2024 and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(3,917)</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286,803 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284,303 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POWER SOLUTIONS INTERNATIONAL, INC.</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06"/>
        <w:gridCol w:w="2139"/>
        <w:gridCol w:w="2148"/>
        <w:gridCol w:w="109"/>
        <w:gridCol w:w="109"/>
        <w:gridCol w:w="109"/>
        <w:gridCol w:w="247"/>
        <w:gridCol w:w="816"/>
        <w:gridCol w:w="137"/>
        <w:gridCol w:w="137"/>
        <w:gridCol w:w="137"/>
        <w:gridCol w:w="137"/>
        <w:gridCol w:w="247"/>
        <w:gridCol w:w="929"/>
        <w:gridCol w:w="198"/>
      </w:tblGrid>
      <w:tr>
        <w:trPr/>
        <w:tc>
          <w:tcPr>
            <w:tcW w:w="2606"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6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6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sales</w:t>
            </w:r>
          </w:p>
          <w:p>
            <w:pPr>
              <w:pStyle w:val="TableContents"/>
              <w:bidi w:val="0"/>
              <w:spacing w:lineRule="auto" w:line="240" w:before="0" w:after="0"/>
              <w:jc w:val="left"/>
              <w:rPr/>
            </w:pPr>
            <w:r>
              <w:rPr>
                <w:rFonts w:ascii="Times New Roman;sans-serif" w:hAnsi="Times New Roman;sans-serif"/>
                <w:b w:val="false"/>
                <w:color w:val="000000"/>
                <w:sz w:val="18"/>
              </w:rPr>
              <w:t xml:space="preserve">(from related parties </w:t>
            </w:r>
            <w:r>
              <w:rPr>
                <w:rFonts w:ascii="Times New Roman;sans-serif" w:hAnsi="Times New Roman;sans-serif"/>
                <w:b w:val="false"/>
                <w:color w:val="000000"/>
                <w:sz w:val="18"/>
                <w:shd w:fill="CCEEFF" w:val="clear"/>
              </w:rPr>
              <w:t>$197</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18"/>
                <w:shd w:fill="CCEEFF" w:val="clear"/>
              </w:rPr>
              <w:t>$1,097</w:t>
            </w:r>
            <w:r>
              <w:rPr>
                <w:color w:val="000000"/>
              </w:rPr>
              <w:t xml:space="preserve"> </w:t>
            </w:r>
            <w:r>
              <w:rPr>
                <w:rFonts w:ascii="Times New Roman;sans-serif" w:hAnsi="Times New Roman;sans-serif"/>
                <w:b w:val="false"/>
                <w:color w:val="000000"/>
                <w:sz w:val="18"/>
              </w:rPr>
              <w:t>for the three months ended March 31,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116,469 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p>
            <w:pPr>
              <w:pStyle w:val="TableContents"/>
              <w:bidi w:val="0"/>
              <w:spacing w:lineRule="auto" w:line="240" w:before="0" w:after="0"/>
              <w:jc w:val="left"/>
              <w:rPr/>
            </w:pPr>
            <w:r>
              <w:rPr>
                <w:rFonts w:ascii="Times New Roman;sans-serif" w:hAnsi="Times New Roman;sans-serif"/>
                <w:b w:val="false"/>
                <w:color w:val="000000"/>
                <w:sz w:val="18"/>
              </w:rPr>
              <w:t xml:space="preserve">(from related parties </w:t>
            </w:r>
            <w:r>
              <w:rPr>
                <w:rFonts w:ascii="Times New Roman;sans-serif" w:hAnsi="Times New Roman;sans-serif"/>
                <w:b w:val="false"/>
                <w:color w:val="000000"/>
                <w:sz w:val="18"/>
                <w:shd w:fill="FFFFFF" w:val="clear"/>
              </w:rPr>
              <w:t>$153</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18"/>
                <w:shd w:fill="FFFFFF" w:val="clear"/>
              </w:rPr>
              <w:t>$825</w:t>
            </w:r>
            <w:r>
              <w:rPr>
                <w:color w:val="000000"/>
              </w:rPr>
              <w:t xml:space="preserve"> </w:t>
            </w:r>
            <w:r>
              <w:rPr>
                <w:rFonts w:ascii="Times New Roman;sans-serif" w:hAnsi="Times New Roman;sans-serif"/>
                <w:b w:val="false"/>
                <w:color w:val="000000"/>
                <w:sz w:val="18"/>
              </w:rPr>
              <w:t>for the three months ended March 31,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14,945 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Interest expense (from related parties </w:t>
            </w:r>
            <w:r>
              <w:rPr>
                <w:rFonts w:ascii="Times New Roman;sans-serif" w:hAnsi="Times New Roman;sans-serif"/>
                <w:b w:val="false"/>
                <w:color w:val="000000"/>
                <w:sz w:val="18"/>
                <w:shd w:fill="FFFFFF" w:val="clear"/>
              </w:rPr>
              <w:t>$2,222</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18"/>
                <w:shd w:fill="FFFFFF" w:val="clear"/>
              </w:rPr>
              <w:t>$1,816</w:t>
            </w:r>
            <w:r>
              <w:rPr>
                <w:color w:val="000000"/>
              </w:rPr>
              <w:t xml:space="preserve"> </w:t>
            </w:r>
            <w:r>
              <w:rPr>
                <w:rFonts w:ascii="Times New Roman;sans-serif" w:hAnsi="Times New Roman;sans-serif"/>
                <w:b w:val="false"/>
                <w:color w:val="000000"/>
                <w:sz w:val="18"/>
              </w:rPr>
              <w:t>for the three months ended March 31,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POWER SOLUTIONS INTERNATIONAL, INC.</w:t>
      </w:r>
    </w:p>
    <w:p>
      <w:pPr>
        <w:pStyle w:val="TextBody"/>
        <w:bidi w:val="0"/>
        <w:spacing w:lineRule="auto" w:line="288" w:before="60" w:after="60"/>
        <w:jc w:val="center"/>
        <w:rPr/>
      </w:pPr>
      <w:r>
        <w:rPr>
          <w:rFonts w:ascii="Times New Roman;sans-serif" w:hAnsi="Times New Roman;sans-serif"/>
          <w:b/>
          <w:color w:val="000000"/>
          <w:sz w:val="20"/>
        </w:rPr>
        <w:t xml:space="preserve">CONDENSED CONSOLIDATED STATEMENTS OF </w:t>
      </w:r>
      <w:r>
        <w:rPr>
          <w:rFonts w:ascii="Times New Roman;sans-serif" w:hAnsi="Times New Roman;sans-serif"/>
          <w:b/>
          <w:color w:val="000000"/>
          <w:sz w:val="20"/>
          <w:shd w:fill="FFFFFF" w:val="clear"/>
        </w:rPr>
        <w:t>STOCKHOLDERS’ EQUITY (DEFICIT)</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60" w:after="60"/>
        <w:jc w:val="center"/>
        <w:rPr/>
      </w:pPr>
      <w:r>
        <w:rPr/>
      </w:r>
    </w:p>
    <w:tbl>
      <w:tblPr>
        <w:tblW w:w="10205" w:type="dxa"/>
        <w:jc w:val="left"/>
        <w:tblInd w:w="0" w:type="dxa"/>
        <w:tblLayout w:type="fixed"/>
        <w:tblCellMar>
          <w:top w:w="28" w:type="dxa"/>
          <w:left w:w="28" w:type="dxa"/>
          <w:bottom w:w="28" w:type="dxa"/>
          <w:right w:w="28" w:type="dxa"/>
        </w:tblCellMar>
      </w:tblPr>
      <w:tblGrid>
        <w:gridCol w:w="723"/>
        <w:gridCol w:w="508"/>
        <w:gridCol w:w="509"/>
        <w:gridCol w:w="109"/>
        <w:gridCol w:w="109"/>
        <w:gridCol w:w="109"/>
        <w:gridCol w:w="316"/>
        <w:gridCol w:w="534"/>
        <w:gridCol w:w="178"/>
        <w:gridCol w:w="109"/>
        <w:gridCol w:w="109"/>
        <w:gridCol w:w="109"/>
        <w:gridCol w:w="283"/>
        <w:gridCol w:w="1066"/>
        <w:gridCol w:w="157"/>
        <w:gridCol w:w="109"/>
        <w:gridCol w:w="109"/>
        <w:gridCol w:w="109"/>
        <w:gridCol w:w="248"/>
        <w:gridCol w:w="963"/>
        <w:gridCol w:w="140"/>
        <w:gridCol w:w="109"/>
        <w:gridCol w:w="109"/>
        <w:gridCol w:w="109"/>
        <w:gridCol w:w="263"/>
        <w:gridCol w:w="601"/>
        <w:gridCol w:w="147"/>
        <w:gridCol w:w="109"/>
        <w:gridCol w:w="109"/>
        <w:gridCol w:w="109"/>
        <w:gridCol w:w="371"/>
        <w:gridCol w:w="1259"/>
        <w:gridCol w:w="304"/>
      </w:tblGrid>
      <w:tr>
        <w:trPr/>
        <w:tc>
          <w:tcPr>
            <w:tcW w:w="7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(160,790)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(3,917)</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(153,675)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3,224 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(187,096)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(30,372)</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157,742 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(183,372)</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(26,579)</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6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POWER SOLUTIONS INTERNATIONAL, INC.</w:t>
      </w:r>
    </w:p>
    <w:p>
      <w:pPr>
        <w:pStyle w:val="TextBody"/>
        <w:bidi w:val="0"/>
        <w:spacing w:lineRule="auto" w:line="288" w:before="60" w:after="6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CASH FLOWS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338" w:type="dxa"/>
        <w:jc w:val="center"/>
        <w:tblInd w:w="0" w:type="dxa"/>
        <w:tblLayout w:type="fixed"/>
        <w:tblCellMar>
          <w:top w:w="28" w:type="dxa"/>
          <w:left w:w="28" w:type="dxa"/>
          <w:bottom w:w="28" w:type="dxa"/>
          <w:right w:w="28" w:type="dxa"/>
        </w:tblCellMar>
      </w:tblPr>
      <w:tblGrid>
        <w:gridCol w:w="2095"/>
        <w:gridCol w:w="1844"/>
        <w:gridCol w:w="1850"/>
        <w:gridCol w:w="109"/>
        <w:gridCol w:w="109"/>
        <w:gridCol w:w="109"/>
        <w:gridCol w:w="278"/>
        <w:gridCol w:w="916"/>
        <w:gridCol w:w="154"/>
        <w:gridCol w:w="154"/>
        <w:gridCol w:w="154"/>
        <w:gridCol w:w="154"/>
        <w:gridCol w:w="278"/>
        <w:gridCol w:w="916"/>
        <w:gridCol w:w="218"/>
      </w:tblGrid>
      <w:tr>
        <w:trPr/>
        <w:tc>
          <w:tcPr>
            <w:tcW w:w="209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provision for losses in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in allowance for inventory obsolescence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right-of-use assets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long-term debt and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short-term financings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11" w:type="dxa"/>
        <w:jc w:val="center"/>
        <w:tblInd w:w="0" w:type="dxa"/>
        <w:tblLayout w:type="fixed"/>
        <w:tblCellMar>
          <w:top w:w="28" w:type="dxa"/>
          <w:left w:w="28" w:type="dxa"/>
          <w:bottom w:w="28" w:type="dxa"/>
          <w:right w:w="28" w:type="dxa"/>
        </w:tblCellMar>
      </w:tblPr>
      <w:tblGrid>
        <w:gridCol w:w="2678"/>
        <w:gridCol w:w="2357"/>
        <w:gridCol w:w="2375"/>
        <w:gridCol w:w="109"/>
        <w:gridCol w:w="109"/>
        <w:gridCol w:w="109"/>
        <w:gridCol w:w="196"/>
        <w:gridCol w:w="646"/>
        <w:gridCol w:w="109"/>
        <w:gridCol w:w="109"/>
        <w:gridCol w:w="109"/>
        <w:gridCol w:w="109"/>
        <w:gridCol w:w="196"/>
        <w:gridCol w:w="646"/>
        <w:gridCol w:w="154"/>
      </w:tblGrid>
      <w:tr>
        <w:trPr/>
        <w:tc>
          <w:tcPr>
            <w:tcW w:w="2678"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r>
      <w:tr>
        <w:trPr/>
        <w:tc>
          <w:tcPr>
            <w:tcW w:w="7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to the Consolidated Balance Sheets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SOLUTIONS INTERNATIONAL,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1.    Summary of Significant Accounting Policies and Other Information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Nature of Business Operations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Solutions International, Inc. (“Power Solutions,” “PSI” or the “Company”), a Delaware corporation, is a global producer and distributor of a broad range of high-performance, certified, low-emission power systems, including alternative-fueled power systems for original equipment manufacturers (“OEMs”) of off-highway industrial equipment and certain on-road vehicles and large custom-engineered integrated electrical power generation systems.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customers include large, industry-leading and multinational organizations. The Company’s products and services are sold predominantly to customers throughout North America as well as to customers located throughout the Pacific Rim and Europe. The Company’s power systems are highly engineered, comprehensive systems which, through the Company’s technologically sophisticated development and manufacturing processes, including its in-house design, prototyping, testing and engineering capabilities and its analysis and determination of the specific components to be integrated into a given power system (driven in large part by emission standards and cost considerations), allow the Company to provide its customers with power systems customized to meet specific OEM application requirements, other technical customers’ specifications and requirements imposed by environmental regulatory bodies.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power system configurations range from a basic engine integrated with appropriate fuel system components to completely packaged power systems that include any combination of cooling systems, electronic systems, air intake systems, fuel systems, housings, power takeoff systems, exhaust systems, hydraulic systems, enclosures, brackets, hoses, tubes and other assembled componentry. The Company also designs and manufactures large, custom-engineered integrated electrical power generation systems for both standby and prime power applications. The Company purchases engines from third-party suppliers and produces internally designed engines, all of which are then integrated into its power systems.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Of the other components that the Company integrates into its power systems, a substantial portion consist of internally designed components and components for which it coordinates significant design efforts with third-party suppliers, with the remainder consisting largely of parts that are sourced off-the-shelf from third-party suppliers. Some of the key components (including purchased engines) embody proprietary intellectual property of the Company’s suppliers. As a result of its design and manufacturing capabilities, the Company is able to provide its customers with a power system that can be incorporated into a customer’s specified application. In addition to the certified products described above, the Company sells diesel, gasoline and non-certified power systems and aftermarket components.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Stock Ownership and Control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Weichai America Corp., a wholly-owned subsidiary of Weichai Power Co., Ltd. (HK2338, SZ000338) (herein collectively referred to as “Weichai”) owns a majority of the outstanding shares of the Company’s Common Stock. As a result, Weichai is able to exercise control over matters requiring stockholders’ approval, including the election of directors, amendment of the Company’s Certificate of Incorporation (the “Charter”) and approval of significant corporate transactions. This control could have the effect of delaying or preventing a change of control of the Company or changes in management and will make the approval of certain transactions impractical without the support of Weichai.</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Weichai also entered into an Investor Rights Agreement (the “Rights Agreement”) with the Company upon execution of the Share Purchase Agreement (the “SPA”) by and between the Company and Weichai. The Rights Agreement provides Weichai with representation on the Company’s Board of Directors (the “Board”) and management representation rights. Weichai currently has four representatives on the Board, which constitutes the majority of the directors serving on the Board. According to the Rights Agreement, during any period when the Company is a “controlled company” within the meaning of the NASDAQ Stock Market (“NASDAQ”) Listing Rules, it will take such measures as to avail itself of the “controlled company” exemptions available under Rule 5615 of the NASDAQ Listing Rules of Rules 5605(b), (d) and (e). </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Going Concern Considerations</w:t>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Uncertainties exist about the Company’s ability to refinance, extend, or repay its outstanding indebtedness, maintain sufficient liquidity to fund its business activities, and maintain compliance with the covenants and other requirements under the Company’s debt arrangements. As of March 31, 2024 and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Company’s total outstanding debt obligations under the Fourth Amended and Restated Uncommitted Revolving </w:t>
      </w:r>
      <w:r>
        <w:rPr>
          <w:rFonts w:ascii="Times New Roman;sans-serif" w:hAnsi="Times New Roman;sans-serif"/>
          <w:b w:val="false"/>
          <w:color w:val="000000"/>
          <w:sz w:val="20"/>
        </w:rPr>
        <w:t>Credit Agreement (the “Credit Agreement”)</w:t>
      </w:r>
      <w:r>
        <w:rPr>
          <w:rFonts w:ascii="Times New Roman;sans-serif" w:hAnsi="Times New Roman;sans-serif"/>
          <w:b w:val="false"/>
          <w:color w:val="000000"/>
          <w:sz w:val="20"/>
          <w:shd w:fill="FFFFFF" w:val="clear"/>
        </w:rPr>
        <w:t xml:space="preserve">, its </w:t>
      </w:r>
      <w:r>
        <w:rPr>
          <w:rFonts w:ascii="Times New Roman;sans-serif" w:hAnsi="Times New Roman;sans-serif"/>
          <w:b w:val="false"/>
          <w:color w:val="000000"/>
          <w:sz w:val="20"/>
        </w:rPr>
        <w:t>$25 Million Second Amended Shareholder’s Loan Agreement (“$25 Million Loan Agreement” historically referred to as the second Amended Shareholder’s Loan Agreement)</w:t>
      </w:r>
      <w:r>
        <w:rPr>
          <w:rFonts w:ascii="Times New Roman;sans-serif" w:hAnsi="Times New Roman;sans-serif"/>
          <w:b w:val="false"/>
          <w:color w:val="000000"/>
          <w:sz w:val="20"/>
          <w:shd w:fill="FFFFFF" w:val="clear"/>
        </w:rPr>
        <w:t xml:space="preserve">, its </w:t>
      </w:r>
      <w:r>
        <w:rPr>
          <w:rFonts w:ascii="Times New Roman;sans-serif" w:hAnsi="Times New Roman;sans-serif"/>
          <w:b w:val="false"/>
          <w:color w:val="000000"/>
          <w:sz w:val="20"/>
        </w:rPr>
        <w:t>$50 Million Second Amended Shareholder’s Loan Agreement (“$50 Million Loan Agreement” historically referred to as the third Amended Shareholder’s Loan Agreement)</w:t>
      </w:r>
      <w:r>
        <w:rPr>
          <w:rFonts w:ascii="Times New Roman;sans-serif" w:hAnsi="Times New Roman;sans-serif"/>
          <w:b w:val="false"/>
          <w:color w:val="000000"/>
          <w:sz w:val="20"/>
          <w:shd w:fill="FFFFFF" w:val="clear"/>
        </w:rPr>
        <w:t xml:space="preserve">, its </w:t>
      </w:r>
      <w:r>
        <w:rPr>
          <w:rFonts w:ascii="Times New Roman;sans-serif" w:hAnsi="Times New Roman;sans-serif"/>
          <w:b w:val="false"/>
          <w:color w:val="000000"/>
          <w:sz w:val="20"/>
        </w:rPr>
        <w:t xml:space="preserve">$30 Million Second Amended Shareholder’s Loan Agreement (“$30 Million Loan Agreement” historically referred to as the fourth Amended Shareholder’s Loan Agreement) </w:t>
      </w:r>
      <w:r>
        <w:rPr>
          <w:rFonts w:ascii="Times New Roman;sans-serif" w:hAnsi="Times New Roman;sans-serif"/>
          <w:b w:val="false"/>
          <w:color w:val="000000"/>
          <w:sz w:val="20"/>
          <w:shd w:fill="FFFFFF" w:val="clear"/>
        </w:rPr>
        <w:t xml:space="preserve">and for finance leases and other debt were $140.2 million and $145.2 million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120" w:after="12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aggregate, respectively, and its cash and cash equivalents were $33.1 million and $22.8 million, respectively. See </w:t>
      </w:r>
      <w:r>
        <w:rPr>
          <w:rFonts w:ascii="Times New Roman;sans-serif" w:hAnsi="Times New Roman;sans-serif"/>
          <w:b w:val="false"/>
          <w:color w:val="000000"/>
          <w:sz w:val="20"/>
        </w:rPr>
        <w:t>Note 6.</w:t>
      </w:r>
      <w:r>
        <w:rPr>
          <w:color w:val="000000"/>
          <w:shd w:fill="FFFFFF" w:val="clear"/>
        </w:rPr>
        <w:t xml:space="preserve"> </w:t>
      </w:r>
      <w:r>
        <w:rPr>
          <w:rFonts w:ascii="Times New Roman;sans-serif" w:hAnsi="Times New Roman;sans-serif"/>
          <w:b w:val="false"/>
          <w:i/>
          <w:color w:val="000000"/>
          <w:sz w:val="20"/>
        </w:rPr>
        <w:t>Debt</w:t>
      </w:r>
      <w:r>
        <w:rPr>
          <w:rFonts w:ascii="Times New Roman;sans-serif" w:hAnsi="Times New Roman;sans-serif"/>
          <w:b w:val="false"/>
          <w:color w:val="000000"/>
          <w:sz w:val="20"/>
          <w:shd w:fill="FFFFFF" w:val="clear"/>
        </w:rPr>
        <w:t xml:space="preserve">, for further information regarding the terms and conditions of the Company’s debt agreements. </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Without additional financing, the Company anticipates that it will not have sufficient cash and cash equivalents to repay amounts owed under its existing debt arrangements as they become due. In order to provide the Company with a more permanent source of liquidity, management plans to seek an extension and amendment and/or replacement of its existing debt agreements or seek additional liquidity from its current or other lenders before the maturity dates in 2024 and 2025. There can be no assurance that the Company’s management will be able to successfully complete an extension and amendment of its existing debt agreements or obtain new financing on acceptable terms, when required or if at all. These consolidated financial statements do not include any adjustments that might result from the outcome of the Company’s efforts to address these issues.</w:t>
      </w:r>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the Company cannot raise capital on acceptable terms, it may not, among other things, be able to do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continue to expand the Company’s research and product investments and sales and marketing organization;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continue to fund and expand operations both organically and through acquisitions;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respond to competitive pressures or unanticipated working capital requirements.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Macroeconomic volatility and uncertainties further increase the potential for continued supply chain disruptions, economic uncertainty, and unfavorable oil and gas market dynamics which may continue to have a material adverse impact on the results of operations, financial position and liquidity of the Company.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Lastly, national inflationary pressures have continued to cause interest rates to remain elevated. Although the Company’s interest expense has decreased because of reduced debt balances, it may be subject to future increases from these inflationary pressures. Accordingly, the above challenges may continue to have a material adverse impact on the Company’s future results of operations, financial position, and liquidity.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concluded that, due to uncertainties surrounding the Company’s future ability to refinance, extend and amend, or repay its outstanding indebtedness under its existing debt arrangements, maintain sufficient liquidity to fund its business activities, and maintain compliance with the covenants and other requirements under the Credit Agreement and other outstanding debt, in the future, substantial doubt exists as to its ability to continue as a going concern within one year after the date that these financial statements are issued. The Company’s plans to alleviate the substantial doubt about its ability to continue as a going concern may not be successful, and it may be forced to limit its business activities or be unable to continue as a going concern, which would have a material adverse effect on its results of operations and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included herein have been prepared assuming that the Company will continue as a going concern and contemplating the realization of assets and the satisfaction of liabilities and commitments in the normal course of business. The Company’s ability to continue as a going concern is dependent on generating profitable operating results, having sufficient liquidity, maintaining compliance with the covenants and other requirements under the Credit Agreement and other outstanding debt, in the future, and extending and amending, refinancing or repaying the indebtedness outstanding under the Company’s existing debt arrangements.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Basis of Presentation and Consolidation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filing this Form 10-Q for the quarterly period ended March 31, 2024, which contains unaudited condensed consolidated financial statements as of March 31, 2024 and for the three months ended March 31, 2024 and 2023.</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Power Solutions International, Inc. and its wholly-owned subsidiaries and majority-owned subsidiaries in which the Company exercises control. The condensed consolidated financial statements were prepared in accordance with generally accepted accounting principles in the United States (“U.S. GAAP”) and rules and regulations of the SEC for interim financial reporting. All intercompany balances and transactions have been eliminated in consolidation.</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note disclosures normally included in the Company’s annual financial statements prepared in accordance with U.S. GAAP have been condensed or omitted. The accompanying unaudited Condensed Consolidated Financial Statements have been prepared in accordance with the instructions to Form 10-Q and Article 8 of Regulation S-X and include all of the information and disclosures required by U.S GAAP for interim financial reporting. These unaudited Condensed Consolidated Financial Statements should be read in conjunction with the Consolidated Financial Statements of the Company and related footnotes for the year ended December 31, 2023, included in the 2023 Annual Report on Form 10-K, filed with the SEC on March 14, 2024 (the “2023 Annual Report”). The Company’s significant accounting policies are described in the aforementioned 2023 Annual Report. The accompanying interim financial information is unaudited; however, the Company believes the financial information reflects all adjustments (consisting of items of a normal recurring nature) necessary for a fair presentation of its financial position, results of operations and cash flows in conformity with U.S. GAAP. Operating results for interim periods are not necessarily indicative of annual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as one business and geographic operating segment. Operating segments are defined as components of a business that can earn revenues and incur expenses for which discrete financial information is available that is evaluated on a regular basis by the chief operating decision maker (“CODM”). The Company’s CODM is its principal executive officer, who decides how to allocate resources and assess performance. A single management team reports to the CODM, who manages the entire business. The Company’s CODM reviews consolidated statements of income to make decisions, allocate resources and assess performance, and the CODM does not evaluate the profit or loss from any separate geography or product line.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Concentrations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customers individually accounting for more than 10% of the Company’s net sales:</w:t>
      </w:r>
    </w:p>
    <w:tbl>
      <w:tblPr>
        <w:tblW w:w="4971"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71"/>
        <w:gridCol w:w="271"/>
        <w:gridCol w:w="638"/>
        <w:gridCol w:w="271"/>
        <w:gridCol w:w="271"/>
        <w:gridCol w:w="271"/>
        <w:gridCol w:w="271"/>
        <w:gridCol w:w="271"/>
        <w:gridCol w:w="638"/>
        <w:gridCol w:w="109"/>
        <w:gridCol w:w="109"/>
        <w:gridCol w:w="109"/>
        <w:gridCol w:w="154"/>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customers individually accounting for more than 10% of the Company’s trade accounts receivable:</w:t>
      </w:r>
    </w:p>
    <w:tbl>
      <w:tblPr>
        <w:tblW w:w="5422"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398"/>
        <w:gridCol w:w="398"/>
        <w:gridCol w:w="943"/>
        <w:gridCol w:w="109"/>
        <w:gridCol w:w="109"/>
        <w:gridCol w:w="109"/>
        <w:gridCol w:w="427"/>
        <w:gridCol w:w="427"/>
        <w:gridCol w:w="1185"/>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suppliers individually accounting for more than 10% of the Company’s purchases:</w:t>
      </w:r>
    </w:p>
    <w:tbl>
      <w:tblPr>
        <w:tblW w:w="4881" w:type="dxa"/>
        <w:jc w:val="left"/>
        <w:tblInd w:w="0" w:type="dxa"/>
        <w:tblLayout w:type="fixed"/>
        <w:tblCellMar>
          <w:top w:w="28" w:type="dxa"/>
          <w:left w:w="28" w:type="dxa"/>
          <w:bottom w:w="28" w:type="dxa"/>
          <w:right w:w="28" w:type="dxa"/>
        </w:tblCellMar>
      </w:tblPr>
      <w:tblGrid>
        <w:gridCol w:w="326"/>
        <w:gridCol w:w="286"/>
        <w:gridCol w:w="288"/>
        <w:gridCol w:w="109"/>
        <w:gridCol w:w="109"/>
        <w:gridCol w:w="109"/>
        <w:gridCol w:w="271"/>
        <w:gridCol w:w="271"/>
        <w:gridCol w:w="638"/>
        <w:gridCol w:w="271"/>
        <w:gridCol w:w="271"/>
        <w:gridCol w:w="271"/>
        <w:gridCol w:w="271"/>
        <w:gridCol w:w="271"/>
        <w:gridCol w:w="638"/>
        <w:gridCol w:w="109"/>
        <w:gridCol w:w="109"/>
        <w:gridCol w:w="109"/>
        <w:gridCol w:w="154"/>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**Less than 10% of the total</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 and expenses during the reporting period. Significant estimates and assumptions include the valuation of allowances for credit losses, inventory reserves, warranty reserves, stock-based compensation, evaluation of goodwill, other intangibles, property, plant and equipment for impairment, income tax valuation allowances and determination of useful lives of long-lived assets. Actual results could materially differ from those estimates.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20" w:after="120"/>
        <w:jc w:val="both"/>
        <w:rPr/>
      </w:pPr>
      <w:r>
        <w:rPr>
          <w:rFonts w:ascii="Times New Roman;sans-serif" w:hAnsi="Times New Roman;sans-serif"/>
          <w:b w:val="false"/>
          <w:color w:val="000000"/>
          <w:sz w:val="20"/>
        </w:rPr>
        <w:t xml:space="preserve">Restricted cash consists of funds that are contractually restricted as to usage or withdrawal due to required minimum levels of cash collateral for letters of credits and contractual agreements with customers. As of </w:t>
      </w:r>
      <w:r>
        <w:rPr>
          <w:rFonts w:ascii="Times New Roman;sans-serif" w:hAnsi="Times New Roman;sans-serif"/>
          <w:b w:val="false"/>
          <w:color w:val="000000"/>
          <w:sz w:val="20"/>
          <w:shd w:fill="FFFFFF" w:val="clear"/>
        </w:rPr>
        <w:t xml:space="preserve">March 31, 2024 and </w:t>
      </w:r>
      <w:r>
        <w:rPr>
          <w:rFonts w:ascii="Times New Roman;sans-serif" w:hAnsi="Times New Roman;sans-serif"/>
          <w:b w:val="false"/>
          <w:color w:val="000000"/>
          <w:sz w:val="20"/>
        </w:rPr>
        <w:t xml:space="preserve">December 31, 2023, </w:t>
      </w:r>
      <w:r>
        <w:rPr>
          <w:rFonts w:ascii="Times New Roman;sans-serif" w:hAnsi="Times New Roman;sans-serif"/>
          <w:b w:val="false"/>
          <w:color w:val="000000"/>
          <w:sz w:val="20"/>
          <w:shd w:fill="FFFFFF" w:val="clear"/>
        </w:rPr>
        <w:t xml:space="preserve">the Company had restricted cash of </w:t>
      </w:r>
      <w:r>
        <w:rPr>
          <w:rFonts w:ascii="Times New Roman;sans-serif" w:hAnsi="Times New Roman;sans-serif"/>
          <w:b w:val="false"/>
          <w:color w:val="000000"/>
          <w:sz w:val="20"/>
        </w:rPr>
        <w:t>$3.2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$3.8 million</w:t>
      </w:r>
      <w:r>
        <w:rPr>
          <w:rFonts w:ascii="Times New Roman;sans-serif" w:hAnsi="Times New Roman;sans-serif"/>
          <w:b w:val="false"/>
          <w:color w:val="000000"/>
          <w:sz w:val="20"/>
          <w:shd w:fill="FFFFFF" w:val="clear"/>
        </w:rPr>
        <w:t xml:space="preserve">, respectively, which includes $1.3 million restricted cash held in escrow which could be required to be refunded to the customer if conditions occur as defined in such certain agreement with such customer. The Company has not recognized revenue associated with the restricted cash. The deferred revenue is included within </w:t>
      </w:r>
      <w:r>
        <w:rPr>
          <w:rFonts w:ascii="Times New Roman;sans-serif" w:hAnsi="Times New Roman;sans-serif"/>
          <w:b w:val="false"/>
          <w:i/>
          <w:color w:val="000000"/>
          <w:sz w:val="20"/>
          <w:shd w:fill="FFFFFF" w:val="clear"/>
        </w:rPr>
        <w:t>Noncurrent Contract Liabilities</w:t>
      </w:r>
      <w:r>
        <w:rPr>
          <w:color w:val="000000"/>
          <w:shd w:fill="FFFFFF" w:val="clear"/>
        </w:rPr>
        <w:t xml:space="preserve"> </w:t>
      </w:r>
      <w:r>
        <w:rPr>
          <w:rFonts w:ascii="Times New Roman;sans-serif" w:hAnsi="Times New Roman;sans-serif"/>
          <w:b w:val="false"/>
          <w:color w:val="000000"/>
          <w:sz w:val="20"/>
          <w:shd w:fill="FFFFFF" w:val="clear"/>
        </w:rPr>
        <w:t>on the Consolidated Balance Sheet.</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Inventories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inventories consist primarily of engines and parts. Engines are valued at the lower of cost, including estimated freight-in or net realizable value. Parts are valued at the lower of cost or net realizable value. Net realizable value approximates replacement cost. Cost is principally determined using the first-in, first-out method and includes material, labor and manufacturing overhead. It is the Company’s policy to review inventories on a continuing basis for obsolete, excess and slow-moving items and to record valuation adjustments for such items in order to eliminate non-recoverable costs from inventory. Valuation adjustments are recorded in an inventory reserve account and reduce the cost basis of the inventory in the period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which the reduced valuation is determined. Inventory reserves are established based on quantities on hand, usage and sales history, customer orders, projected demand and utilization within a current or future power system. Specific analysis of individual items or groups of items is performed based on these same criteria, as well as on changes in market conditions or any other identified conditions.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5992" w:type="dxa"/>
        <w:jc w:val="left"/>
        <w:tblInd w:w="0" w:type="dxa"/>
        <w:tblLayout w:type="fixed"/>
        <w:tblCellMar>
          <w:top w:w="28" w:type="dxa"/>
          <w:left w:w="28" w:type="dxa"/>
          <w:bottom w:w="28" w:type="dxa"/>
          <w:right w:w="28" w:type="dxa"/>
        </w:tblCellMar>
      </w:tblPr>
      <w:tblGrid>
        <w:gridCol w:w="566"/>
        <w:gridCol w:w="496"/>
        <w:gridCol w:w="498"/>
        <w:gridCol w:w="109"/>
        <w:gridCol w:w="109"/>
        <w:gridCol w:w="109"/>
        <w:gridCol w:w="358"/>
        <w:gridCol w:w="1182"/>
        <w:gridCol w:w="199"/>
        <w:gridCol w:w="109"/>
        <w:gridCol w:w="109"/>
        <w:gridCol w:w="109"/>
        <w:gridCol w:w="401"/>
        <w:gridCol w:w="1323"/>
        <w:gridCol w:w="315"/>
      </w:tblGrid>
      <w:tr>
        <w:trPr/>
        <w:tc>
          <w:tcPr>
            <w:tcW w:w="5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Raw materials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75,672 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68,273 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95,476 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90,677 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88,800 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84,947 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Activity in the Company’s inventory allowance was as follows:</w:t>
      </w:r>
    </w:p>
    <w:tbl>
      <w:tblPr>
        <w:tblW w:w="6006" w:type="dxa"/>
        <w:jc w:val="left"/>
        <w:tblInd w:w="0" w:type="dxa"/>
        <w:tblLayout w:type="fixed"/>
        <w:tblCellMar>
          <w:top w:w="28" w:type="dxa"/>
          <w:left w:w="28" w:type="dxa"/>
          <w:bottom w:w="28" w:type="dxa"/>
          <w:right w:w="28" w:type="dxa"/>
        </w:tblCellMar>
      </w:tblPr>
      <w:tblGrid>
        <w:gridCol w:w="890"/>
        <w:gridCol w:w="784"/>
        <w:gridCol w:w="786"/>
        <w:gridCol w:w="109"/>
        <w:gridCol w:w="109"/>
        <w:gridCol w:w="109"/>
        <w:gridCol w:w="301"/>
        <w:gridCol w:w="856"/>
        <w:gridCol w:w="167"/>
        <w:gridCol w:w="167"/>
        <w:gridCol w:w="167"/>
        <w:gridCol w:w="167"/>
        <w:gridCol w:w="301"/>
        <w:gridCol w:w="856"/>
        <w:gridCol w:w="237"/>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Inventory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Charged to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6,676 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4,788 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i/>
          <w:color w:val="000000"/>
          <w:sz w:val="20"/>
        </w:rPr>
      </w:pPr>
      <w:r>
        <w:rPr>
          <w:rFonts w:ascii="Times New Roman;sans-serif" w:hAnsi="Times New Roman;sans-serif"/>
          <w:b/>
          <w:i/>
          <w:color w:val="000000"/>
          <w:sz w:val="20"/>
        </w:rPr>
        <w:t>Other Accrued Liabilities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consisted of the following:</w:t>
      </w:r>
    </w:p>
    <w:tbl>
      <w:tblPr>
        <w:tblW w:w="7072" w:type="dxa"/>
        <w:jc w:val="left"/>
        <w:tblInd w:w="0" w:type="dxa"/>
        <w:tblLayout w:type="fixed"/>
        <w:tblCellMar>
          <w:top w:w="28" w:type="dxa"/>
          <w:left w:w="28" w:type="dxa"/>
          <w:bottom w:w="28" w:type="dxa"/>
          <w:right w:w="28" w:type="dxa"/>
        </w:tblCellMar>
      </w:tblPr>
      <w:tblGrid>
        <w:gridCol w:w="955"/>
        <w:gridCol w:w="839"/>
        <w:gridCol w:w="846"/>
        <w:gridCol w:w="109"/>
        <w:gridCol w:w="109"/>
        <w:gridCol w:w="109"/>
        <w:gridCol w:w="358"/>
        <w:gridCol w:w="1182"/>
        <w:gridCol w:w="199"/>
        <w:gridCol w:w="109"/>
        <w:gridCol w:w="109"/>
        <w:gridCol w:w="109"/>
        <w:gridCol w:w="401"/>
        <w:gridCol w:w="1323"/>
        <w:gridCol w:w="315"/>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Other 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product warranty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Accrued litigation </w:t>
            </w: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28,794 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31,999 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ans-serif" w:hAnsi="Times New Roman;sans-serif"/>
          <w:b/>
          <w:i/>
          <w:color w:val="000000"/>
          <w:sz w:val="16"/>
          <w:shd w:fill="FFFFFF" w:val="clear"/>
        </w:rPr>
        <w:t>*</w:t>
      </w:r>
      <w:r>
        <w:rPr>
          <w:rFonts w:ascii="Times New Roman;sans-serif" w:hAnsi="Times New Roman;sans-serif"/>
          <w:b w:val="false"/>
          <w:color w:val="000000"/>
          <w:sz w:val="16"/>
        </w:rPr>
        <w:t>As of March 31, 2024 and December 31, 2023</w:t>
      </w:r>
      <w:r>
        <w:rPr>
          <w:color w:val="000000"/>
          <w:shd w:fill="FFFFFF" w:val="clear"/>
        </w:rPr>
        <w:t xml:space="preserve"> </w:t>
      </w:r>
      <w:r>
        <w:rPr>
          <w:rFonts w:ascii="Times New Roman;sans-serif" w:hAnsi="Times New Roman;sans-serif"/>
          <w:b w:val="false"/>
          <w:color w:val="000000"/>
          <w:sz w:val="16"/>
        </w:rPr>
        <w:t xml:space="preserve">litigation reserves related to various ongoing legal matters including associated legal fees. See </w:t>
      </w:r>
      <w:r>
        <w:rPr>
          <w:rFonts w:ascii="Times New Roman;sans-serif" w:hAnsi="Times New Roman;sans-serif"/>
          <w:b w:val="false"/>
          <w:color w:val="000000"/>
          <w:sz w:val="16"/>
          <w:shd w:fill="FFFFFF" w:val="clear"/>
        </w:rPr>
        <w:t>Note 9.</w:t>
      </w:r>
      <w:r>
        <w:rPr>
          <w:color w:val="000000"/>
        </w:rPr>
        <w:t xml:space="preserve"> </w:t>
      </w:r>
      <w:r>
        <w:rPr>
          <w:rFonts w:ascii="Times New Roman;sans-serif" w:hAnsi="Times New Roman;sans-serif"/>
          <w:b w:val="false"/>
          <w:i/>
          <w:color w:val="000000"/>
          <w:sz w:val="16"/>
          <w:shd w:fill="FFFFFF" w:val="clear"/>
        </w:rPr>
        <w:t>Commitments and Contingencies</w:t>
      </w:r>
      <w:r>
        <w:rPr>
          <w:color w:val="000000"/>
        </w:rPr>
        <w:t xml:space="preserve"> </w:t>
      </w:r>
      <w:r>
        <w:rPr>
          <w:rFonts w:ascii="Times New Roman;sans-serif" w:hAnsi="Times New Roman;sans-serif"/>
          <w:b w:val="false"/>
          <w:color w:val="000000"/>
          <w:sz w:val="16"/>
        </w:rPr>
        <w:t>for further information regarding the various ongoing legal matters.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Warranty Costs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a standard limited warranty on the workmanship of its products that in most cases covers defects for a defined period. Warranties for certified emission products are mandated by the U.S. Environmental Protection Agency (the “EPA”) and/or the California Air Resources Board (the “CARB”) and are longer than the Company’s standard warranty on certain emission-related products. The Company’s products also carry limited warranties from suppliers. The Company’s warranties generally apply to engines fully manufactured by the Company and to the modifications the Company makes to supplier base products. Costs related to supplier warranty claims are generally borne by the supplier and passed through to the end customer.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Warranty estimates are based on historical experience and represent the projected cost associated with the product. A liability and related expense are recognized at the time products are sold. The Company adjusts estimates when it is determined that actual costs may differ from initial or previous estimates. The Company’s warranty liability is generally affected by failure rates, repair costs and the timing of failures. Future events and circumstances related to these factors could materially change the estimates and require adjustments to the warranty liability. In addition, new product launches require a greater use of judgment in developing estimates until historical experience becomes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Accrued product warranty activities are presented below:</w:t>
      </w:r>
    </w:p>
    <w:tbl>
      <w:tblPr>
        <w:tblW w:w="7179" w:type="dxa"/>
        <w:jc w:val="left"/>
        <w:tblInd w:w="0" w:type="dxa"/>
        <w:tblLayout w:type="fixed"/>
        <w:tblCellMar>
          <w:top w:w="28" w:type="dxa"/>
          <w:left w:w="28" w:type="dxa"/>
          <w:bottom w:w="28" w:type="dxa"/>
          <w:right w:w="28" w:type="dxa"/>
        </w:tblCellMar>
      </w:tblPr>
      <w:tblGrid>
        <w:gridCol w:w="1313"/>
        <w:gridCol w:w="1157"/>
        <w:gridCol w:w="1160"/>
        <w:gridCol w:w="109"/>
        <w:gridCol w:w="109"/>
        <w:gridCol w:w="109"/>
        <w:gridCol w:w="278"/>
        <w:gridCol w:w="916"/>
        <w:gridCol w:w="154"/>
        <w:gridCol w:w="154"/>
        <w:gridCol w:w="154"/>
        <w:gridCol w:w="154"/>
        <w:gridCol w:w="278"/>
        <w:gridCol w:w="916"/>
        <w:gridCol w:w="218"/>
      </w:tblGrid>
      <w:tr>
        <w:trPr/>
        <w:tc>
          <w:tcPr>
            <w:tcW w:w="13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Accrued Product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Current period provision </w:t>
            </w: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Changes in estimates for preexisting warranties </w:t>
            </w: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made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Noncurrent accrued product warranty </w:t>
              <w:br/>
              <w:t>(included with 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720"/>
        <w:jc w:val="both"/>
        <w:rPr/>
      </w:pPr>
      <w:r>
        <w:rPr>
          <w:rFonts w:ascii="Times New Roman;sans-serif" w:hAnsi="Times New Roman;sans-serif"/>
          <w:b w:val="false"/>
          <w:color w:val="000000"/>
          <w:sz w:val="16"/>
          <w:shd w:fill="FFFFFF" w:val="clear"/>
        </w:rPr>
        <w:t>*Warranty costs, net of supplier recoveries, and other adjustments, were $1.5 million and $5.1 million</w:t>
      </w:r>
      <w:r>
        <w:rPr>
          <w:color w:val="000000"/>
          <w:shd w:fill="FFFFFF" w:val="clear"/>
        </w:rPr>
        <w:t xml:space="preserve"> </w:t>
      </w:r>
      <w:r>
        <w:rPr>
          <w:rFonts w:ascii="Times New Roman;sans-serif" w:hAnsi="Times New Roman;sans-serif"/>
          <w:b w:val="false"/>
          <w:color w:val="000000"/>
          <w:sz w:val="16"/>
          <w:shd w:fill="FFFFFF" w:val="clear"/>
        </w:rPr>
        <w:t>for the three months ended March 31, 2024 a</w:t>
      </w:r>
      <w:r>
        <w:rPr>
          <w:rFonts w:ascii="Times New Roman;sans-serif" w:hAnsi="Times New Roman;sans-serif"/>
          <w:b w:val="false"/>
          <w:color w:val="000000"/>
          <w:sz w:val="16"/>
        </w:rPr>
        <w:t>nd 2023</w:t>
      </w:r>
      <w:r>
        <w:rPr>
          <w:rFonts w:ascii="Times New Roman;sans-serif" w:hAnsi="Times New Roman;sans-serif"/>
          <w:b w:val="false"/>
          <w:color w:val="000000"/>
          <w:sz w:val="16"/>
          <w:shd w:fill="FFFFFF" w:val="clear"/>
        </w:rPr>
        <w:t>, respectively. Supplier recoveries were $0.3 million and $0.1 million for the three months ended March 31, 2024 and 2023, respectively.</w:t>
      </w:r>
    </w:p>
    <w:p>
      <w:pPr>
        <w:pStyle w:val="TextBody"/>
        <w:bidi w:val="0"/>
        <w:spacing w:lineRule="auto" w:line="276" w:before="0" w:after="0"/>
        <w:ind w:left="0" w:right="0" w:hanging="720"/>
        <w:jc w:val="both"/>
        <w:rPr/>
      </w:pPr>
      <w:r>
        <w:rPr>
          <w:rFonts w:ascii="Times New Roman;sans-serif" w:hAnsi="Times New Roman;sans-serif"/>
          <w:b w:val="false"/>
          <w:color w:val="000000"/>
          <w:sz w:val="16"/>
          <w:shd w:fill="FFFFFF" w:val="clear"/>
        </w:rPr>
        <w:t xml:space="preserve">**Changes in estimates for preexisting warranties reflect changes in the Company’s estimate of warranty costs for products sold in prior periods. Such adjustments typically occur when claims experience deviates from historical and expected trends. During the </w:t>
      </w:r>
      <w:r>
        <w:rPr>
          <w:rFonts w:ascii="Times New Roman;sans-serif" w:hAnsi="Times New Roman;sans-serif"/>
          <w:b w:val="false"/>
          <w:color w:val="000000"/>
          <w:sz w:val="16"/>
        </w:rPr>
        <w:t>three</w:t>
      </w:r>
      <w:r>
        <w:rPr>
          <w:color w:val="000000"/>
          <w:shd w:fill="FFFFFF" w:val="clear"/>
        </w:rPr>
        <w:t xml:space="preserve"> </w:t>
      </w:r>
      <w:r>
        <w:rPr>
          <w:rFonts w:ascii="Times New Roman;sans-serif" w:hAnsi="Times New Roman;sans-serif"/>
          <w:b w:val="false"/>
          <w:color w:val="000000"/>
          <w:sz w:val="16"/>
          <w:shd w:fill="FFFFFF" w:val="clear"/>
        </w:rPr>
        <w:t xml:space="preserve">months ended March 31, 2024, the Company recorded a cost for changes in estimates of preexisting warranties of $0.1 million, or $0.01 per diluted share. During the </w:t>
      </w:r>
      <w:r>
        <w:rPr>
          <w:rFonts w:ascii="Times New Roman;sans-serif" w:hAnsi="Times New Roman;sans-serif"/>
          <w:b w:val="false"/>
          <w:color w:val="000000"/>
          <w:sz w:val="16"/>
        </w:rPr>
        <w:t>three</w:t>
      </w:r>
      <w:r>
        <w:rPr>
          <w:color w:val="000000"/>
          <w:shd w:fill="FFFFFF" w:val="clear"/>
        </w:rPr>
        <w:t xml:space="preserve"> </w:t>
      </w:r>
      <w:r>
        <w:rPr>
          <w:rFonts w:ascii="Times New Roman;sans-serif" w:hAnsi="Times New Roman;sans-serif"/>
          <w:b w:val="false"/>
          <w:color w:val="000000"/>
          <w:sz w:val="16"/>
          <w:shd w:fill="FFFFFF" w:val="clear"/>
        </w:rPr>
        <w:t xml:space="preserve">months ended March 31, 2023, the Company recorded a cost of $3.9 million, or $0.17 per diluted share. </w:t>
      </w:r>
    </w:p>
    <w:p>
      <w:pPr>
        <w:pStyle w:val="TextBody"/>
        <w:bidi w:val="0"/>
        <w:spacing w:lineRule="auto" w:line="288" w:before="120" w:after="120"/>
        <w:jc w:val="both"/>
        <w:rPr/>
      </w:pPr>
      <w:r>
        <w:rPr>
          <w:rFonts w:ascii="Times New Roman;sans-serif" w:hAnsi="Times New Roman;sans-serif"/>
          <w:b/>
          <w:i/>
          <w:color w:val="000000"/>
          <w:sz w:val="20"/>
          <w:shd w:fill="FFFFFF" w:val="clear"/>
        </w:rPr>
        <w:t xml:space="preserve">Recently Issued Accounting Pronouncements </w:t>
      </w:r>
      <w:r>
        <w:rPr>
          <w:color w:val="000000"/>
          <w:shd w:fill="FFFFFF" w:val="clear"/>
        </w:rPr>
        <w:t xml:space="preserve">– </w:t>
      </w:r>
      <w:r>
        <w:rPr>
          <w:rFonts w:ascii="Times New Roman;sans-serif" w:hAnsi="Times New Roman;sans-serif"/>
          <w:b/>
          <w:i/>
          <w:color w:val="000000"/>
          <w:sz w:val="20"/>
          <w:shd w:fill="FFFFFF" w:val="clear"/>
        </w:rPr>
        <w:t>Adopted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2016-13, Financial Instruments - Credit Losses (Topic 326). The standard replaces the incurred loss impairment methodology under current U.S. GAAP with a methodology that reflects expected credit losses and requires the use of a forward-looking expected credit loss model for accounts receivables, loans, and other financial instruments. The standard requires a modified retrospective approach through a cumulative-effect adjustment to retained earnings as of the beginning of the first reporting period in which the guidance is effective. The new standard was effective for non-public companies, and public business entities that meet the definition of a smaller reporting company as defined by the SEC, for interim and annual periods beginning after December 15, 2022. The Company adopted this guidance effective January 1, 2023. The adoption of the standard did not have a material impact on the Company’s consolidated financial statements.</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Recently Issued Accounting Pronouncements – Not Yet Adopted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Improvements to Reportable Segment Disclosures – Segment Reporting (Topic 280). The amendments to this standard require public entities to disclose more detailed information about their reportable segments’ significant expenses on an interim and annual basis. The amendments to this standard do not change how a public entity identifies its operating segments, aggregates those operating segments, or applies the quantitative thresholds to determine its reportable segments. The amendments to this standard apply to all public entities that are required to report segment information in accordance with Topic 280, Segment Reporting and are effective for fiscal years beginning after December 15, 2023, and interim periods within fiscal years beginning after December 15, 2024. The Company plans to adopt this guidance in its annual reporting for the year ending December 31, 2024 and subsequent interim periods. The Company is continuing to assess the impact of the amendment to this standard on its consolidated financial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Improvements to Income Tax Disclosures - Income Taxes (Topic 740). The amendments to this standard enhance the transparency and decision usefulness of income tax disclosures, primarily related to rate reconciliation and income taxes paid information as well as effectiveness of overall income tax disclosures. The new standard is effective for non-public companies, and public business entities that meet the definition of a smaller reporting company as defined by the SEC, for interim and annual periods beginning after December 15, 2024, early adoption is permitted. The Company currently plans to adopt this guidance on January 1, 2025. The Company is continuing to assess the impact of the amendment to this standard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2.    Revenue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net sales by end market:</w:t>
      </w:r>
    </w:p>
    <w:tbl>
      <w:tblPr>
        <w:tblW w:w="5214"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268"/>
        <w:gridCol w:w="886"/>
        <w:gridCol w:w="149"/>
        <w:gridCol w:w="149"/>
        <w:gridCol w:w="149"/>
        <w:gridCol w:w="149"/>
        <w:gridCol w:w="268"/>
        <w:gridCol w:w="1009"/>
        <w:gridCol w:w="149"/>
        <w:gridCol w:w="109"/>
        <w:gridCol w:w="109"/>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61,962 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44,634 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42,875 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28,960 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95,240 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116,469 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net sales by geographic area:</w:t>
      </w:r>
    </w:p>
    <w:tbl>
      <w:tblPr>
        <w:tblW w:w="7029" w:type="dxa"/>
        <w:jc w:val="left"/>
        <w:tblInd w:w="0" w:type="dxa"/>
        <w:tblLayout w:type="fixed"/>
        <w:tblCellMar>
          <w:top w:w="28" w:type="dxa"/>
          <w:left w:w="28" w:type="dxa"/>
          <w:bottom w:w="28" w:type="dxa"/>
          <w:right w:w="28" w:type="dxa"/>
        </w:tblCellMar>
      </w:tblPr>
      <w:tblGrid>
        <w:gridCol w:w="1101"/>
        <w:gridCol w:w="971"/>
        <w:gridCol w:w="973"/>
        <w:gridCol w:w="109"/>
        <w:gridCol w:w="109"/>
        <w:gridCol w:w="109"/>
        <w:gridCol w:w="268"/>
        <w:gridCol w:w="886"/>
        <w:gridCol w:w="149"/>
        <w:gridCol w:w="149"/>
        <w:gridCol w:w="149"/>
        <w:gridCol w:w="149"/>
        <w:gridCol w:w="268"/>
        <w:gridCol w:w="1009"/>
        <w:gridCol w:w="149"/>
        <w:gridCol w:w="109"/>
        <w:gridCol w:w="109"/>
        <w:gridCol w:w="109"/>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82,272 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93,116 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America (outside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116,469 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Most of the Company’s contracts are for a period of less than one year; however, extended warranty contracts extend beyond one year. The timing of revenue recognition may differ from the time of invoicing to customers and these timing differences result in contract assets, or contract liabilities on the Company’s Consolidated Balance Sheet. Contract assets include amounts related to the contractual right to consideration for completed performance when the right to consideration is conditional. The Company records contract liabilities when cash payments are received or due in advance of performance. Contract assets and contract liabilities are recognized at the contract level.</w:t>
      </w:r>
    </w:p>
    <w:tbl>
      <w:tblPr>
        <w:tblW w:w="10205" w:type="dxa"/>
        <w:jc w:val="left"/>
        <w:tblInd w:w="0" w:type="dxa"/>
        <w:tblLayout w:type="fixed"/>
        <w:tblCellMar>
          <w:top w:w="28" w:type="dxa"/>
          <w:left w:w="28" w:type="dxa"/>
          <w:bottom w:w="28" w:type="dxa"/>
          <w:right w:w="28" w:type="dxa"/>
        </w:tblCellMar>
      </w:tblPr>
      <w:tblGrid>
        <w:gridCol w:w="1606"/>
        <w:gridCol w:w="1386"/>
        <w:gridCol w:w="1390"/>
        <w:gridCol w:w="109"/>
        <w:gridCol w:w="109"/>
        <w:gridCol w:w="109"/>
        <w:gridCol w:w="306"/>
        <w:gridCol w:w="1012"/>
        <w:gridCol w:w="170"/>
        <w:gridCol w:w="109"/>
        <w:gridCol w:w="109"/>
        <w:gridCol w:w="109"/>
        <w:gridCol w:w="343"/>
        <w:gridCol w:w="1131"/>
        <w:gridCol w:w="190"/>
        <w:gridCol w:w="109"/>
        <w:gridCol w:w="109"/>
        <w:gridCol w:w="109"/>
        <w:gridCol w:w="340"/>
        <w:gridCol w:w="1078"/>
        <w:gridCol w:w="272"/>
      </w:tblGrid>
      <w:tr>
        <w:trPr/>
        <w:tc>
          <w:tcPr>
            <w:tcW w:w="160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Short-term contract assets (included in </w:t>
            </w:r>
            <w:r>
              <w:rPr>
                <w:rFonts w:ascii="Times New Roman;sans-serif" w:hAnsi="Times New Roman;sans-serif"/>
                <w:b w:val="false"/>
                <w:i/>
                <w:color w:val="000000"/>
                <w:sz w:val="18"/>
              </w:rPr>
              <w:t>Prepaid expenses and other current assets</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43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Short-term contract liabilities (included in </w:t>
            </w:r>
            <w:r>
              <w:rPr>
                <w:rFonts w:ascii="Times New Roman;sans-serif" w:hAnsi="Times New Roman;sans-serif"/>
                <w:b w:val="false"/>
                <w:i/>
                <w:color w:val="000000"/>
                <w:sz w:val="18"/>
              </w:rPr>
              <w:t>Other accrued liabilities</w:t>
            </w: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(2,256)</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Long-term contract liabilities (included in </w:t>
            </w:r>
            <w:r>
              <w:rPr>
                <w:rFonts w:ascii="Times New Roman;sans-serif" w:hAnsi="Times New Roman;sans-serif"/>
                <w:b w:val="false"/>
                <w:i/>
                <w:color w:val="000000"/>
                <w:sz w:val="18"/>
              </w:rPr>
              <w:t>Noncurrent contract liabilities</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contract assets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16,577 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10,412 </w:t>
            </w:r>
          </w:p>
        </w:tc>
        <w:tc>
          <w:tcPr>
            <w:tcW w:w="1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w:t>
            </w:r>
          </w:p>
        </w:tc>
        <w:tc>
          <w:tcPr>
            <w:tcW w:w="2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ans-serif" w:hAnsi="Times New Roman;sans-serif"/>
          <w:b w:val="false"/>
          <w:color w:val="000000"/>
          <w:sz w:val="20"/>
          <w:shd w:fill="FFFFFF" w:val="clear"/>
        </w:rPr>
        <w:t>During the three months ended March 31, 2024 and 2023, the Company recognized $0.4 million and $0.7 million, respectively, of revenue upon satisfaction of performance obligations related to amounts that were included in the net contract liabilities balan</w:t>
      </w:r>
      <w:r>
        <w:rPr>
          <w:rFonts w:ascii="Times New Roman;sans-serif" w:hAnsi="Times New Roman;sans-serif"/>
          <w:b w:val="false"/>
          <w:color w:val="000000"/>
          <w:sz w:val="20"/>
        </w:rPr>
        <w:t xml:space="preserve">ce as of December 31, 2023 and 2022, respectively.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Remaining Performance Obligations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practical expedient to not disclose remaining performance obligations that have expected original durations of one year or less. For performance obligations that extend beyond one year, the Company had $3.5 million of remaining performance obligations as of March 31, 2024, primarily related to extended warranties. The Company expects to recognize revenue related to these remaining performance obligations of approximately $1.1 million in 2024, $0.5 million in 2025, $0.2 million in 2026, $1.5 million in 2027, $0.2 million in 2028 and less than $0.1 million in 2029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080"/>
        <w:jc w:val="both"/>
        <w:rPr/>
      </w:pPr>
      <w:r>
        <w:rPr>
          <w:rFonts w:ascii="Times New Roman;sans-serif" w:hAnsi="Times New Roman;sans-serif"/>
          <w:b/>
          <w:color w:val="000000"/>
          <w:sz w:val="20"/>
        </w:rPr>
        <w:t>Note 3.    </w:t>
      </w:r>
      <w:r>
        <w:rPr>
          <w:rFonts w:ascii="Times New Roman;sans-serif" w:hAnsi="Times New Roman;sans-serif"/>
          <w:b/>
          <w:color w:val="000000"/>
          <w:sz w:val="20"/>
          <w:shd w:fill="FFFFFF" w:val="clear"/>
        </w:rPr>
        <w:t>Weichai Transactions</w:t>
      </w: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Weichai Shareholder’s Loan Agreements</w:t>
      </w:r>
    </w:p>
    <w:p>
      <w:pPr>
        <w:pStyle w:val="TextBody"/>
        <w:bidi w:val="0"/>
        <w:spacing w:lineRule="auto" w:line="268" w:before="0" w:after="0"/>
        <w:jc w:val="both"/>
        <w:rPr/>
      </w:pPr>
      <w:r>
        <w:rPr>
          <w:rFonts w:ascii="Times New Roman;sans-serif" w:hAnsi="Times New Roman;sans-serif"/>
          <w:b w:val="false"/>
          <w:color w:val="000000"/>
          <w:sz w:val="20"/>
        </w:rPr>
        <w:t xml:space="preserve">The Company is party to three shareholder’s loan agreements with Weichai, including the $25 Million Loan Agreement, the $50 Million Loan Agreement, and the $30 Million Loan Agreement. See additional discussion of these debt agreements in Note 6. </w:t>
      </w:r>
      <w:r>
        <w:rPr>
          <w:rFonts w:ascii="Times New Roman;sans-serif" w:hAnsi="Times New Roman;sans-serif"/>
          <w:b w:val="false"/>
          <w:i/>
          <w:color w:val="000000"/>
          <w:sz w:val="20"/>
        </w:rPr>
        <w:t xml:space="preserve">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Weichai Collaboration Arrangement and Related Party Transactions</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and Weichai executed a strategic collaboration agreement (the “Collaboration Agreement”) in March 2017 in order to achieve their respective strategic objectives and enhance the strategic cooperation alliance to share experiences, expertise and resources. Among other things, the Collaboration Agreement established a joint steering committee, permitted Weichai to </w:t>
      </w:r>
      <w:r>
        <w:rPr>
          <w:rFonts w:ascii="Times New Roman;sans-serif" w:hAnsi="Times New Roman;sans-serif"/>
          <w:b w:val="false"/>
          <w:color w:val="000000"/>
          <w:sz w:val="20"/>
          <w:shd w:fill="FFFFFF" w:val="clear"/>
        </w:rPr>
        <w:t>select a limited number of certain technical, marketing, sales, procurement and finance personnel to work</w:t>
      </w:r>
      <w:r>
        <w:rPr>
          <w:color w:val="000000"/>
        </w:rPr>
        <w:t xml:space="preserve"> </w:t>
      </w:r>
      <w:r>
        <w:rPr>
          <w:rFonts w:ascii="Times New Roman;sans-serif" w:hAnsi="Times New Roman;sans-serif"/>
          <w:b w:val="false"/>
          <w:color w:val="000000"/>
          <w:sz w:val="20"/>
        </w:rPr>
        <w:t xml:space="preserve">at the Company and established several collaborations related to stationary natural-gas applications and Weichai diesel engines. The Collaboration Agreement provided for the steering committee to create various sub-committees with operating roles and otherwise governs the treatment of intellectual property of parties prior to the collaboration and the intellectual property developed during the collaboration. </w:t>
      </w:r>
      <w:r>
        <w:rPr>
          <w:rFonts w:ascii="Times New Roman;sans-serif" w:hAnsi="Times New Roman;sans-serif"/>
          <w:b w:val="false"/>
          <w:color w:val="000000"/>
          <w:sz w:val="20"/>
          <w:shd w:fill="FFFFFF" w:val="clear"/>
        </w:rPr>
        <w:t>On March 22, 2023, the Collaboration Agreement was extended for an additional term of three years.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The Company evaluates whether an arrangement is a collaborative arrangement at its inception ba</w:t>
      </w:r>
      <w:r>
        <w:rPr>
          <w:rFonts w:ascii="Times New Roman;sans-serif" w:hAnsi="Times New Roman;sans-serif"/>
          <w:b w:val="false"/>
          <w:color w:val="000000"/>
          <w:sz w:val="20"/>
        </w:rPr>
        <w:t>sed on the facts and circumstances specific to the arrangement. The Company also reevaluates whether an arrangement qualifies or continues to qualify as a collaborative arrangement whenever there is a change in either the roles of the participants or the participants’ exposure to significant risks and rewards dependent on the ultimate commercial success of the endeavor. For those collaborative arrangements where it is determined that the Company is the principal participant, costs incurred and revenue generated from third parties are recorded on a gross basis in the financial statement</w:t>
      </w:r>
      <w:r>
        <w:rPr>
          <w:rFonts w:ascii="Times New Roman;sans-serif" w:hAnsi="Times New Roman;sans-serif"/>
          <w:b w:val="false"/>
          <w:color w:val="000000"/>
          <w:sz w:val="20"/>
          <w:shd w:fill="FFFFFF" w:val="clear"/>
        </w:rPr>
        <w:t xml:space="preserve">s. Purchases of inventory from Weichai were $3.2 million for both the three months ended </w:t>
      </w:r>
      <w:r>
        <w:rPr>
          <w:rFonts w:ascii="Times New Roman;sans-serif" w:hAnsi="Times New Roman;sans-serif"/>
          <w:b w:val="false"/>
          <w:color w:val="000000"/>
          <w:sz w:val="20"/>
        </w:rPr>
        <w:t>March 31,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In January 2022, PSI </w:t>
      </w:r>
      <w:r>
        <w:rPr>
          <w:rFonts w:ascii="Times New Roman;sans-serif" w:hAnsi="Times New Roman;sans-serif"/>
          <w:b w:val="false"/>
          <w:color w:val="000000"/>
          <w:sz w:val="20"/>
        </w:rPr>
        <w:t xml:space="preserve">and Baudouin (“Baudouin”), a subsidiary of Weichai, </w:t>
      </w:r>
      <w:r>
        <w:rPr>
          <w:rFonts w:ascii="Times New Roman;sans-serif" w:hAnsi="Times New Roman;sans-serif"/>
          <w:b w:val="false"/>
          <w:color w:val="000000"/>
          <w:sz w:val="20"/>
          <w:shd w:fill="FFFFFF" w:val="clear"/>
        </w:rPr>
        <w:t>entered</w:t>
      </w:r>
      <w:r>
        <w:rPr>
          <w:color w:val="000000"/>
        </w:rPr>
        <w:t xml:space="preserve"> </w:t>
      </w:r>
      <w:r>
        <w:rPr>
          <w:rFonts w:ascii="Times New Roman;sans-serif" w:hAnsi="Times New Roman;sans-serif"/>
          <w:b w:val="false"/>
          <w:color w:val="000000"/>
          <w:sz w:val="20"/>
        </w:rPr>
        <w:t xml:space="preserve">into an international distribution and sales agreement which enables Baudouin to bring PSI’s power systems line of products into the European, Middle Eastern, and African markets. In addition to sales, Baudouin will manage service, support, warranty claims, and technical requests. Refer to the Consolidated Balance Sheet and Statements of Income for detailed related party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4.    Property, Plant and Equipment</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by type were as follows:</w:t>
      </w:r>
    </w:p>
    <w:tbl>
      <w:tblPr>
        <w:tblW w:w="7971" w:type="dxa"/>
        <w:jc w:val="left"/>
        <w:tblInd w:w="0" w:type="dxa"/>
        <w:tblLayout w:type="fixed"/>
        <w:tblCellMar>
          <w:top w:w="28" w:type="dxa"/>
          <w:left w:w="28" w:type="dxa"/>
          <w:bottom w:w="28" w:type="dxa"/>
          <w:right w:w="28" w:type="dxa"/>
        </w:tblCellMar>
      </w:tblPr>
      <w:tblGrid>
        <w:gridCol w:w="1280"/>
        <w:gridCol w:w="1128"/>
        <w:gridCol w:w="1131"/>
        <w:gridCol w:w="109"/>
        <w:gridCol w:w="109"/>
        <w:gridCol w:w="109"/>
        <w:gridCol w:w="358"/>
        <w:gridCol w:w="1182"/>
        <w:gridCol w:w="199"/>
        <w:gridCol w:w="109"/>
        <w:gridCol w:w="109"/>
        <w:gridCol w:w="109"/>
        <w:gridCol w:w="401"/>
        <w:gridCol w:w="1323"/>
        <w:gridCol w:w="315"/>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6,987 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property, plant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56,433 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55,605 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(41,522)</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(40,677)</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14,928 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400" w:after="120"/>
        <w:jc w:val="both"/>
        <w:rPr>
          <w:rFonts w:ascii="Times New Roman;sans-serif" w:hAnsi="Times New Roman;sans-serif"/>
          <w:b/>
          <w:color w:val="000000"/>
          <w:sz w:val="20"/>
        </w:rPr>
      </w:pPr>
      <w:r>
        <w:rPr>
          <w:rFonts w:ascii="Times New Roman;sans-serif" w:hAnsi="Times New Roman;sans-serif"/>
          <w:b/>
          <w:color w:val="000000"/>
          <w:sz w:val="20"/>
        </w:rPr>
        <w:t>Note 5.    Goodwill and Other Intangibles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goodwill at both March 31, 2024 and December 31, 2023 was $29.8 million. Accumulated impairment losses at both March 31, 2024 and December 31, 2023 were $11.6 million.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Other Intangible Assets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Components of intangible assets are as follows:</w:t>
      </w:r>
    </w:p>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(31,543)</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(33,791)</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3,549 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80"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371"/>
        <w:gridCol w:w="1223"/>
        <w:gridCol w:w="206"/>
        <w:gridCol w:w="109"/>
        <w:gridCol w:w="109"/>
        <w:gridCol w:w="109"/>
        <w:gridCol w:w="443"/>
        <w:gridCol w:w="1498"/>
        <w:gridCol w:w="249"/>
        <w:gridCol w:w="109"/>
        <w:gridCol w:w="109"/>
        <w:gridCol w:w="109"/>
        <w:gridCol w:w="295"/>
        <w:gridCol w:w="838"/>
        <w:gridCol w:w="23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Book Value</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(31,195)</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 and 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37,340 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(33,426)</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6.    Debt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debt consisted of the following:</w:t>
      </w:r>
    </w:p>
    <w:tbl>
      <w:tblPr>
        <w:tblW w:w="10205" w:type="dxa"/>
        <w:jc w:val="left"/>
        <w:tblInd w:w="0" w:type="dxa"/>
        <w:tblLayout w:type="fixed"/>
        <w:tblCellMar>
          <w:top w:w="28" w:type="dxa"/>
          <w:left w:w="28" w:type="dxa"/>
          <w:bottom w:w="28" w:type="dxa"/>
          <w:right w:w="28" w:type="dxa"/>
        </w:tblCellMar>
      </w:tblPr>
      <w:tblGrid>
        <w:gridCol w:w="1464"/>
        <w:gridCol w:w="1278"/>
        <w:gridCol w:w="1279"/>
        <w:gridCol w:w="109"/>
        <w:gridCol w:w="109"/>
        <w:gridCol w:w="109"/>
        <w:gridCol w:w="243"/>
        <w:gridCol w:w="913"/>
        <w:gridCol w:w="134"/>
        <w:gridCol w:w="211"/>
        <w:gridCol w:w="211"/>
        <w:gridCol w:w="213"/>
        <w:gridCol w:w="109"/>
        <w:gridCol w:w="109"/>
        <w:gridCol w:w="109"/>
        <w:gridCol w:w="274"/>
        <w:gridCol w:w="1035"/>
        <w:gridCol w:w="153"/>
        <w:gridCol w:w="213"/>
        <w:gridCol w:w="213"/>
        <w:gridCol w:w="211"/>
        <w:gridCol w:w="442"/>
        <w:gridCol w:w="435"/>
        <w:gridCol w:w="629"/>
      </w:tblGrid>
      <w:tr>
        <w:trPr/>
        <w:tc>
          <w:tcPr>
            <w:tcW w:w="146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Rate </w:t>
            </w:r>
            <w:r>
              <w:rPr>
                <w:rFonts w:ascii="Times New Roman;sans-serif" w:hAnsi="Times New Roman;sans-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6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Rate </w:t>
            </w:r>
            <w:r>
              <w:rPr>
                <w:rFonts w:ascii="Times New Roman;sans-serif" w:hAnsi="Times New Roman;sans-serif"/>
                <w:b/>
                <w:color w:val="000000"/>
                <w:sz w:val="12"/>
              </w:rPr>
              <w:t>(1)</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Short-term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8.71%</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21, 2025</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$25 Million Loan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9.44%</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May 20, 2024</w:t>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$50 Million Loan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9.44%</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30, 2024</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$30 Million Loan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9.41%</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2025</w:t>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139,820 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144,820 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r>
      <w:tr>
        <w:trPr/>
        <w:tc>
          <w:tcPr>
            <w:tcW w:w="4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long-term debt and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long-term debt and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Unamortized financing costs and deferred fees on the revolving credit facility are not presented in the above table as they are classified in Prepaid expenses and other current assets on the Consolidated Balance Sheet. Unamortized debt issuance costs, were $0.1 million and $0.2 million as of March 31, 2024 and December 31, 2023,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shd w:fill="FFFFFF" w:val="clear"/>
              </w:rPr>
              <w:t xml:space="preserve">Finance lease obligations are a non-cash financing activity. See </w:t>
            </w:r>
            <w:r>
              <w:rPr>
                <w:rFonts w:ascii="Times New Roman;sans-serif" w:hAnsi="Times New Roman;sans-serif"/>
                <w:b w:val="false"/>
                <w:color w:val="000000"/>
                <w:sz w:val="16"/>
              </w:rPr>
              <w:t>Note 7.</w:t>
            </w:r>
            <w:r>
              <w:rPr>
                <w:color w:val="000000"/>
                <w:shd w:fill="FFFFFF" w:val="clear"/>
              </w:rPr>
              <w:t xml:space="preserve"> </w:t>
            </w:r>
            <w:r>
              <w:rPr>
                <w:rFonts w:ascii="Times New Roman;sans-serif" w:hAnsi="Times New Roman;sans-serif"/>
                <w:b w:val="false"/>
                <w:i/>
                <w:color w:val="000000"/>
                <w:sz w:val="16"/>
              </w:rPr>
              <w:t>Leases</w:t>
            </w:r>
            <w:r>
              <w:rPr>
                <w:rFonts w:ascii="Times New Roman;sans-serif" w:hAnsi="Times New Roman;sans-serif"/>
                <w:b w:val="false"/>
                <w:color w:val="000000"/>
                <w:sz w:val="16"/>
                <w:shd w:fill="FFFFFF" w:val="clear"/>
              </w:rPr>
              <w:t xml:space="preserve">.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Includes the weighted average interest rate. </w:t>
            </w:r>
          </w:p>
        </w:tc>
      </w:tr>
    </w:tbl>
    <w:p>
      <w:pPr>
        <w:pStyle w:val="TextBody"/>
        <w:bidi w:val="0"/>
        <w:spacing w:lineRule="auto" w:line="288" w:before="180" w:after="120"/>
        <w:ind w:left="0" w:right="0" w:hanging="3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Credit Agreement and Shareholder’s Loan Agreements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On March 22, 2024, the Company amended and restated its $130.0 million Third Amended and Restated Uncommitted Revolving Credit Agreement with Standard Chartered (the “</w:t>
      </w:r>
      <w:r>
        <w:rPr>
          <w:rFonts w:ascii="Times New Roman;sans-serif" w:hAnsi="Times New Roman;sans-serif"/>
          <w:b w:val="false"/>
          <w:color w:val="000000"/>
          <w:sz w:val="20"/>
        </w:rPr>
        <w:t>Credit Agreement”).</w:t>
      </w:r>
      <w:r>
        <w:rPr>
          <w:color w:val="000000"/>
          <w:shd w:fill="FFFFFF" w:val="clear"/>
        </w:rPr>
        <w:t xml:space="preserve"> </w:t>
      </w:r>
      <w:r>
        <w:rPr>
          <w:rFonts w:ascii="Times New Roman;sans-serif" w:hAnsi="Times New Roman;sans-serif"/>
          <w:b w:val="false"/>
          <w:color w:val="000000"/>
          <w:sz w:val="20"/>
          <w:shd w:fill="FFFFFF" w:val="clear"/>
        </w:rPr>
        <w:t xml:space="preserve">The amendment and restatement of the </w:t>
      </w:r>
      <w:r>
        <w:rPr>
          <w:rFonts w:ascii="Times New Roman;sans-serif" w:hAnsi="Times New Roman;sans-serif"/>
          <w:b w:val="false"/>
          <w:color w:val="000000"/>
          <w:sz w:val="20"/>
        </w:rPr>
        <w:t>Credit Agreement</w:t>
      </w:r>
      <w:r>
        <w:rPr>
          <w:color w:val="000000"/>
          <w:shd w:fill="FFFFFF" w:val="clear"/>
        </w:rPr>
        <w:t xml:space="preserve"> </w:t>
      </w:r>
      <w:r>
        <w:rPr>
          <w:rFonts w:ascii="Times New Roman;sans-serif" w:hAnsi="Times New Roman;sans-serif"/>
          <w:b w:val="false"/>
          <w:color w:val="000000"/>
          <w:sz w:val="20"/>
          <w:shd w:fill="FFFFFF" w:val="clear"/>
        </w:rPr>
        <w:t xml:space="preserve">reduces the borrowing capacity to $50.0 million and extends the maturity date of loans outstanding under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previous credit facility to the earlier of March 21, 2025 or the demand of Standard Chartered. The </w:t>
      </w:r>
      <w:r>
        <w:rPr>
          <w:rFonts w:ascii="Times New Roman;sans-serif" w:hAnsi="Times New Roman;sans-serif"/>
          <w:b w:val="false"/>
          <w:color w:val="000000"/>
          <w:sz w:val="20"/>
        </w:rPr>
        <w:t>Credit Agreement</w:t>
      </w:r>
      <w:r>
        <w:rPr>
          <w:color w:val="000000"/>
          <w:shd w:fill="FFFFFF" w:val="clear"/>
        </w:rPr>
        <w:t xml:space="preserve"> </w:t>
      </w:r>
      <w:r>
        <w:rPr>
          <w:rFonts w:ascii="Times New Roman;sans-serif" w:hAnsi="Times New Roman;sans-serif"/>
          <w:b w:val="false"/>
          <w:color w:val="000000"/>
          <w:sz w:val="20"/>
          <w:shd w:fill="FFFFFF" w:val="clear"/>
        </w:rPr>
        <w:t xml:space="preserve">is subject to customary events of default and covenants, including minimum consolidated EBITDA and Consolidated Interest Coverage Ratio covenants for the second and third quarters of 2024. Borrowings under the </w:t>
      </w:r>
      <w:r>
        <w:rPr>
          <w:rFonts w:ascii="Times New Roman;sans-serif" w:hAnsi="Times New Roman;sans-serif"/>
          <w:b w:val="false"/>
          <w:color w:val="000000"/>
          <w:sz w:val="20"/>
        </w:rPr>
        <w:t xml:space="preserve">Credit Agreement </w:t>
      </w:r>
      <w:r>
        <w:rPr>
          <w:rFonts w:ascii="Times New Roman;sans-serif" w:hAnsi="Times New Roman;sans-serif"/>
          <w:b w:val="false"/>
          <w:color w:val="000000"/>
          <w:sz w:val="20"/>
          <w:shd w:fill="FFFFFF" w:val="clear"/>
        </w:rPr>
        <w:t xml:space="preserve">incur </w:t>
      </w:r>
      <w:r>
        <w:rPr>
          <w:rFonts w:ascii="Times New Roman;sans-serif" w:hAnsi="Times New Roman;sans-serif"/>
          <w:b w:val="false"/>
          <w:color w:val="000000"/>
          <w:sz w:val="20"/>
        </w:rPr>
        <w:t xml:space="preserve">interest at either the alternate base rate or the SOFR plus applicable rate of 3.45% per annum. </w:t>
      </w:r>
      <w:r>
        <w:rPr>
          <w:rFonts w:ascii="Times New Roman;sans-serif" w:hAnsi="Times New Roman;sans-serif"/>
          <w:b w:val="false"/>
          <w:color w:val="000000"/>
          <w:sz w:val="20"/>
          <w:shd w:fill="FFFFFF" w:val="clear"/>
        </w:rPr>
        <w:t xml:space="preserve">In addition, the Company paid fees of $0.1 million related to the </w:t>
      </w:r>
      <w:r>
        <w:rPr>
          <w:rFonts w:ascii="Times New Roman;sans-serif" w:hAnsi="Times New Roman;sans-serif"/>
          <w:b w:val="false"/>
          <w:color w:val="000000"/>
          <w:sz w:val="20"/>
        </w:rPr>
        <w:t>Credit Agreement</w:t>
      </w:r>
      <w:r>
        <w:rPr>
          <w:color w:val="000000"/>
          <w:shd w:fill="FFFFFF" w:val="clear"/>
        </w:rPr>
        <w:t xml:space="preserve"> </w:t>
      </w:r>
      <w:r>
        <w:rPr>
          <w:rFonts w:ascii="Times New Roman;sans-serif" w:hAnsi="Times New Roman;sans-serif"/>
          <w:b w:val="false"/>
          <w:color w:val="000000"/>
          <w:sz w:val="20"/>
          <w:shd w:fill="FFFFFF" w:val="clear"/>
        </w:rPr>
        <w:t xml:space="preserve">which are deferred and amortized over the term of the Credit Agreement. The </w:t>
      </w:r>
      <w:r>
        <w:rPr>
          <w:rFonts w:ascii="Times New Roman;sans-serif" w:hAnsi="Times New Roman;sans-serif"/>
          <w:b w:val="false"/>
          <w:color w:val="000000"/>
          <w:sz w:val="20"/>
        </w:rPr>
        <w:t>Credit Agreement</w:t>
      </w:r>
      <w:r>
        <w:rPr>
          <w:color w:val="000000"/>
          <w:shd w:fill="FFFFFF" w:val="clear"/>
        </w:rPr>
        <w:t xml:space="preserve"> </w:t>
      </w:r>
      <w:r>
        <w:rPr>
          <w:rFonts w:ascii="Times New Roman;sans-serif" w:hAnsi="Times New Roman;sans-serif"/>
          <w:b w:val="false"/>
          <w:color w:val="000000"/>
          <w:sz w:val="20"/>
          <w:shd w:fill="FFFFFF" w:val="clear"/>
        </w:rPr>
        <w:t xml:space="preserve">continues to be secured by substantially all of the Company’s assets and provides Standard Chartered the right to demand payment of any and all of the outstanding borrowings and other amounts owed under the </w:t>
      </w:r>
      <w:r>
        <w:rPr>
          <w:rFonts w:ascii="Times New Roman;sans-serif" w:hAnsi="Times New Roman;sans-serif"/>
          <w:b w:val="false"/>
          <w:color w:val="000000"/>
          <w:sz w:val="20"/>
        </w:rPr>
        <w:t>Credit Agreement</w:t>
      </w:r>
      <w:r>
        <w:rPr>
          <w:color w:val="000000"/>
          <w:shd w:fill="FFFFFF" w:val="clear"/>
        </w:rPr>
        <w:t xml:space="preserve"> </w:t>
      </w:r>
      <w:r>
        <w:rPr>
          <w:rFonts w:ascii="Times New Roman;sans-serif" w:hAnsi="Times New Roman;sans-serif"/>
          <w:b w:val="false"/>
          <w:color w:val="000000"/>
          <w:sz w:val="20"/>
          <w:shd w:fill="FFFFFF" w:val="clear"/>
        </w:rPr>
        <w:t xml:space="preserve">at any point in time prior to the maturity date at Standard Chartered’s discretion. The Company made payments totaling $5.0 million related to the </w:t>
      </w:r>
      <w:r>
        <w:rPr>
          <w:rFonts w:ascii="Times New Roman;sans-serif" w:hAnsi="Times New Roman;sans-serif"/>
          <w:b w:val="false"/>
          <w:color w:val="000000"/>
          <w:sz w:val="20"/>
        </w:rPr>
        <w:t>Credit Agreement</w:t>
      </w:r>
      <w:r>
        <w:rPr>
          <w:color w:val="000000"/>
          <w:shd w:fill="FFFFFF" w:val="clear"/>
        </w:rPr>
        <w:t xml:space="preserve"> </w:t>
      </w:r>
      <w:r>
        <w:rPr>
          <w:rFonts w:ascii="Times New Roman;sans-serif" w:hAnsi="Times New Roman;sans-serif"/>
          <w:b w:val="false"/>
          <w:color w:val="000000"/>
          <w:sz w:val="20"/>
          <w:shd w:fill="FFFFFF" w:val="clear"/>
        </w:rPr>
        <w:t xml:space="preserve">with no additional borrowings during the first quarter of 2024. As of March 31, 2024, the Company had $45.0 million outstanding under the Credit Agreement. </w:t>
      </w:r>
    </w:p>
    <w:p>
      <w:pPr>
        <w:pStyle w:val="TextBody"/>
        <w:bidi w:val="0"/>
        <w:spacing w:lineRule="auto" w:line="268" w:before="0" w:after="0"/>
        <w:jc w:val="both"/>
        <w:rPr/>
      </w:pPr>
      <w:r>
        <w:rPr>
          <w:rFonts w:ascii="Times New Roman;sans-serif" w:hAnsi="Times New Roman;sans-serif"/>
          <w:b w:val="false"/>
          <w:color w:val="000000"/>
          <w:sz w:val="20"/>
        </w:rPr>
        <w:t>In connection with this Credit Agreement, on</w:t>
      </w:r>
      <w:r>
        <w:rPr>
          <w:color w:val="000000"/>
          <w:shd w:fill="FFFFFF" w:val="clear"/>
        </w:rPr>
        <w:t xml:space="preserve"> </w:t>
      </w:r>
      <w:r>
        <w:rPr>
          <w:rFonts w:ascii="Times New Roman;sans-serif" w:hAnsi="Times New Roman;sans-serif"/>
          <w:b w:val="false"/>
          <w:color w:val="000000"/>
          <w:sz w:val="20"/>
          <w:shd w:fill="FFFFFF" w:val="clear"/>
        </w:rPr>
        <w:t xml:space="preserve">March 22, 2024, </w:t>
      </w:r>
      <w:r>
        <w:rPr>
          <w:rFonts w:ascii="Times New Roman;sans-serif" w:hAnsi="Times New Roman;sans-serif"/>
          <w:b w:val="false"/>
          <w:color w:val="000000"/>
          <w:sz w:val="20"/>
        </w:rPr>
        <w:t xml:space="preserve">the Company also amended one of the four shareholder’s loan agreements with Weichai, to among other things, extend the maturities thereof. The $30 Million Loan Agreement provides the Company with a </w:t>
      </w:r>
      <w:r>
        <w:rPr>
          <w:rFonts w:ascii="Times New Roman;sans-serif" w:hAnsi="Times New Roman;sans-serif"/>
          <w:b w:val="false"/>
          <w:color w:val="000000"/>
          <w:sz w:val="20"/>
          <w:shd w:fill="FFFFFF" w:val="clear"/>
        </w:rPr>
        <w:t>$30.0 million</w:t>
      </w:r>
      <w:r>
        <w:rPr>
          <w:color w:val="000000"/>
        </w:rPr>
        <w:t xml:space="preserve"> </w:t>
      </w:r>
      <w:r>
        <w:rPr>
          <w:rFonts w:ascii="Times New Roman;sans-serif" w:hAnsi="Times New Roman;sans-serif"/>
          <w:b w:val="false"/>
          <w:color w:val="000000"/>
          <w:sz w:val="20"/>
        </w:rPr>
        <w:t>subordinated loan at the discretion of Weichai and was amended to extend the maturity date to</w:t>
      </w:r>
      <w:r>
        <w:rPr>
          <w:color w:val="000000"/>
          <w:shd w:fill="FFFFFF" w:val="clear"/>
        </w:rPr>
        <w:t xml:space="preserve"> </w:t>
      </w:r>
      <w:r>
        <w:rPr>
          <w:rFonts w:ascii="Times New Roman;sans-serif" w:hAnsi="Times New Roman;sans-serif"/>
          <w:b w:val="false"/>
          <w:color w:val="000000"/>
          <w:sz w:val="20"/>
          <w:shd w:fill="FFFFFF" w:val="clear"/>
        </w:rPr>
        <w:t>March 31, 2025</w:t>
      </w:r>
      <w:r>
        <w:rPr>
          <w:rFonts w:ascii="Times New Roman;sans-serif" w:hAnsi="Times New Roman;sans-serif"/>
          <w:b w:val="false"/>
          <w:color w:val="000000"/>
          <w:sz w:val="20"/>
        </w:rPr>
        <w:t xml:space="preserve">. Borrowings under the $30 Million Loan Agreement bear interest at an annual rate equal to SOFR plus 4.05% per annum. Further, if the applicable SOFR rate is negative, the interest rate per annum shall be deemed as 4.05% per annum. If the interest rate for any loan is lower than Weichai’s borrowing cost, the interest rate for such loan shall be equal to Weichai’s borrowing cost plus </w:t>
      </w:r>
      <w:r>
        <w:rPr>
          <w:rFonts w:ascii="Times New Roman;sans-serif" w:hAnsi="Times New Roman;sans-serif"/>
          <w:b w:val="false"/>
          <w:color w:val="000000"/>
          <w:sz w:val="20"/>
          <w:shd w:fill="FFFFFF" w:val="clear"/>
        </w:rPr>
        <w:t>1.0%</w:t>
      </w:r>
      <w:r>
        <w:rPr>
          <w:rFonts w:ascii="Times New Roman;sans-serif" w:hAnsi="Times New Roman;sans-serif"/>
          <w:b w:val="false"/>
          <w:color w:val="000000"/>
          <w:sz w:val="20"/>
        </w:rPr>
        <w:t xml:space="preserve">. All of the amended shareholder loan agreements with Weichai are subject to customary events of default and covenants. The Company and Weichai also agreed not to renew the first Amended Shareholder’s Loan Agreement, which expired on April 24, 2024 and provided the Company with a </w:t>
      </w:r>
      <w:r>
        <w:rPr>
          <w:rFonts w:ascii="Times New Roman;sans-serif" w:hAnsi="Times New Roman;sans-serif"/>
          <w:b w:val="false"/>
          <w:color w:val="000000"/>
          <w:sz w:val="20"/>
          <w:shd w:fill="FFFFFF" w:val="clear"/>
        </w:rPr>
        <w:t>$130.0 million</w:t>
      </w:r>
      <w:r>
        <w:rPr>
          <w:color w:val="000000"/>
        </w:rPr>
        <w:t xml:space="preserve"> </w:t>
      </w:r>
      <w:r>
        <w:rPr>
          <w:rFonts w:ascii="Times New Roman;sans-serif" w:hAnsi="Times New Roman;sans-serif"/>
          <w:b w:val="false"/>
          <w:color w:val="000000"/>
          <w:sz w:val="20"/>
        </w:rPr>
        <w:t xml:space="preserve">subordinated loan under which Weichai was obligated to advance funds solely for purposes of repaying outstanding borrowings under the </w:t>
      </w:r>
      <w:r>
        <w:rPr>
          <w:rFonts w:ascii="Times New Roman;sans-serif" w:hAnsi="Times New Roman;sans-serif"/>
          <w:b w:val="false"/>
          <w:color w:val="000000"/>
          <w:sz w:val="20"/>
          <w:shd w:fill="FFFFFF" w:val="clear"/>
        </w:rPr>
        <w:t xml:space="preserve">$130.0 million </w:t>
      </w:r>
      <w:r>
        <w:rPr>
          <w:rFonts w:ascii="Times New Roman;sans-serif" w:hAnsi="Times New Roman;sans-serif"/>
          <w:b w:val="false"/>
          <w:color w:val="000000"/>
          <w:sz w:val="20"/>
        </w:rPr>
        <w:t>Credit Agreement if the Company was unable to pay such borrowings.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On May 12, 2023, the Company amended and extended the maturity of its </w:t>
      </w:r>
      <w:r>
        <w:rPr>
          <w:rFonts w:ascii="Times New Roman;sans-serif" w:hAnsi="Times New Roman;sans-serif"/>
          <w:b w:val="false"/>
          <w:color w:val="000000"/>
          <w:sz w:val="20"/>
        </w:rPr>
        <w:t>$25 Million Loan Agreement</w:t>
      </w:r>
      <w:r>
        <w:rPr>
          <w:color w:val="000000"/>
          <w:shd w:fill="FFFFFF" w:val="clear"/>
        </w:rPr>
        <w:t xml:space="preserve"> </w:t>
      </w:r>
      <w:r>
        <w:rPr>
          <w:rFonts w:ascii="Times New Roman;sans-serif" w:hAnsi="Times New Roman;sans-serif"/>
          <w:b w:val="false"/>
          <w:color w:val="000000"/>
          <w:sz w:val="20"/>
          <w:shd w:fill="FFFFFF" w:val="clear"/>
        </w:rPr>
        <w:t xml:space="preserve">with Weichai to May 20, 2024. The </w:t>
      </w:r>
      <w:r>
        <w:rPr>
          <w:rFonts w:ascii="Times New Roman;sans-serif" w:hAnsi="Times New Roman;sans-serif"/>
          <w:b w:val="false"/>
          <w:color w:val="000000"/>
          <w:sz w:val="20"/>
        </w:rPr>
        <w:t>$25 Million Loan Agreement</w:t>
      </w:r>
      <w:r>
        <w:rPr>
          <w:color w:val="000000"/>
          <w:shd w:fill="FFFFFF" w:val="clear"/>
        </w:rPr>
        <w:t xml:space="preserve"> </w:t>
      </w:r>
      <w:r>
        <w:rPr>
          <w:rFonts w:ascii="Times New Roman;sans-serif" w:hAnsi="Times New Roman;sans-serif"/>
          <w:b w:val="false"/>
          <w:color w:val="000000"/>
          <w:sz w:val="20"/>
          <w:shd w:fill="FFFFFF" w:val="clear"/>
        </w:rPr>
        <w:t xml:space="preserve">continues to provide the Company with a $25.0 million subordinated loan. Borrowings under the </w:t>
      </w:r>
      <w:r>
        <w:rPr>
          <w:rFonts w:ascii="Times New Roman;sans-serif" w:hAnsi="Times New Roman;sans-serif"/>
          <w:b w:val="false"/>
          <w:color w:val="000000"/>
          <w:sz w:val="20"/>
        </w:rPr>
        <w:t>$25 Million Loan Agreement</w:t>
      </w:r>
      <w:r>
        <w:rPr>
          <w:color w:val="000000"/>
          <w:shd w:fill="FFFFFF" w:val="clear"/>
        </w:rPr>
        <w:t xml:space="preserve"> </w:t>
      </w:r>
      <w:r>
        <w:rPr>
          <w:rFonts w:ascii="Times New Roman;sans-serif" w:hAnsi="Times New Roman;sans-serif"/>
          <w:b w:val="false"/>
          <w:color w:val="000000"/>
          <w:sz w:val="20"/>
          <w:shd w:fill="FFFFFF" w:val="clear"/>
        </w:rPr>
        <w:t xml:space="preserve">incur interest at the applicable SOFR rate, plus 4.05% per annum. Further, if the applicable term SOFR is negative, the interest rate per annum shall be deemed as 4.05% per annum. If the interest rate for any loan under the </w:t>
      </w:r>
      <w:r>
        <w:rPr>
          <w:rFonts w:ascii="Times New Roman;sans-serif" w:hAnsi="Times New Roman;sans-serif"/>
          <w:b w:val="false"/>
          <w:color w:val="000000"/>
          <w:sz w:val="20"/>
        </w:rPr>
        <w:t>$25 Million Loan Agreement</w:t>
      </w:r>
      <w:r>
        <w:rPr>
          <w:color w:val="000000"/>
          <w:shd w:fill="FFFFFF" w:val="clear"/>
        </w:rPr>
        <w:t xml:space="preserve"> </w:t>
      </w:r>
      <w:r>
        <w:rPr>
          <w:rFonts w:ascii="Times New Roman;sans-serif" w:hAnsi="Times New Roman;sans-serif"/>
          <w:b w:val="false"/>
          <w:color w:val="000000"/>
          <w:sz w:val="20"/>
          <w:shd w:fill="FFFFFF" w:val="clear"/>
        </w:rPr>
        <w:t>is lower than Weichai’s borrowing cost, the interest rate for such loan shall be equal to Weichai’s borrowing cost plus 1.0%.</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The Company is also party to a </w:t>
      </w:r>
      <w:r>
        <w:rPr>
          <w:rFonts w:ascii="Times New Roman;sans-serif" w:hAnsi="Times New Roman;sans-serif"/>
          <w:b w:val="false"/>
          <w:color w:val="000000"/>
          <w:sz w:val="20"/>
        </w:rPr>
        <w:t>$50 Million Loan Agreement</w:t>
      </w:r>
      <w:r>
        <w:rPr>
          <w:color w:val="000000"/>
          <w:shd w:fill="FFFFFF" w:val="clear"/>
        </w:rPr>
        <w:t xml:space="preserve"> </w:t>
      </w:r>
      <w:r>
        <w:rPr>
          <w:rFonts w:ascii="Times New Roman;sans-serif" w:hAnsi="Times New Roman;sans-serif"/>
          <w:b w:val="false"/>
          <w:color w:val="000000"/>
          <w:sz w:val="20"/>
          <w:shd w:fill="FFFFFF" w:val="clear"/>
        </w:rPr>
        <w:t xml:space="preserve">with Weichai, which was entered into on December 10, 2021. The </w:t>
      </w:r>
      <w:r>
        <w:rPr>
          <w:rFonts w:ascii="Times New Roman;sans-serif" w:hAnsi="Times New Roman;sans-serif"/>
          <w:b w:val="false"/>
          <w:color w:val="000000"/>
          <w:sz w:val="20"/>
        </w:rPr>
        <w:t>$50 Million Loan Agreement</w:t>
      </w:r>
      <w:r>
        <w:rPr>
          <w:color w:val="000000"/>
          <w:shd w:fill="FFFFFF" w:val="clear"/>
        </w:rPr>
        <w:t xml:space="preserve"> </w:t>
      </w:r>
      <w:r>
        <w:rPr>
          <w:rFonts w:ascii="Times New Roman;sans-serif" w:hAnsi="Times New Roman;sans-serif"/>
          <w:b w:val="false"/>
          <w:color w:val="000000"/>
          <w:sz w:val="20"/>
          <w:shd w:fill="FFFFFF" w:val="clear"/>
        </w:rPr>
        <w:t xml:space="preserve">provides the Company with a $50.0 million uncommitted facility that is subordinated to the </w:t>
      </w:r>
      <w:r>
        <w:rPr>
          <w:rFonts w:ascii="Times New Roman;sans-serif" w:hAnsi="Times New Roman;sans-serif"/>
          <w:b w:val="false"/>
          <w:color w:val="000000"/>
          <w:sz w:val="20"/>
        </w:rPr>
        <w:t>Credit Agreement</w:t>
      </w:r>
      <w:r>
        <w:rPr>
          <w:color w:val="000000"/>
          <w:shd w:fill="FFFFFF" w:val="clear"/>
        </w:rPr>
        <w:t xml:space="preserve"> </w:t>
      </w:r>
      <w:r>
        <w:rPr>
          <w:rFonts w:ascii="Times New Roman;sans-serif" w:hAnsi="Times New Roman;sans-serif"/>
          <w:b w:val="false"/>
          <w:color w:val="000000"/>
          <w:sz w:val="20"/>
          <w:shd w:fill="FFFFFF" w:val="clear"/>
        </w:rPr>
        <w:t xml:space="preserve">and any borrowing requests made under the </w:t>
      </w:r>
      <w:r>
        <w:rPr>
          <w:rFonts w:ascii="Times New Roman;sans-serif" w:hAnsi="Times New Roman;sans-serif"/>
          <w:b w:val="false"/>
          <w:color w:val="000000"/>
          <w:sz w:val="20"/>
        </w:rPr>
        <w:t>$50 Million Loan Agreement</w:t>
      </w:r>
      <w:r>
        <w:rPr>
          <w:color w:val="000000"/>
          <w:shd w:fill="FFFFFF" w:val="clear"/>
        </w:rPr>
        <w:t xml:space="preserve"> </w:t>
      </w:r>
      <w:r>
        <w:rPr>
          <w:rFonts w:ascii="Times New Roman;sans-serif" w:hAnsi="Times New Roman;sans-serif"/>
          <w:b w:val="false"/>
          <w:color w:val="000000"/>
          <w:sz w:val="20"/>
          <w:shd w:fill="FFFFFF" w:val="clear"/>
        </w:rPr>
        <w:t xml:space="preserve">are subject to Weichai’s discretionary approval. Borrowings under the </w:t>
      </w:r>
      <w:r>
        <w:rPr>
          <w:rFonts w:ascii="Times New Roman;sans-serif" w:hAnsi="Times New Roman;sans-serif"/>
          <w:b w:val="false"/>
          <w:color w:val="000000"/>
          <w:sz w:val="20"/>
        </w:rPr>
        <w:t>third Shareholder’s Loan Agreement</w:t>
      </w:r>
      <w:r>
        <w:rPr>
          <w:color w:val="000000"/>
          <w:shd w:fill="FFFFFF" w:val="clear"/>
        </w:rPr>
        <w:t xml:space="preserve"> </w:t>
      </w:r>
      <w:r>
        <w:rPr>
          <w:rFonts w:ascii="Times New Roman;sans-serif" w:hAnsi="Times New Roman;sans-serif"/>
          <w:b w:val="false"/>
          <w:color w:val="000000"/>
          <w:sz w:val="20"/>
          <w:shd w:fill="FFFFFF" w:val="clear"/>
        </w:rPr>
        <w:t xml:space="preserve">incur interest at the applicable SOFR, plus 4.65% per annum and can be used for general corporate purposes, except for certain legal expenditures which require additional approval from Weichai. Further, if the applicable term SOFR is negative, the interest rate per annum shall be deemed as 4.65% per annum. If the interest rate for any loan is lower than Weichai’s borrowing cost, the interest rate for such loan shall be equal to Weichai’s borrowing cost plus 1.0%. The </w:t>
      </w:r>
      <w:r>
        <w:rPr>
          <w:rFonts w:ascii="Times New Roman;sans-serif" w:hAnsi="Times New Roman;sans-serif"/>
          <w:b w:val="false"/>
          <w:color w:val="000000"/>
          <w:sz w:val="20"/>
        </w:rPr>
        <w:t>$50 Million Loan Agreement</w:t>
      </w:r>
      <w:r>
        <w:rPr>
          <w:color w:val="000000"/>
          <w:shd w:fill="FFFFFF" w:val="clear"/>
        </w:rPr>
        <w:t xml:space="preserve"> </w:t>
      </w:r>
      <w:r>
        <w:rPr>
          <w:rFonts w:ascii="Times New Roman;sans-serif" w:hAnsi="Times New Roman;sans-serif"/>
          <w:b w:val="false"/>
          <w:color w:val="000000"/>
          <w:sz w:val="20"/>
          <w:shd w:fill="FFFFFF" w:val="clear"/>
        </w:rPr>
        <w:t xml:space="preserve">was amended </w:t>
      </w:r>
      <w:r>
        <w:rPr>
          <w:rFonts w:ascii="Times New Roman;sans-serif" w:hAnsi="Times New Roman;sans-serif"/>
          <w:b w:val="false"/>
          <w:color w:val="000000"/>
          <w:sz w:val="20"/>
        </w:rPr>
        <w:t>on November 29,</w:t>
      </w:r>
      <w:r>
        <w:rPr>
          <w:color w:val="000000"/>
          <w:shd w:fill="FFFFFF" w:val="clear"/>
        </w:rPr>
        <w:t xml:space="preserve"> </w:t>
      </w:r>
      <w:r>
        <w:rPr>
          <w:rFonts w:ascii="Times New Roman;sans-serif" w:hAnsi="Times New Roman;sans-serif"/>
          <w:b w:val="false"/>
          <w:color w:val="000000"/>
          <w:sz w:val="20"/>
          <w:shd w:fill="FFFFFF" w:val="clear"/>
        </w:rPr>
        <w:t>2023 and expires on November 30, 2024 with any outstanding principal and accrued interest due upon maturity.</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As of March 31, 2024, the Company’s total outstanding debt obligations under the </w:t>
      </w:r>
      <w:r>
        <w:rPr>
          <w:rFonts w:ascii="Times New Roman;sans-serif" w:hAnsi="Times New Roman;sans-serif"/>
          <w:b w:val="false"/>
          <w:color w:val="000000"/>
          <w:sz w:val="20"/>
        </w:rPr>
        <w:t>Credit Agreement</w:t>
      </w:r>
      <w:r>
        <w:rPr>
          <w:rFonts w:ascii="Times New Roman;sans-serif" w:hAnsi="Times New Roman;sans-serif"/>
          <w:b w:val="false"/>
          <w:color w:val="000000"/>
          <w:sz w:val="20"/>
          <w:shd w:fill="FFFFFF" w:val="clear"/>
        </w:rPr>
        <w:t xml:space="preserve">, its </w:t>
      </w:r>
      <w:r>
        <w:rPr>
          <w:rFonts w:ascii="Times New Roman;sans-serif" w:hAnsi="Times New Roman;sans-serif"/>
          <w:b w:val="false"/>
          <w:color w:val="000000"/>
          <w:sz w:val="20"/>
        </w:rPr>
        <w:t>$25 Million Loan Agreement</w:t>
      </w:r>
      <w:r>
        <w:rPr>
          <w:rFonts w:ascii="Times New Roman;sans-serif" w:hAnsi="Times New Roman;sans-serif"/>
          <w:b w:val="false"/>
          <w:color w:val="000000"/>
          <w:sz w:val="20"/>
          <w:shd w:fill="FFFFFF" w:val="clear"/>
        </w:rPr>
        <w:t xml:space="preserve">, its </w:t>
      </w:r>
      <w:r>
        <w:rPr>
          <w:rFonts w:ascii="Times New Roman;sans-serif" w:hAnsi="Times New Roman;sans-serif"/>
          <w:b w:val="false"/>
          <w:color w:val="000000"/>
          <w:sz w:val="20"/>
        </w:rPr>
        <w:t>$50 Million Loan Agreement</w:t>
      </w:r>
      <w:r>
        <w:rPr>
          <w:rFonts w:ascii="Times New Roman;sans-serif" w:hAnsi="Times New Roman;sans-serif"/>
          <w:b w:val="false"/>
          <w:color w:val="000000"/>
          <w:sz w:val="20"/>
          <w:shd w:fill="FFFFFF" w:val="clear"/>
        </w:rPr>
        <w:t xml:space="preserve">, its </w:t>
      </w:r>
      <w:r>
        <w:rPr>
          <w:rFonts w:ascii="Times New Roman;sans-serif" w:hAnsi="Times New Roman;sans-serif"/>
          <w:b w:val="false"/>
          <w:color w:val="000000"/>
          <w:sz w:val="20"/>
        </w:rPr>
        <w:t xml:space="preserve">$30 Million Loan Agreement, </w:t>
      </w:r>
      <w:r>
        <w:rPr>
          <w:rFonts w:ascii="Times New Roman;sans-serif" w:hAnsi="Times New Roman;sans-serif"/>
          <w:b w:val="false"/>
          <w:color w:val="000000"/>
          <w:sz w:val="20"/>
          <w:shd w:fill="FFFFFF" w:val="clear"/>
        </w:rPr>
        <w:t xml:space="preserve">and for finance leases and other debt were $140.2 million in the aggregate, and its cash and cash equivalents were $33.1 million. The Company's total accrued interest for the </w:t>
      </w:r>
      <w:r>
        <w:rPr>
          <w:rFonts w:ascii="Times New Roman;sans-serif" w:hAnsi="Times New Roman;sans-serif"/>
          <w:b w:val="false"/>
          <w:color w:val="000000"/>
          <w:sz w:val="20"/>
        </w:rPr>
        <w:t>Credit Agreement</w:t>
      </w:r>
      <w:r>
        <w:rPr>
          <w:color w:val="000000"/>
          <w:shd w:fill="FFFFFF" w:val="clear"/>
        </w:rPr>
        <w:t xml:space="preserve"> </w:t>
      </w:r>
      <w:r>
        <w:rPr>
          <w:rFonts w:ascii="Times New Roman;sans-serif" w:hAnsi="Times New Roman;sans-serif"/>
          <w:b w:val="false"/>
          <w:color w:val="000000"/>
          <w:sz w:val="20"/>
          <w:shd w:fill="FFFFFF" w:val="clear"/>
        </w:rPr>
        <w:t>and all shareholder loans was $2.3 million and $1.9 million as of March 31, 2024 and December 31, 2023, respectively. Accrued interest is included within</w:t>
      </w:r>
      <w:r>
        <w:rPr>
          <w:color w:val="000000"/>
          <w:shd w:fill="FFFFFF" w:val="clear"/>
        </w:rPr>
        <w:t xml:space="preserve"> </w:t>
      </w:r>
      <w:r>
        <w:rPr>
          <w:rFonts w:ascii="Times New Roman;sans-serif" w:hAnsi="Times New Roman;sans-serif"/>
          <w:b w:val="false"/>
          <w:i/>
          <w:color w:val="000000"/>
          <w:sz w:val="20"/>
          <w:shd w:fill="FFFFFF" w:val="clear"/>
        </w:rPr>
        <w:t>Other Accrued</w:t>
      </w:r>
      <w:r>
        <w:rPr>
          <w:color w:val="000000"/>
          <w:shd w:fill="FFFFFF" w:val="clear"/>
        </w:rPr>
        <w:t xml:space="preserve"> </w:t>
      </w:r>
      <w:r>
        <w:rPr>
          <w:rFonts w:ascii="Times New Roman;sans-serif" w:hAnsi="Times New Roman;sans-serif"/>
          <w:b w:val="false"/>
          <w:i/>
          <w:color w:val="000000"/>
          <w:sz w:val="20"/>
          <w:shd w:fill="FFFFFF" w:val="clear"/>
        </w:rPr>
        <w:t>Liabilities</w:t>
      </w:r>
      <w:r>
        <w:rPr>
          <w:color w:val="000000"/>
          <w:shd w:fill="FFFFFF" w:val="clear"/>
        </w:rPr>
        <w:t xml:space="preserve"> </w:t>
      </w:r>
      <w:r>
        <w:rPr>
          <w:rFonts w:ascii="Times New Roman;sans-serif" w:hAnsi="Times New Roman;sans-serif"/>
          <w:b w:val="false"/>
          <w:color w:val="000000"/>
          <w:sz w:val="20"/>
          <w:shd w:fill="FFFFFF" w:val="clear"/>
        </w:rPr>
        <w:t>on the Consolidated Balance Sheet.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See Note 1.</w:t>
      </w:r>
      <w:r>
        <w:rPr>
          <w:color w:val="000000"/>
          <w:shd w:fill="FFFFFF" w:val="clear"/>
        </w:rPr>
        <w:t xml:space="preserve"> </w:t>
      </w:r>
      <w:r>
        <w:rPr>
          <w:rFonts w:ascii="Times New Roman;sans-serif" w:hAnsi="Times New Roman;sans-serif"/>
          <w:b w:val="false"/>
          <w:i/>
          <w:color w:val="000000"/>
          <w:sz w:val="20"/>
          <w:shd w:fill="FFFFFF" w:val="clear"/>
        </w:rPr>
        <w:t>Summary of Significant Accounting Policies and Other Information</w:t>
      </w:r>
      <w:r>
        <w:rPr>
          <w:color w:val="000000"/>
          <w:shd w:fill="FFFFFF" w:val="clear"/>
        </w:rPr>
        <w:t xml:space="preserve"> </w:t>
      </w:r>
      <w:r>
        <w:rPr>
          <w:rFonts w:ascii="Times New Roman;sans-serif" w:hAnsi="Times New Roman;sans-serif"/>
          <w:b w:val="false"/>
          <w:color w:val="000000"/>
          <w:sz w:val="20"/>
          <w:shd w:fill="FFFFFF" w:val="clear"/>
        </w:rPr>
        <w:t>for further discussion of t</w:t>
      </w:r>
      <w:r>
        <w:rPr>
          <w:rFonts w:ascii="Times New Roman;sans-serif" w:hAnsi="Times New Roman;sans-serif"/>
          <w:b w:val="false"/>
          <w:color w:val="000000"/>
          <w:sz w:val="20"/>
        </w:rPr>
        <w:t xml:space="preserve">he Company’s going concern considerations.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pPr>
      <w:r>
        <w:rPr>
          <w:rFonts w:ascii="Times New Roman;sans-serif" w:hAnsi="Times New Roman;sans-serif"/>
          <w:b/>
          <w:color w:val="000000"/>
          <w:sz w:val="20"/>
          <w:shd w:fill="FFFFFF" w:val="clear"/>
        </w:rPr>
        <w:t>Note 7.</w:t>
      </w:r>
      <w:r>
        <w:rPr>
          <w:color w:val="000000"/>
        </w:rPr>
        <w:t>    </w:t>
      </w:r>
      <w:r>
        <w:rPr>
          <w:rFonts w:ascii="Times New Roman;sans-serif" w:hAnsi="Times New Roman;sans-serif"/>
          <w:b/>
          <w:color w:val="000000"/>
          <w:sz w:val="20"/>
          <w:shd w:fill="FFFFFF" w:val="clear"/>
        </w:rPr>
        <w:t>Leases</w:t>
      </w:r>
      <w:r>
        <w:rPr>
          <w:color w:val="000000"/>
        </w:rPr>
        <w:t xml:space="preserve"> </w:t>
      </w:r>
    </w:p>
    <w:p>
      <w:pPr>
        <w:pStyle w:val="TextBody"/>
        <w:bidi w:val="0"/>
        <w:spacing w:lineRule="auto" w:line="288" w:before="180" w:after="120"/>
        <w:jc w:val="both"/>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20" w:after="120"/>
        <w:jc w:val="both"/>
        <w:rPr/>
      </w:pPr>
      <w:r>
        <w:rPr>
          <w:rFonts w:ascii="Times New Roman;sans-serif" w:hAnsi="Times New Roman;sans-serif"/>
          <w:b w:val="false"/>
          <w:color w:val="000000"/>
          <w:sz w:val="20"/>
        </w:rPr>
        <w:t>The Company has obligations under lease arrangements primarily for facilities, equipment and vehicles. These leases have original lease periods expiring betwee</w:t>
      </w:r>
      <w:r>
        <w:rPr>
          <w:rFonts w:ascii="Times New Roman;sans-serif" w:hAnsi="Times New Roman;sans-serif"/>
          <w:b w:val="false"/>
          <w:color w:val="000000"/>
          <w:sz w:val="20"/>
          <w:shd w:fill="FFFFFF" w:val="clear"/>
        </w:rPr>
        <w:t>n May 2024 and July 2034.</w:t>
      </w:r>
      <w:r>
        <w:rPr>
          <w:color w:val="000000"/>
        </w:rPr>
        <w:t xml:space="preserve"> </w:t>
      </w:r>
      <w:r>
        <w:rPr>
          <w:rFonts w:ascii="Times New Roman;sans-serif" w:hAnsi="Times New Roman;sans-serif"/>
          <w:b w:val="false"/>
          <w:color w:val="000000"/>
          <w:sz w:val="20"/>
          <w:shd w:fill="FFFFFF" w:val="clear"/>
        </w:rPr>
        <w:t xml:space="preserve">The following table summarizes the lease expense by category in the Consolidated Statement of Income: </w:t>
      </w:r>
    </w:p>
    <w:tbl>
      <w:tblPr>
        <w:tblW w:w="7226" w:type="dxa"/>
        <w:jc w:val="left"/>
        <w:tblInd w:w="0" w:type="dxa"/>
        <w:tblLayout w:type="fixed"/>
        <w:tblCellMar>
          <w:top w:w="28" w:type="dxa"/>
          <w:left w:w="28" w:type="dxa"/>
          <w:bottom w:w="28" w:type="dxa"/>
          <w:right w:w="28" w:type="dxa"/>
        </w:tblCellMar>
      </w:tblPr>
      <w:tblGrid>
        <w:gridCol w:w="1172"/>
        <w:gridCol w:w="1032"/>
        <w:gridCol w:w="1035"/>
        <w:gridCol w:w="109"/>
        <w:gridCol w:w="109"/>
        <w:gridCol w:w="109"/>
        <w:gridCol w:w="304"/>
        <w:gridCol w:w="863"/>
        <w:gridCol w:w="169"/>
        <w:gridCol w:w="169"/>
        <w:gridCol w:w="169"/>
        <w:gridCol w:w="169"/>
        <w:gridCol w:w="304"/>
        <w:gridCol w:w="863"/>
        <w:gridCol w:w="169"/>
        <w:gridCol w:w="109"/>
        <w:gridCol w:w="109"/>
        <w:gridCol w:w="109"/>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components of lease expense and income:</w:t>
      </w:r>
    </w:p>
    <w:tbl>
      <w:tblPr>
        <w:tblW w:w="7212" w:type="dxa"/>
        <w:jc w:val="left"/>
        <w:tblInd w:w="0" w:type="dxa"/>
        <w:tblLayout w:type="fixed"/>
        <w:tblCellMar>
          <w:top w:w="28" w:type="dxa"/>
          <w:left w:w="28" w:type="dxa"/>
          <w:bottom w:w="28" w:type="dxa"/>
          <w:right w:w="28" w:type="dxa"/>
        </w:tblCellMar>
      </w:tblPr>
      <w:tblGrid>
        <w:gridCol w:w="1167"/>
        <w:gridCol w:w="1027"/>
        <w:gridCol w:w="1031"/>
        <w:gridCol w:w="109"/>
        <w:gridCol w:w="109"/>
        <w:gridCol w:w="109"/>
        <w:gridCol w:w="304"/>
        <w:gridCol w:w="863"/>
        <w:gridCol w:w="169"/>
        <w:gridCol w:w="169"/>
        <w:gridCol w:w="169"/>
        <w:gridCol w:w="169"/>
        <w:gridCol w:w="304"/>
        <w:gridCol w:w="863"/>
        <w:gridCol w:w="169"/>
        <w:gridCol w:w="109"/>
        <w:gridCol w:w="109"/>
        <w:gridCol w:w="109"/>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right-of-use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lease cost,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supplemental cash flow information related to leases:</w:t>
      </w:r>
    </w:p>
    <w:tbl>
      <w:tblPr>
        <w:tblW w:w="8585" w:type="dxa"/>
        <w:jc w:val="left"/>
        <w:tblInd w:w="0" w:type="dxa"/>
        <w:tblLayout w:type="fixed"/>
        <w:tblCellMar>
          <w:top w:w="28" w:type="dxa"/>
          <w:left w:w="28" w:type="dxa"/>
          <w:bottom w:w="28" w:type="dxa"/>
          <w:right w:w="28" w:type="dxa"/>
        </w:tblCellMar>
      </w:tblPr>
      <w:tblGrid>
        <w:gridCol w:w="1823"/>
        <w:gridCol w:w="1606"/>
        <w:gridCol w:w="1610"/>
        <w:gridCol w:w="109"/>
        <w:gridCol w:w="109"/>
        <w:gridCol w:w="109"/>
        <w:gridCol w:w="301"/>
        <w:gridCol w:w="856"/>
        <w:gridCol w:w="167"/>
        <w:gridCol w:w="167"/>
        <w:gridCol w:w="167"/>
        <w:gridCol w:w="167"/>
        <w:gridCol w:w="301"/>
        <w:gridCol w:w="856"/>
        <w:gridCol w:w="237"/>
      </w:tblGrid>
      <w:tr>
        <w:trPr/>
        <w:tc>
          <w:tcPr>
            <w:tcW w:w="1823"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paid for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paid for interest portion of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cash flows paid for principal portion of 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31, 2024 and December 31, 2023, the weighted-average remaining lease term was 5.9 years and 6.2 years for operating leases and 2.0 years and 2.2 years for finance leases, respectively. As of March 31, 2024 and December 31, 2023, the weighted-average discount rate was 7.5% and 7.6% for operating leases, respectively, and for both periods 6.5% for finance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supplemental balance sheet information related to leases:</w:t>
      </w:r>
    </w:p>
    <w:tbl>
      <w:tblPr>
        <w:tblW w:w="6382" w:type="dxa"/>
        <w:jc w:val="left"/>
        <w:tblInd w:w="0" w:type="dxa"/>
        <w:tblLayout w:type="fixed"/>
        <w:tblCellMar>
          <w:top w:w="28" w:type="dxa"/>
          <w:left w:w="28" w:type="dxa"/>
          <w:bottom w:w="28" w:type="dxa"/>
          <w:right w:w="28" w:type="dxa"/>
        </w:tblCellMar>
      </w:tblPr>
      <w:tblGrid>
        <w:gridCol w:w="1031"/>
        <w:gridCol w:w="908"/>
        <w:gridCol w:w="911"/>
        <w:gridCol w:w="109"/>
        <w:gridCol w:w="109"/>
        <w:gridCol w:w="109"/>
        <w:gridCol w:w="266"/>
        <w:gridCol w:w="876"/>
        <w:gridCol w:w="147"/>
        <w:gridCol w:w="109"/>
        <w:gridCol w:w="109"/>
        <w:gridCol w:w="109"/>
        <w:gridCol w:w="313"/>
        <w:gridCol w:w="1031"/>
        <w:gridCol w:w="245"/>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 xml:space="preserve">Operating lease ROU assets,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color w:val="000000"/>
                <w:sz w:val="18"/>
              </w:rPr>
              <w:t xml:space="preserve">Finance lease ROU assets, net </w:t>
            </w:r>
            <w:r>
              <w:rPr>
                <w:rFonts w:ascii="Times New Roman;sans-serif" w:hAnsi="Times New Roman;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Finance lease liabilities, current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Finance lease liabilities, non-current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ans-serif" w:hAnsi="Times New Roman;sans-serif"/>
          <w:b w:val="false"/>
          <w:color w:val="000000"/>
          <w:sz w:val="16"/>
        </w:rPr>
        <w:t xml:space="preserve">1.Included in </w:t>
      </w:r>
      <w:r>
        <w:rPr>
          <w:rFonts w:ascii="Times New Roman;sans-serif" w:hAnsi="Times New Roman;sans-serif"/>
          <w:b w:val="false"/>
          <w:i/>
          <w:color w:val="000000"/>
          <w:sz w:val="16"/>
        </w:rPr>
        <w:t>Property, plant and equipment, net</w:t>
      </w:r>
      <w:r>
        <w:rPr>
          <w:color w:val="000000"/>
        </w:rPr>
        <w:t xml:space="preserve"> </w:t>
      </w:r>
      <w:r>
        <w:rPr>
          <w:rFonts w:ascii="Times New Roman;sans-serif" w:hAnsi="Times New Roman;sans-serif"/>
          <w:b w:val="false"/>
          <w:color w:val="000000"/>
          <w:sz w:val="16"/>
        </w:rPr>
        <w:t>for finance leases on the Consolidated Balance Sheets.</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maturity analysis of lease liabilities as of March 31, 2024:</w:t>
      </w:r>
    </w:p>
    <w:tbl>
      <w:tblPr>
        <w:tblW w:w="6398" w:type="dxa"/>
        <w:jc w:val="left"/>
        <w:tblInd w:w="0" w:type="dxa"/>
        <w:tblLayout w:type="fixed"/>
        <w:tblCellMar>
          <w:top w:w="28" w:type="dxa"/>
          <w:left w:w="28" w:type="dxa"/>
          <w:bottom w:w="28" w:type="dxa"/>
          <w:right w:w="28" w:type="dxa"/>
        </w:tblCellMar>
      </w:tblPr>
      <w:tblGrid>
        <w:gridCol w:w="1085"/>
        <w:gridCol w:w="956"/>
        <w:gridCol w:w="959"/>
        <w:gridCol w:w="109"/>
        <w:gridCol w:w="109"/>
        <w:gridCol w:w="109"/>
        <w:gridCol w:w="296"/>
        <w:gridCol w:w="978"/>
        <w:gridCol w:w="165"/>
        <w:gridCol w:w="109"/>
        <w:gridCol w:w="109"/>
        <w:gridCol w:w="109"/>
        <w:gridCol w:w="332"/>
        <w:gridCol w:w="713"/>
        <w:gridCol w:w="260"/>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Leases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Nine months ending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8.    Fair Value of Financial Instruments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assets and liabilities measured at fair value on a recurring and nonrecurring basis, a three-level hierarchy of measurements based upon observable and unobservable inputs is used to arrive at fair value. Observable inputs are developed based on market data obtained from independent sources, while unobservable inputs reflect the Company’s assumptions about valuation based on the best information available in the circumstances. Depending on the inputs, the Company classifies each fair-value measurement as follows: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1 – based on quoted prices in active markets for identical assets or liabilities;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2 – based on other significant observable inputs for the assets or liabilities through corroborations with market data at the measurement date;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Level 3 – based on significant unobservable inputs that reflect management’s best estimate of what market participants would use to price the assets or liabilities at the measurement date.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Financial Instruments Measured at Carrying Value</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Current Assets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(Level 1) are measured at carrying value, which approximates fair value because of the short-term maturities of these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The Company measured its revolving credit facility and other short-term financing at original carrying value. </w:t>
      </w:r>
      <w:r>
        <w:rPr>
          <w:rFonts w:ascii="Times New Roman;sans-serif" w:hAnsi="Times New Roman;sans-serif"/>
          <w:b w:val="false"/>
          <w:color w:val="000000"/>
          <w:sz w:val="20"/>
        </w:rPr>
        <w:t>Unamortized financing costs and deferred f</w:t>
      </w:r>
      <w:r>
        <w:rPr>
          <w:rFonts w:ascii="Times New Roman;sans-serif" w:hAnsi="Times New Roman;sans-serif"/>
          <w:b w:val="false"/>
          <w:color w:val="000000"/>
          <w:sz w:val="20"/>
          <w:shd w:fill="FFFFFF" w:val="clear"/>
        </w:rPr>
        <w:t>ees of $0.1 million and $0.2 million as of March 31, 2024 and December 31, 2023, respec</w:t>
      </w:r>
      <w:r>
        <w:rPr>
          <w:rFonts w:ascii="Times New Roman;sans-serif" w:hAnsi="Times New Roman;sans-serif"/>
          <w:b w:val="false"/>
          <w:color w:val="000000"/>
          <w:sz w:val="20"/>
        </w:rPr>
        <w:t xml:space="preserve">tively, on the revolving credit facility are classified in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 xml:space="preserve">on the Consolidated Balance Sheet. </w:t>
      </w:r>
      <w:r>
        <w:rPr>
          <w:rFonts w:ascii="Times New Roman;sans-serif" w:hAnsi="Times New Roman;sans-serif"/>
          <w:b w:val="false"/>
          <w:color w:val="000000"/>
          <w:sz w:val="20"/>
          <w:shd w:fill="FFFFFF" w:val="clear"/>
        </w:rPr>
        <w:t>The fair value of the revolving credit facility and other short-term financing approximated carrying value, as it consisted primarily of short-term variable rate loans. The Company measures its material debt obligations using Level 2 inputs as follows:</w:t>
      </w:r>
    </w:p>
    <w:tbl>
      <w:tblPr>
        <w:tblW w:w="6845" w:type="dxa"/>
        <w:jc w:val="left"/>
        <w:tblInd w:w="0" w:type="dxa"/>
        <w:tblLayout w:type="fixed"/>
        <w:tblCellMar>
          <w:top w:w="28" w:type="dxa"/>
          <w:left w:w="28" w:type="dxa"/>
          <w:bottom w:w="28" w:type="dxa"/>
          <w:right w:w="28" w:type="dxa"/>
        </w:tblCellMar>
      </w:tblPr>
      <w:tblGrid>
        <w:gridCol w:w="656"/>
        <w:gridCol w:w="578"/>
        <w:gridCol w:w="580"/>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94,820 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845" w:type="dxa"/>
        <w:jc w:val="left"/>
        <w:tblInd w:w="0" w:type="dxa"/>
        <w:tblLayout w:type="fixed"/>
        <w:tblCellMar>
          <w:top w:w="28" w:type="dxa"/>
          <w:left w:w="28" w:type="dxa"/>
          <w:bottom w:w="28" w:type="dxa"/>
          <w:right w:w="28" w:type="dxa"/>
        </w:tblCellMar>
      </w:tblPr>
      <w:tblGrid>
        <w:gridCol w:w="656"/>
        <w:gridCol w:w="578"/>
        <w:gridCol w:w="580"/>
        <w:gridCol w:w="109"/>
        <w:gridCol w:w="109"/>
        <w:gridCol w:w="109"/>
        <w:gridCol w:w="269"/>
        <w:gridCol w:w="887"/>
        <w:gridCol w:w="149"/>
        <w:gridCol w:w="109"/>
        <w:gridCol w:w="109"/>
        <w:gridCol w:w="109"/>
        <w:gridCol w:w="196"/>
        <w:gridCol w:w="406"/>
        <w:gridCol w:w="109"/>
        <w:gridCol w:w="109"/>
        <w:gridCol w:w="109"/>
        <w:gridCol w:w="109"/>
        <w:gridCol w:w="196"/>
        <w:gridCol w:w="646"/>
        <w:gridCol w:w="109"/>
        <w:gridCol w:w="109"/>
        <w:gridCol w:w="109"/>
        <w:gridCol w:w="109"/>
        <w:gridCol w:w="196"/>
        <w:gridCol w:w="40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Other Financial Assets and Liabilities</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addition to the methods and assumptions used for the financial instruments discussed above, accounts receivable, net, income tax receivable, and accounts payable and certain accrued expenses are measured at carrying value, which approximates fair value (Level 1) because of the short-term maturities of these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Commitments and Contingencies</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Legal Contingencies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legal matters discussed below and others could result in losses, including damages, fines, civil penalties and criminal charges, which could be substantial. The Company records accruals for these contingencies to the extent the Company concludes that a loss is both probable and reasonably estimable. Regarding the matters disclosed below, unless otherwise disclosed, the Company has determined that liabilities associated with these legal matters are reasonably possible; however, unless otherwise stated, the possible loss or range of possible loss cannot be reasonably estimated. Given the nature of the litigation and investigations and the complexities involved, the Company is unable to reasonably estimate a possible loss for all such matters until the Company knows, among other factors,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what claims, if any, will survive dispositive motion practice;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extent of the claims, particularly when damages are not specified or are indeterminate;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how the discovery process will affect the litigation;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settlement posture of the other parties to the litigation;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any other factors that may have a material effect on the litigation or investigation.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However, the Company could incur judgments, enter into settlements or revise its expectations regarding the outcome of certain matters, and such developments could have a material adverse effect on the Company’s results of operations in the period in which the amounts are accrued and/or liquidity in the period in which the amounts are paid.</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Securities and Exchange Commission and United States Attorney’s Office (“USAO”) for the Northern District of Illinois Investigations</w:t>
      </w:r>
    </w:p>
    <w:p>
      <w:pPr>
        <w:pStyle w:val="TextBody"/>
        <w:bidi w:val="0"/>
        <w:spacing w:lineRule="auto" w:line="288" w:before="120" w:after="120"/>
        <w:jc w:val="both"/>
        <w:rPr/>
      </w:pPr>
      <w:r>
        <w:rPr>
          <w:rFonts w:ascii="Times New Roman;sans-serif" w:hAnsi="Times New Roman;sans-serif"/>
          <w:b w:val="false"/>
          <w:color w:val="000000"/>
          <w:sz w:val="20"/>
        </w:rPr>
        <w:t>In September 2020, the Company entered into agreements with the SEC and the USAO to resolve the investigations into the Company’s past revenue recognition practices. Under the settled administrative order with the SEC, the Company committed to remediate the deficiencies in its internal control over financial reporting that constituted material weaknesses identified in its 2017 Form 10-K filed in May 2019 by April 30, 2021 unless an extension was provided by the SEC. On April 12, 2021, the SEC granted the Company’s request for an extension of time until March 31, 2022 in which to comply with the requirements of the administrative order to remediate the remaining outstanding material weaknesses. In April 2022, the SEC granted a further extension of time until March 31, 2023 to fully comply with the administrative orde</w:t>
      </w:r>
      <w:r>
        <w:rPr>
          <w:rFonts w:ascii="Times New Roman;sans-serif" w:hAnsi="Times New Roman;sans-serif"/>
          <w:b w:val="false"/>
          <w:color w:val="000000"/>
          <w:sz w:val="20"/>
          <w:shd w:fill="FFFFFF" w:val="clear"/>
        </w:rPr>
        <w:t xml:space="preserve">r. In May 2023, the Company submitted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documentation to the SEC for its review to assess the Company’s compliance with the administrative order. In July 2023, the Company was notified by the SEC that no additional information was required with respect to the administrative order.</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Jerome Treadwell v. the Company     </w:t>
      </w:r>
    </w:p>
    <w:p>
      <w:pPr>
        <w:pStyle w:val="TextBody"/>
        <w:bidi w:val="0"/>
        <w:spacing w:lineRule="auto" w:line="288" w:before="120" w:after="120"/>
        <w:jc w:val="both"/>
        <w:rPr/>
      </w:pPr>
      <w:r>
        <w:rPr>
          <w:rFonts w:ascii="Times New Roman;sans-serif" w:hAnsi="Times New Roman;sans-serif"/>
          <w:b w:val="false"/>
          <w:color w:val="000000"/>
          <w:sz w:val="20"/>
        </w:rPr>
        <w:t>In October 2018, a punitive class-action complaint was filed against the Company and NOVAtime Technology, Inc. (“NOVAtime” or “Plaintiff”) in the Circuit Court of Cook County, Illinois. In December 2018, NOVAtime removed the case to the U.S. District Court for the Northern District of Illinois, Eastern Division (the “Court”) under the Class Action Fairness Act. Plaintiff has since voluntarily dismissed NOVAtime</w:t>
      </w:r>
      <w:r>
        <w:rPr>
          <w:color w:val="000000"/>
          <w:shd w:fill="FFFFFF" w:val="clear"/>
        </w:rPr>
        <w:t xml:space="preserve"> </w:t>
      </w:r>
      <w:r>
        <w:rPr>
          <w:rFonts w:ascii="Times New Roman;sans-serif" w:hAnsi="Times New Roman;sans-serif"/>
          <w:b w:val="false"/>
          <w:color w:val="000000"/>
          <w:sz w:val="20"/>
          <w:shd w:fill="FFFFFF" w:val="clear"/>
        </w:rPr>
        <w:t xml:space="preserve">from the lawsuit without prejudice and filed an amended complaint in April 2019. The operative, amended complaint asserts violations of the Illinois Biometric Information Privacy Act (“BIPA”) in connection with employees’ use of the time clock to clock in and clock out using a finger scan and seeks statutory damages, attorneys’ fees, and injunctive and equitable relief. An aggrieved party under BIPA may recover (i) $1,000 per violation if the Company is found to have negligently violated BIPA or (ii) $5,000 </w:t>
      </w:r>
      <w:r>
        <w:rPr>
          <w:rFonts w:ascii="Times New Roman;sans-serif" w:hAnsi="Times New Roman;sans-serif"/>
          <w:b w:val="false"/>
          <w:color w:val="000000"/>
          <w:sz w:val="20"/>
        </w:rPr>
        <w:t xml:space="preserve">per violation if the Company is found to have intentionally or recklessly violated BIPA plus reasonable attorneys’ fees. In May 2019, the Company filed its motion to dismiss the Plaintiff’s amended complaint. In December 2019, the court denied the Company’s motion to dismiss. In January 2020, the Company moved for reconsideration of the Court’s order denying the motion to dismiss, or in the alternative, to stay the case pending the Illinois Appellate Court’s ruling in </w:t>
      </w:r>
      <w:r>
        <w:rPr>
          <w:rFonts w:ascii="Times New Roman;sans-serif" w:hAnsi="Times New Roman;sans-serif"/>
          <w:b w:val="false"/>
          <w:i/>
          <w:color w:val="000000"/>
          <w:sz w:val="20"/>
        </w:rPr>
        <w:t>McDonald v. Symphony Healthcare</w:t>
      </w:r>
      <w:r>
        <w:rPr>
          <w:color w:val="000000"/>
        </w:rPr>
        <w:t xml:space="preserve"> </w:t>
      </w:r>
      <w:r>
        <w:rPr>
          <w:rFonts w:ascii="Times New Roman;sans-serif" w:hAnsi="Times New Roman;sans-serif"/>
          <w:b w:val="false"/>
          <w:color w:val="000000"/>
          <w:sz w:val="20"/>
        </w:rPr>
        <w:t xml:space="preserve">on a legal question that would be potentially dispositive in this matter. In February 2020, the Court denied the Company’s motion for reconsideration, but required the parties to submit additional briefing on the Company’s motion to stay. In April 2020, the Court granted the Company’s motion to stay and stayed the case pending the Illinois Appellate Court’s ruling in </w:t>
      </w:r>
      <w:r>
        <w:rPr>
          <w:rFonts w:ascii="Times New Roman;sans-serif" w:hAnsi="Times New Roman;sans-serif"/>
          <w:b w:val="false"/>
          <w:i/>
          <w:color w:val="000000"/>
          <w:sz w:val="20"/>
        </w:rPr>
        <w:t>McDonald v. Symphony Healthcare</w:t>
      </w:r>
      <w:r>
        <w:rPr>
          <w:rFonts w:ascii="Times New Roman;sans-serif" w:hAnsi="Times New Roman;sans-serif"/>
          <w:b w:val="false"/>
          <w:color w:val="000000"/>
          <w:sz w:val="20"/>
        </w:rPr>
        <w:t xml:space="preserve">. In October 2020, after the </w:t>
      </w:r>
      <w:r>
        <w:rPr>
          <w:rFonts w:ascii="Times New Roman;sans-serif" w:hAnsi="Times New Roman;sans-serif"/>
          <w:b w:val="false"/>
          <w:i/>
          <w:color w:val="000000"/>
          <w:sz w:val="20"/>
        </w:rPr>
        <w:t>McDonald</w:t>
      </w:r>
      <w:r>
        <w:rPr>
          <w:color w:val="000000"/>
        </w:rPr>
        <w:t xml:space="preserve"> </w:t>
      </w:r>
      <w:r>
        <w:rPr>
          <w:rFonts w:ascii="Times New Roman;sans-serif" w:hAnsi="Times New Roman;sans-serif"/>
          <w:b w:val="false"/>
          <w:color w:val="000000"/>
          <w:sz w:val="20"/>
        </w:rPr>
        <w:t>ruling, the Court granted the parties’ joint request to continue the stay of the case f</w:t>
      </w:r>
      <w:r>
        <w:rPr>
          <w:rFonts w:ascii="Times New Roman;sans-serif" w:hAnsi="Times New Roman;sans-serif"/>
          <w:b w:val="false"/>
          <w:color w:val="000000"/>
          <w:sz w:val="20"/>
          <w:shd w:fill="FFFFFF" w:val="clear"/>
        </w:rPr>
        <w:t>or 60 days. T</w:t>
      </w:r>
      <w:r>
        <w:rPr>
          <w:rFonts w:ascii="Times New Roman;sans-serif" w:hAnsi="Times New Roman;sans-serif"/>
          <w:b w:val="false"/>
          <w:color w:val="000000"/>
          <w:sz w:val="20"/>
        </w:rPr>
        <w:t xml:space="preserve">he Court also ordered the parties to schedule a settlement conference with the Magistrate Judge in May 2021 which went forward without a settlement being reached. On May 22, 2023, the Company filed the answer to the amended complaint. Plaintiff and PSI have since reached a preliminary settlement of the case, and Plaintiff filed an Unopposed Motion for Preliminary Approval of Class Action Settlement on February 23, 2024, which is currently pending with the Court. As of both </w:t>
      </w:r>
      <w:r>
        <w:rPr>
          <w:rFonts w:ascii="Times New Roman;sans-serif" w:hAnsi="Times New Roman;sans-serif"/>
          <w:b w:val="false"/>
          <w:color w:val="000000"/>
          <w:sz w:val="20"/>
          <w:shd w:fill="FFFFFF" w:val="clear"/>
        </w:rPr>
        <w:t>March 31, 2024</w:t>
      </w:r>
      <w:r>
        <w:rPr>
          <w:color w:val="000000"/>
        </w:rPr>
        <w:t xml:space="preserve"> </w:t>
      </w:r>
      <w:r>
        <w:rPr>
          <w:rFonts w:ascii="Times New Roman;sans-serif" w:hAnsi="Times New Roman;sans-serif"/>
          <w:b w:val="false"/>
          <w:color w:val="000000"/>
          <w:sz w:val="20"/>
        </w:rPr>
        <w:t>and December 31, 2023, the Company had recorded an estimated liabili</w:t>
      </w:r>
      <w:r>
        <w:rPr>
          <w:rFonts w:ascii="Times New Roman;sans-serif" w:hAnsi="Times New Roman;sans-serif"/>
          <w:b w:val="false"/>
          <w:color w:val="000000"/>
          <w:sz w:val="20"/>
          <w:shd w:fill="FFFFFF" w:val="clear"/>
        </w:rPr>
        <w:t>ty of $2.4 million</w:t>
      </w:r>
      <w:r>
        <w:rPr>
          <w:rFonts w:ascii="Times New Roman;sans-serif" w:hAnsi="Times New Roman;sans-serif"/>
          <w:b w:val="false"/>
          <w:color w:val="000000"/>
          <w:sz w:val="20"/>
        </w:rPr>
        <w:t xml:space="preserve">, recorded within </w:t>
      </w:r>
      <w:r>
        <w:rPr>
          <w:rFonts w:ascii="Times New Roman;sans-serif" w:hAnsi="Times New Roman;sans-serif"/>
          <w:b w:val="false"/>
          <w:i/>
          <w:color w:val="000000"/>
          <w:sz w:val="20"/>
        </w:rPr>
        <w:t xml:space="preserve">Other accrued liabilities </w:t>
      </w:r>
      <w:r>
        <w:rPr>
          <w:rFonts w:ascii="Times New Roman;sans-serif" w:hAnsi="Times New Roman;sans-serif"/>
          <w:b w:val="false"/>
          <w:color w:val="000000"/>
          <w:sz w:val="20"/>
        </w:rPr>
        <w:t>on the Consolidated Balance Sheet related to the potential settlement of this matter.</w:t>
      </w:r>
      <w:r>
        <w:rPr>
          <w:color w:val="000000"/>
        </w:rPr>
        <w:t>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Mast Powertrain v. the Company</w:t>
      </w:r>
    </w:p>
    <w:p>
      <w:pPr>
        <w:pStyle w:val="TextBody"/>
        <w:bidi w:val="0"/>
        <w:spacing w:lineRule="auto" w:line="288" w:before="120" w:after="120"/>
        <w:jc w:val="both"/>
        <w:rPr/>
      </w:pPr>
      <w:r>
        <w:rPr>
          <w:rFonts w:ascii="Times New Roman;sans-serif" w:hAnsi="Times New Roman;sans-serif"/>
          <w:b w:val="false"/>
          <w:color w:val="000000"/>
          <w:sz w:val="20"/>
        </w:rPr>
        <w:t xml:space="preserve">In February 2020, the Company received a demand for arbitration from Mast Powertrain, LLC (“Mast”) pursuant to a development agreement entered into in November 2011 (the “Development Agreement”). Mast claimed that it was owed more than </w:t>
      </w:r>
      <w:r>
        <w:rPr>
          <w:rFonts w:ascii="Times New Roman;sans-serif" w:hAnsi="Times New Roman;sans-serif"/>
          <w:b w:val="false"/>
          <w:color w:val="000000"/>
          <w:sz w:val="20"/>
          <w:shd w:fill="FFFFFF" w:val="clear"/>
        </w:rPr>
        <w:t>$9.0 million</w:t>
      </w:r>
      <w:r>
        <w:rPr>
          <w:color w:val="000000"/>
        </w:rPr>
        <w:t xml:space="preserve"> </w:t>
      </w:r>
      <w:r>
        <w:rPr>
          <w:rFonts w:ascii="Times New Roman;sans-serif" w:hAnsi="Times New Roman;sans-serif"/>
          <w:b w:val="false"/>
          <w:color w:val="000000"/>
          <w:sz w:val="20"/>
        </w:rPr>
        <w:t xml:space="preserve">in past royalties and other damages for products sold by the Company pursuant to the Development Agreement. The Company disputed Mast’s damages, denied that any royalties are owed to Mast, denied any liability, and counterclaimed for overpayment on invoices paid to Mast. Mast subsequently clarified its claim for past royalties owed to be approximately </w:t>
      </w:r>
      <w:r>
        <w:rPr>
          <w:rFonts w:ascii="Times New Roman;sans-serif" w:hAnsi="Times New Roman;sans-serif"/>
          <w:b w:val="false"/>
          <w:color w:val="000000"/>
          <w:sz w:val="20"/>
          <w:shd w:fill="FFFFFF" w:val="clear"/>
        </w:rPr>
        <w:t>$4.5 million</w:t>
      </w:r>
      <w:r>
        <w:rPr>
          <w:rFonts w:ascii="Times New Roman;sans-serif" w:hAnsi="Times New Roman;sans-serif"/>
          <w:b w:val="false"/>
          <w:color w:val="000000"/>
          <w:sz w:val="20"/>
        </w:rPr>
        <w:t xml:space="preserve">. In July 2021, the Company reached a settlement with Mast to resolve past claims for royalties </w:t>
      </w:r>
      <w:r>
        <w:rPr>
          <w:rFonts w:ascii="Times New Roman;sans-serif" w:hAnsi="Times New Roman;sans-serif"/>
          <w:b w:val="false"/>
          <w:color w:val="000000"/>
          <w:sz w:val="20"/>
          <w:shd w:fill="FFFFFF" w:val="clear"/>
        </w:rPr>
        <w:t xml:space="preserve">owed for $1.5 million which the Company had previously recorded within </w:t>
      </w:r>
      <w:r>
        <w:rPr>
          <w:rFonts w:ascii="Times New Roman;sans-serif" w:hAnsi="Times New Roman;sans-serif"/>
          <w:b w:val="false"/>
          <w:i/>
          <w:color w:val="000000"/>
          <w:sz w:val="20"/>
          <w:shd w:fill="FFFFFF" w:val="clear"/>
        </w:rPr>
        <w:t>Selling, general and administrative expenses</w:t>
      </w:r>
      <w:r>
        <w:rPr>
          <w:color w:val="000000"/>
          <w:shd w:fill="FFFFFF" w:val="clear"/>
        </w:rPr>
        <w:t xml:space="preserve"> </w:t>
      </w:r>
      <w:r>
        <w:rPr>
          <w:rFonts w:ascii="Times New Roman;sans-serif" w:hAnsi="Times New Roman;sans-serif"/>
          <w:b w:val="false"/>
          <w:color w:val="000000"/>
          <w:sz w:val="20"/>
          <w:shd w:fill="FFFFFF" w:val="clear"/>
        </w:rPr>
        <w:t>in the Consolidated Statement of Income for the year-ended December 31, 2020</w:t>
      </w:r>
      <w:r>
        <w:rPr>
          <w:rFonts w:ascii="Times New Roman;sans-serif" w:hAnsi="Times New Roman;sans-serif"/>
          <w:b w:val="false"/>
          <w:color w:val="000000"/>
          <w:sz w:val="20"/>
        </w:rPr>
        <w:t xml:space="preserve">. The Company fully paid the settlement and had no recognized liability as of both </w:t>
      </w:r>
      <w:r>
        <w:rPr>
          <w:rFonts w:ascii="Times New Roman;sans-serif" w:hAnsi="Times New Roman;sans-serif"/>
          <w:b w:val="false"/>
          <w:color w:val="000000"/>
          <w:sz w:val="20"/>
          <w:shd w:fill="FFFFFF" w:val="clear"/>
        </w:rPr>
        <w:t xml:space="preserve">March 31, 2024 and </w:t>
      </w:r>
      <w:r>
        <w:rPr>
          <w:rFonts w:ascii="Times New Roman;sans-serif" w:hAnsi="Times New Roman;sans-serif"/>
          <w:b w:val="false"/>
          <w:color w:val="000000"/>
          <w:sz w:val="20"/>
        </w:rPr>
        <w:t xml:space="preserve">2023. In September 2023, Mast filed a lawsuit against the Company in the Eastern District of Texas Federal Court (“Court”), alleging, among other things, damages of approximately $6.0 million for fraudulent inducement leading to the 2021 arbitration settlement agreement and breach of said settlement agreement. The Company filed a motion to stay the lawsuit and compel it to arbitration, and that motion is currently pending. In the interim, the Court ordered the parties to participate in mediation, currently scheduled for May 29, 2024. As of both </w:t>
      </w:r>
      <w:r>
        <w:rPr>
          <w:rFonts w:ascii="Times New Roman;sans-serif" w:hAnsi="Times New Roman;sans-serif"/>
          <w:b w:val="false"/>
          <w:color w:val="000000"/>
          <w:sz w:val="20"/>
          <w:shd w:fill="FFFFFF" w:val="clear"/>
        </w:rPr>
        <w:t xml:space="preserve">March 31, 2024 and </w:t>
      </w:r>
      <w:r>
        <w:rPr>
          <w:rFonts w:ascii="Times New Roman;sans-serif" w:hAnsi="Times New Roman;sans-serif"/>
          <w:b w:val="false"/>
          <w:color w:val="000000"/>
          <w:sz w:val="20"/>
        </w:rPr>
        <w:t xml:space="preserve">December 31, 2023, the Company had recorded an estimated liability of </w:t>
      </w:r>
      <w:r>
        <w:rPr>
          <w:rFonts w:ascii="Times New Roman;sans-serif" w:hAnsi="Times New Roman;sans-serif"/>
          <w:b w:val="false"/>
          <w:color w:val="000000"/>
          <w:sz w:val="20"/>
          <w:shd w:fill="FFFFFF" w:val="clear"/>
        </w:rPr>
        <w:t>$0.9 million</w:t>
      </w:r>
      <w:r>
        <w:rPr>
          <w:rFonts w:ascii="Times New Roman;sans-serif" w:hAnsi="Times New Roman;sans-serif"/>
          <w:b w:val="false"/>
          <w:color w:val="000000"/>
          <w:sz w:val="20"/>
        </w:rPr>
        <w:t xml:space="preserve">, recorded within </w:t>
      </w:r>
      <w:r>
        <w:rPr>
          <w:rFonts w:ascii="Times New Roman;sans-serif" w:hAnsi="Times New Roman;sans-serif"/>
          <w:b w:val="false"/>
          <w:i/>
          <w:color w:val="000000"/>
          <w:sz w:val="20"/>
        </w:rPr>
        <w:t>Other accrued liabilities</w:t>
      </w:r>
      <w:r>
        <w:rPr>
          <w:color w:val="000000"/>
        </w:rPr>
        <w:t xml:space="preserve"> </w:t>
      </w:r>
      <w:r>
        <w:rPr>
          <w:rFonts w:ascii="Times New Roman;sans-serif" w:hAnsi="Times New Roman;sans-serif"/>
          <w:b w:val="false"/>
          <w:color w:val="000000"/>
          <w:sz w:val="20"/>
        </w:rPr>
        <w:t xml:space="preserve">on the Consolidated Balance Sheet related to the potential settlement of this matter. </w:t>
      </w:r>
      <w:r>
        <w:rPr>
          <w:color w:val="000000"/>
        </w:rPr>
        <w:t xml:space="preserve">        </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Gary Winemaster Litigation v. The Company</w:t>
      </w:r>
    </w:p>
    <w:p>
      <w:pPr>
        <w:pStyle w:val="TextBody"/>
        <w:bidi w:val="0"/>
        <w:spacing w:lineRule="auto" w:line="268" w:before="0" w:after="0"/>
        <w:jc w:val="both"/>
        <w:rPr/>
      </w:pPr>
      <w:r>
        <w:rPr>
          <w:rFonts w:ascii="Times New Roman;sans-serif" w:hAnsi="Times New Roman;sans-serif"/>
          <w:b w:val="false"/>
          <w:color w:val="000000"/>
          <w:sz w:val="20"/>
        </w:rPr>
        <w:t xml:space="preserve">In August 2021, the Company’s former Chairman of the Board and former Chief Executive Officer and President, Gary Winemaster (“Winemaster”) filed suit in the Court of Chancery of the State of Delaware against the Company and Travelers Casualty and Surety Company of America (“Travelers”) alleging the Company’s breach of its advancement obligations under Winemaster’s indemnification agreement and Travelers’ breach of the side A policy between Traveler’s and the Company of which Winemaster is a beneficiary. In his complaint, Winemaster was seeking reimbursement under his indemnification agreement in excess of </w:t>
      </w:r>
      <w:r>
        <w:rPr>
          <w:rFonts w:ascii="Times New Roman;sans-serif" w:hAnsi="Times New Roman;sans-serif"/>
          <w:b w:val="false"/>
          <w:color w:val="000000"/>
          <w:sz w:val="20"/>
          <w:shd w:fill="FFFFFF" w:val="clear"/>
        </w:rPr>
        <w:t>$7.2 million</w:t>
      </w:r>
      <w:r>
        <w:rPr>
          <w:color w:val="000000"/>
        </w:rPr>
        <w:t xml:space="preserve"> </w:t>
      </w:r>
      <w:r>
        <w:rPr>
          <w:rFonts w:ascii="Times New Roman;sans-serif" w:hAnsi="Times New Roman;sans-serif"/>
          <w:b w:val="false"/>
          <w:color w:val="000000"/>
          <w:sz w:val="20"/>
        </w:rPr>
        <w:t xml:space="preserve">of attorney’s fees plus interest incurred by Winemaster in his defense of the Department of Justice (“DOJ”) case, </w:t>
      </w:r>
      <w:r>
        <w:rPr>
          <w:rFonts w:ascii="Times New Roman;sans-serif" w:hAnsi="Times New Roman;sans-serif"/>
          <w:b w:val="false"/>
          <w:i/>
          <w:color w:val="000000"/>
          <w:sz w:val="20"/>
        </w:rPr>
        <w:t>U.S. v. Winemaster et al.</w:t>
      </w:r>
      <w:r>
        <w:rPr>
          <w:color w:val="000000"/>
        </w:rPr>
        <w:t xml:space="preserve"> </w:t>
      </w:r>
      <w:r>
        <w:rPr>
          <w:rFonts w:ascii="Times New Roman;sans-serif" w:hAnsi="Times New Roman;sans-serif"/>
          <w:b w:val="false"/>
          <w:color w:val="000000"/>
          <w:sz w:val="20"/>
        </w:rPr>
        <w:t xml:space="preserve">Since the filing of the complaint, the Company estimates that Travelers has paid approximately </w:t>
      </w:r>
      <w:r>
        <w:rPr>
          <w:rFonts w:ascii="Times New Roman;sans-serif" w:hAnsi="Times New Roman;sans-serif"/>
          <w:b w:val="false"/>
          <w:color w:val="000000"/>
          <w:sz w:val="20"/>
          <w:shd w:fill="FFFFFF" w:val="clear"/>
        </w:rPr>
        <w:t>$8.8 million</w:t>
      </w:r>
      <w:r>
        <w:rPr>
          <w:color w:val="000000"/>
        </w:rPr>
        <w:t xml:space="preserve"> </w:t>
      </w:r>
      <w:r>
        <w:rPr>
          <w:rFonts w:ascii="Times New Roman;sans-serif" w:hAnsi="Times New Roman;sans-serif"/>
          <w:b w:val="false"/>
          <w:color w:val="000000"/>
          <w:sz w:val="20"/>
        </w:rPr>
        <w:t>to Winemaster’s attorneys, Latham and Watkins, under the Company’s side A policy to settle existing outstanding attorney’s fees. Travelers is seeking reimbursement from the Company for those advances pursuant to the terms of the side A policy. In October 2021, the Company and Winemaster entered into a Stipulation and Advancement Order to handle all future attorney’s fees relating to his DOJ and SEC cases, to the extent not reimbursed by Travelers under the side A po</w:t>
      </w:r>
      <w:r>
        <w:rPr>
          <w:rFonts w:ascii="Times New Roman;sans-serif" w:hAnsi="Times New Roman;sans-serif"/>
          <w:b w:val="false"/>
          <w:color w:val="000000"/>
          <w:sz w:val="20"/>
          <w:shd w:fill="FFFFFF" w:val="clear"/>
        </w:rPr>
        <w:t xml:space="preserve">licy. As of both March 31, 2024 and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Company has approximately $8.8 million accrued for the reimbursement to Travelers recorded within </w:t>
      </w:r>
      <w:r>
        <w:rPr>
          <w:rFonts w:ascii="Times New Roman;sans-serif" w:hAnsi="Times New Roman;sans-serif"/>
          <w:b w:val="false"/>
          <w:i/>
          <w:color w:val="000000"/>
          <w:sz w:val="20"/>
          <w:shd w:fill="FFFFFF" w:val="clear"/>
        </w:rPr>
        <w:t>Accounts payable</w:t>
      </w:r>
      <w:r>
        <w:rPr>
          <w:color w:val="000000"/>
          <w:shd w:fill="FFFFFF" w:val="clear"/>
        </w:rPr>
        <w:t xml:space="preserve"> </w:t>
      </w:r>
      <w:r>
        <w:rPr>
          <w:rFonts w:ascii="Times New Roman;sans-serif" w:hAnsi="Times New Roman;sans-serif"/>
          <w:b w:val="false"/>
          <w:color w:val="000000"/>
          <w:sz w:val="20"/>
          <w:shd w:fill="FFFFFF" w:val="clear"/>
        </w:rPr>
        <w:t>on the</w:t>
      </w:r>
      <w:r>
        <w:rPr>
          <w:color w:val="000000"/>
        </w:rPr>
        <w:t xml:space="preserve"> </w:t>
      </w:r>
      <w:r>
        <w:rPr>
          <w:rFonts w:ascii="Times New Roman;sans-serif" w:hAnsi="Times New Roman;sans-serif"/>
          <w:b w:val="false"/>
          <w:color w:val="000000"/>
          <w:sz w:val="20"/>
        </w:rPr>
        <w:t xml:space="preserve">Consolidated Balance Sheet. The Company is in active negotiations over the amount and payment terms of the reimbursement to Travelers.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Jeffrey Ehlers and Rick Lulloff Litigation</w:t>
      </w:r>
    </w:p>
    <w:p>
      <w:pPr>
        <w:pStyle w:val="TextBody"/>
        <w:bidi w:val="0"/>
        <w:spacing w:lineRule="auto" w:line="268" w:before="0" w:after="0"/>
        <w:jc w:val="both"/>
        <w:rPr/>
      </w:pPr>
      <w:r>
        <w:rPr>
          <w:rFonts w:ascii="Times New Roman;sans-serif" w:hAnsi="Times New Roman;sans-serif"/>
          <w:b w:val="false"/>
          <w:color w:val="000000"/>
          <w:sz w:val="20"/>
        </w:rPr>
        <w:t xml:space="preserve">In September 2021, Jeffrey Ehlers (“Ehlers”) and Rick Lulloff (“Lulloff”), former employees of the Company, made demand against the Company for approximately </w:t>
      </w:r>
      <w:r>
        <w:rPr>
          <w:rFonts w:ascii="Times New Roman;sans-serif" w:hAnsi="Times New Roman;sans-serif"/>
          <w:b w:val="false"/>
          <w:color w:val="000000"/>
          <w:sz w:val="20"/>
          <w:shd w:fill="FFFFFF" w:val="clear"/>
        </w:rPr>
        <w:t>$2.4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$1.2 million</w:t>
      </w:r>
      <w:r>
        <w:rPr>
          <w:rFonts w:ascii="Times New Roman;sans-serif" w:hAnsi="Times New Roman;sans-serif"/>
          <w:b w:val="false"/>
          <w:color w:val="000000"/>
          <w:sz w:val="20"/>
        </w:rPr>
        <w:t>, respectively, for alleged wages due and owing under each employee’s employment contract related to “Incentive Bonuses” for revenues generated in the Company’s transportation end market. In November 2021, Ehlers and Lulloff separately filed complaints against the Company in the Circuit Court of Cook County, Illinois, alleging breach of contract and violations of the Illinois Wage and Payment Collection Act incorporating their claims in the above referenced demand lett</w:t>
      </w:r>
      <w:r>
        <w:rPr>
          <w:rFonts w:ascii="Times New Roman;sans-serif" w:hAnsi="Times New Roman;sans-serif"/>
          <w:b w:val="false"/>
          <w:color w:val="000000"/>
          <w:sz w:val="20"/>
          <w:shd w:fill="FFFFFF" w:val="clear"/>
        </w:rPr>
        <w:t>er. The Company filed a notice of removal from the Circuit Court of Cook County, Illinois and has also moved to consolidate the cases, which has been granted by the Court. In December 2022, the Company reached a settlement with both</w:t>
      </w:r>
      <w:r>
        <w:rPr>
          <w:color w:val="000000"/>
        </w:rPr>
        <w:t xml:space="preserve"> </w:t>
      </w:r>
      <w:r>
        <w:rPr>
          <w:rFonts w:ascii="Times New Roman;sans-serif" w:hAnsi="Times New Roman;sans-serif"/>
          <w:b w:val="false"/>
          <w:color w:val="000000"/>
          <w:sz w:val="20"/>
        </w:rPr>
        <w:t>Ehlers and Lulloff,</w:t>
      </w:r>
      <w:r>
        <w:rPr>
          <w:color w:val="000000"/>
          <w:shd w:fill="FFFFFF" w:val="clear"/>
        </w:rPr>
        <w:t xml:space="preserve"> </w:t>
      </w:r>
      <w:r>
        <w:rPr>
          <w:rFonts w:ascii="Times New Roman;sans-serif" w:hAnsi="Times New Roman;sans-serif"/>
          <w:b w:val="false"/>
          <w:color w:val="000000"/>
          <w:sz w:val="20"/>
          <w:shd w:fill="FFFFFF" w:val="clear"/>
        </w:rPr>
        <w:t xml:space="preserve">for </w:t>
      </w:r>
      <w:r>
        <w:rPr>
          <w:rFonts w:ascii="Times New Roman;sans-serif" w:hAnsi="Times New Roman;sans-serif"/>
          <w:b w:val="false"/>
          <w:color w:val="000000"/>
          <w:sz w:val="20"/>
        </w:rPr>
        <w:t>$0.8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$0.5 million</w:t>
      </w:r>
      <w:r>
        <w:rPr>
          <w:rFonts w:ascii="Times New Roman;sans-serif" w:hAnsi="Times New Roman;sans-serif"/>
          <w:b w:val="false"/>
          <w:color w:val="000000"/>
          <w:sz w:val="20"/>
          <w:shd w:fill="FFFFFF" w:val="clear"/>
        </w:rPr>
        <w:t xml:space="preserve">, respectively. </w:t>
      </w: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 xml:space="preserve">December 31, 2022, the Company had recorded the aforementioned settlement liabilities within </w:t>
      </w:r>
      <w:r>
        <w:rPr>
          <w:rFonts w:ascii="Times New Roman;sans-serif" w:hAnsi="Times New Roman;sans-serif"/>
          <w:b w:val="false"/>
          <w:i/>
          <w:color w:val="000000"/>
          <w:sz w:val="20"/>
          <w:shd w:fill="FFFFFF" w:val="clear"/>
        </w:rPr>
        <w:t>Other accrued liabilities</w:t>
      </w:r>
      <w:r>
        <w:rPr>
          <w:color w:val="000000"/>
          <w:shd w:fill="FFFFFF" w:val="clear"/>
        </w:rPr>
        <w:t xml:space="preserve"> </w:t>
      </w:r>
      <w:r>
        <w:rPr>
          <w:rFonts w:ascii="Times New Roman;sans-serif" w:hAnsi="Times New Roman;sans-serif"/>
          <w:b w:val="false"/>
          <w:color w:val="000000"/>
          <w:sz w:val="20"/>
          <w:shd w:fill="FFFFFF" w:val="clear"/>
        </w:rPr>
        <w:t xml:space="preserve">on the Consolidated Balance Sheet.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the Company paid the settlement in full to both Ehlers and Lulloff.</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holds a directors’ and officers’ liability insurance policy, which is renewed annually and expires in July 2024. The insurance policy includes standard exclusions including for any ongoing or pending litigation such as the previously disclosed investigations by the SEC and USAO. </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Other Commitments and Contingencies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At March 31, 2024, the Company had four outstanding letters of credit totaling $1.4 million. The letters of credit primarily serve as collateral for the Company for certain facility leases and insurance policies. As discussed in Note 1. </w:t>
      </w:r>
      <w:r>
        <w:rPr>
          <w:rFonts w:ascii="Times New Roman;sans-serif" w:hAnsi="Times New Roman;sans-serif"/>
          <w:b w:val="false"/>
          <w:i/>
          <w:color w:val="000000"/>
          <w:sz w:val="20"/>
          <w:shd w:fill="FFFFFF" w:val="clear"/>
        </w:rPr>
        <w:t>Summary of Significant Accounting Policies and Other Information</w:t>
      </w:r>
      <w:r>
        <w:rPr>
          <w:rFonts w:ascii="Times New Roman;sans-serif" w:hAnsi="Times New Roman;sans-serif"/>
          <w:b w:val="false"/>
          <w:color w:val="000000"/>
          <w:sz w:val="20"/>
          <w:shd w:fill="FFFFFF" w:val="clear"/>
        </w:rPr>
        <w:t xml:space="preserve">, the Company had restricted cash of $3.2 million as of March 31, 2024, related to these letters of credit and cash held in escrow due to a customer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Income Taxes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 quarterly basis, the Company computes an estimated annual effective tax rate considering ordinary income and related income tax expense. Ordinary income refers to income before income tax expense excluding significant, unusual or infrequently occurring items. The tax effect of an unusual or infrequently occurring item is recorded in the interim period in which it occurs.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assessed the need to maintain a valuation allowance for deferred tax assets based on an assessment of whether it is more likely than not that deferred tax benefits will be realized through the generation of future taxable income. Appropriate consideration is given to all available evidence, both positive and negative, in assessing the need for a valuation allowance. In assessing the realizability of the Company’s deferred tax assets, the Company considered whether it is more likely than not that some or all of the deferred tax assets will be realized through the generation of future taxable income. In making this determination, the Company assessed all of the evidence available at the time, including recent earnings, forecasted income projections and historical performance. The Company determined that the negative evidence outweighed the objectively verifiable positive evidence and continues to maintain a full valuation allowance against deferred tax assets. </w:t>
      </w:r>
    </w:p>
    <w:p>
      <w:pPr>
        <w:pStyle w:val="TextBody"/>
        <w:bidi w:val="0"/>
        <w:spacing w:lineRule="auto" w:line="26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effective tax rate for the three months ended March 31, 2024 was 2.7%, compared to an effective tax rate for the three months ended March 31, 2023 of 3.5%. The effective tax rates for all periods were significantly different than the applicable U.S. statutory tax rate. For both the three months ended March 31, 2024 and 2023, the difference between the effective and statutory tax rates was primarily due to the Company’s full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ans-serif" w:hAnsi="Times New Roman;sans-serif"/>
          <w:b/>
          <w:color w:val="000000"/>
          <w:sz w:val="20"/>
          <w:shd w:fill="FFFFFF" w:val="clear"/>
        </w:rPr>
        <w:t>Note 11.</w:t>
      </w:r>
      <w:r>
        <w:rPr>
          <w:color w:val="000000"/>
        </w:rPr>
        <w:t>    </w:t>
      </w:r>
      <w:r>
        <w:rPr>
          <w:rFonts w:ascii="Times New Roman;sans-serif" w:hAnsi="Times New Roman;sans-serif"/>
          <w:b/>
          <w:color w:val="000000"/>
          <w:sz w:val="20"/>
          <w:shd w:fill="FFFFFF" w:val="clear"/>
        </w:rPr>
        <w:t>Stockholders’ Equity</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Common and Treasury Stock</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shares of Common and Treasury Stock are as follows:</w:t>
      </w:r>
    </w:p>
    <w:tbl>
      <w:tblPr>
        <w:tblW w:w="9874" w:type="dxa"/>
        <w:jc w:val="left"/>
        <w:tblInd w:w="0" w:type="dxa"/>
        <w:tblLayout w:type="fixed"/>
        <w:tblCellMar>
          <w:top w:w="28" w:type="dxa"/>
          <w:left w:w="28" w:type="dxa"/>
          <w:bottom w:w="28" w:type="dxa"/>
          <w:right w:w="28" w:type="dxa"/>
        </w:tblCellMar>
      </w:tblPr>
      <w:tblGrid>
        <w:gridCol w:w="949"/>
        <w:gridCol w:w="837"/>
        <w:gridCol w:w="839"/>
        <w:gridCol w:w="109"/>
        <w:gridCol w:w="109"/>
        <w:gridCol w:w="109"/>
        <w:gridCol w:w="649"/>
        <w:gridCol w:w="649"/>
        <w:gridCol w:w="651"/>
        <w:gridCol w:w="109"/>
        <w:gridCol w:w="109"/>
        <w:gridCol w:w="109"/>
        <w:gridCol w:w="619"/>
        <w:gridCol w:w="619"/>
        <w:gridCol w:w="621"/>
        <w:gridCol w:w="109"/>
        <w:gridCol w:w="109"/>
        <w:gridCol w:w="109"/>
        <w:gridCol w:w="719"/>
        <w:gridCol w:w="719"/>
        <w:gridCol w:w="1022"/>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Treasury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Shares Outstanding</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23,117 </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22,968 </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shares issued for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23,117 </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22,968 </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12.    Earnings Per Share </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computes basic earnings per share by dividing net income by the weighted-average common shares outstanding during the year. Diluted earnings per share is calculated to give effect to all potentially dilutive common shares that were outstanding during the year. Weighted-average diluted common shares outstanding primarily reflect the additional shares that would be issued upon the assumed exercise of stock options and the assumed vesting of unvested share awards. The treasury stock method has been used to compute diluted </w:t>
      </w:r>
      <w:r>
        <w:rPr>
          <w:rFonts w:ascii="Times New Roman;sans-serif" w:hAnsi="Times New Roman;sans-serif"/>
          <w:b w:val="false"/>
          <w:color w:val="000000"/>
          <w:sz w:val="20"/>
          <w:shd w:fill="FFFFFF" w:val="clear"/>
        </w:rPr>
        <w:t>earnings</w:t>
      </w:r>
      <w:r>
        <w:rPr>
          <w:color w:val="000000"/>
        </w:rPr>
        <w:t xml:space="preserve"> </w:t>
      </w:r>
      <w:r>
        <w:rPr>
          <w:rFonts w:ascii="Times New Roman;sans-serif" w:hAnsi="Times New Roman;sans-serif"/>
          <w:b w:val="false"/>
          <w:color w:val="000000"/>
          <w:sz w:val="20"/>
        </w:rPr>
        <w:t xml:space="preserve">per share for the three months ended March 31, 2024 and 2023. </w:t>
      </w:r>
    </w:p>
    <w:p>
      <w:pPr>
        <w:pStyle w:val="TextBody"/>
        <w:bidi w:val="0"/>
        <w:spacing w:lineRule="auto" w:line="288" w:before="0" w:after="0"/>
        <w:jc w:val="both"/>
        <w:rPr/>
      </w:pPr>
      <w:r>
        <w:rPr>
          <w:rFonts w:ascii="Times New Roman;sans-serif" w:hAnsi="Times New Roman;sans-serif"/>
          <w:b w:val="false"/>
          <w:color w:val="000000"/>
          <w:sz w:val="20"/>
        </w:rPr>
        <w:t xml:space="preserve">The Company issued Stock Appreciation Rights (“SARs”) and Restricted Stock Awards (“RSAs”), all of which have been evaluated for their potentially dilutive effect under the treasury stock method. See Note 13. </w:t>
      </w:r>
      <w:r>
        <w:rPr>
          <w:rFonts w:ascii="Times New Roman;sans-serif" w:hAnsi="Times New Roman;sans-serif"/>
          <w:b w:val="false"/>
          <w:i/>
          <w:color w:val="000000"/>
          <w:sz w:val="20"/>
        </w:rPr>
        <w:t>Stock-Based Compensation</w:t>
      </w:r>
      <w:r>
        <w:rPr>
          <w:color w:val="000000"/>
        </w:rPr>
        <w:t xml:space="preserve"> </w:t>
      </w:r>
      <w:r>
        <w:rPr>
          <w:rFonts w:ascii="Times New Roman;sans-serif" w:hAnsi="Times New Roman;sans-serif"/>
          <w:b w:val="false"/>
          <w:color w:val="000000"/>
          <w:sz w:val="20"/>
        </w:rPr>
        <w:t>in the Company’s 2023 Annual Report for additional information on the SARs and the RSAs.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computations of basic and diluted earnings per share are as follows:</w:t>
      </w:r>
    </w:p>
    <w:tbl>
      <w:tblPr>
        <w:tblW w:w="8145" w:type="dxa"/>
        <w:jc w:val="left"/>
        <w:tblInd w:w="0" w:type="dxa"/>
        <w:tblLayout w:type="fixed"/>
        <w:tblCellMar>
          <w:top w:w="28" w:type="dxa"/>
          <w:left w:w="28" w:type="dxa"/>
          <w:bottom w:w="28" w:type="dxa"/>
          <w:right w:w="28" w:type="dxa"/>
        </w:tblCellMar>
      </w:tblPr>
      <w:tblGrid>
        <w:gridCol w:w="1624"/>
        <w:gridCol w:w="1428"/>
        <w:gridCol w:w="1433"/>
        <w:gridCol w:w="304"/>
        <w:gridCol w:w="863"/>
        <w:gridCol w:w="169"/>
        <w:gridCol w:w="169"/>
        <w:gridCol w:w="169"/>
        <w:gridCol w:w="169"/>
        <w:gridCol w:w="304"/>
        <w:gridCol w:w="863"/>
        <w:gridCol w:w="169"/>
        <w:gridCol w:w="109"/>
        <w:gridCol w:w="109"/>
        <w:gridCol w:w="109"/>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basis)</w:t>
            </w:r>
          </w:p>
        </w:tc>
        <w:tc>
          <w:tcPr>
            <w:tcW w:w="3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 basic and diluted</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Shares used in computing net income per share:</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 basic</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ans-serif" w:hAnsi="Times New Roman;sans-serif"/>
                <w:b/>
                <w:color w:val="000000"/>
                <w:sz w:val="18"/>
              </w:rPr>
              <w:t xml:space="preserve">Weighted-average common shares outstanding </w:t>
            </w:r>
            <w:r>
              <w:rPr>
                <w:color w:val="000000"/>
              </w:rPr>
              <w:t xml:space="preserve">– </w:t>
            </w:r>
            <w:r>
              <w:rPr>
                <w:rFonts w:ascii="Times New Roman;sans-serif" w:hAnsi="Times New Roman;sans-serif"/>
                <w:b/>
                <w:color w:val="000000"/>
                <w:sz w:val="18"/>
              </w:rPr>
              <w:t>diluted</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 of common stock – basic</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share of common stock – diluted</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both"/>
        <w:rPr/>
      </w:pPr>
      <w:r>
        <w:rPr>
          <w:rFonts w:ascii="Times New Roman;sans-serif" w:hAnsi="Times New Roman;sans-serif"/>
          <w:b w:val="false"/>
          <w:color w:val="000000"/>
          <w:sz w:val="20"/>
        </w:rPr>
        <w:t>The aggregate number of shares excluded from the diluted earnings per share calculations, because they would have been anti-diluti</w:t>
      </w:r>
      <w:r>
        <w:rPr>
          <w:rFonts w:ascii="Times New Roman;sans-serif" w:hAnsi="Times New Roman;sans-serif"/>
          <w:b w:val="false"/>
          <w:color w:val="000000"/>
          <w:sz w:val="20"/>
          <w:shd w:fill="FFFFFF" w:val="clear"/>
        </w:rPr>
        <w:t>ve, were 0.1 million for both the three months ended</w:t>
      </w:r>
      <w:r>
        <w:rPr>
          <w:color w:val="000000"/>
        </w:rPr>
        <w:t xml:space="preserve"> </w:t>
      </w:r>
      <w:r>
        <w:rPr>
          <w:rFonts w:ascii="Times New Roman;sans-serif" w:hAnsi="Times New Roman;sans-serif"/>
          <w:b w:val="false"/>
          <w:color w:val="000000"/>
          <w:sz w:val="20"/>
        </w:rPr>
        <w:t>March 31, 2024 and 2023, respectively. For the three months ended March 31, 2024 and 2023, SARs and RSAs were not included in the diluted earnings per share calculations as they would have been anti-dilutive because the Company’s average stock price was less than or equal to the exercise price of the SARs or the grant price of the RSAs.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13.    Related Party Transactions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Weichai Transactions</w:t>
      </w:r>
    </w:p>
    <w:p>
      <w:pPr>
        <w:pStyle w:val="TextBody"/>
        <w:bidi w:val="0"/>
        <w:spacing w:lineRule="auto" w:line="288" w:before="120" w:after="120"/>
        <w:jc w:val="both"/>
        <w:rPr/>
      </w:pPr>
      <w:r>
        <w:rPr>
          <w:rFonts w:ascii="Times New Roman;sans-serif" w:hAnsi="Times New Roman;sans-serif"/>
          <w:b w:val="false"/>
          <w:color w:val="000000"/>
          <w:sz w:val="20"/>
        </w:rPr>
        <w:t xml:space="preserve">See Note 3. </w:t>
      </w:r>
      <w:r>
        <w:rPr>
          <w:rFonts w:ascii="Times New Roman;sans-serif" w:hAnsi="Times New Roman;sans-serif"/>
          <w:b w:val="false"/>
          <w:i/>
          <w:color w:val="000000"/>
          <w:sz w:val="20"/>
        </w:rPr>
        <w:t>Weichai Transactions</w:t>
      </w:r>
      <w:r>
        <w:rPr>
          <w:color w:val="000000"/>
        </w:rPr>
        <w:t xml:space="preserve"> </w:t>
      </w:r>
      <w:r>
        <w:rPr>
          <w:rFonts w:ascii="Times New Roman;sans-serif" w:hAnsi="Times New Roman;sans-serif"/>
          <w:b w:val="false"/>
          <w:color w:val="000000"/>
          <w:sz w:val="20"/>
        </w:rPr>
        <w:t>for information regarding the Weichai Shareholder’s Loan Agreements and Collaboration Agreement</w:t>
      </w:r>
      <w:r>
        <w:rPr>
          <w:rFonts w:ascii="Times New Roman;sans-serif" w:hAnsi="Times New Roman;sans-serif"/>
          <w:b/>
          <w:color w:val="000000"/>
          <w:sz w:val="20"/>
        </w:rPr>
        <w:t>.</w:t>
      </w:r>
      <w:r>
        <w:rPr>
          <w:color w:val="000000"/>
        </w:rPr>
        <w:t xml:space="preserve"> </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Other Related Party Transactions</w:t>
      </w:r>
    </w:p>
    <w:p>
      <w:pPr>
        <w:pStyle w:val="TextBody"/>
        <w:bidi w:val="0"/>
        <w:spacing w:lineRule="auto" w:line="288" w:before="120" w:after="120"/>
        <w:jc w:val="both"/>
        <w:rPr/>
      </w:pPr>
      <w:r>
        <w:rPr>
          <w:rFonts w:ascii="Times New Roman;sans-serif" w:hAnsi="Times New Roman;sans-serif"/>
          <w:b w:val="false"/>
          <w:color w:val="000000"/>
          <w:sz w:val="20"/>
        </w:rPr>
        <w:t xml:space="preserve">See Note 9.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for information regarding the Company’s indemnification obligations related to certain former directors and officers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Note 14. Subsequent Events</w:t>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April 2024, the Company made additional payments totaling $5.0 million related to the Credit Agreement. The outstanding balance under the Credit Agreement is $40.0 million as of May 7,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includes forward-looking statements about the Company’s business and consolidated results of operations for the three months ended March 31, 2024 and 2023, including discussions about management’s expectations for the Company’s business. These statements represent projections, beliefs and expectations based on current circumstances and conditions and are made in light of recent events and trends. These statements should not be construed either as assurances of performance or as promises of a given course of action. Instead, various known and unknown factors are likely to cause the Company’s actual performance and management’s actions to vary, and the results of these variances may be both material and adverse. See “Forward-Looking Statements” in this Quarterly Report. The following discussion should also be read in conjunction with the Company’s unaudited consolidated financial statements and the related Notes included in this Quarterly Report.</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Executive Overview</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The Company </w:t>
      </w:r>
      <w:r>
        <w:rPr>
          <w:rFonts w:ascii="Times New Roman;sans-serif" w:hAnsi="Times New Roman;sans-serif"/>
          <w:b w:val="false"/>
          <w:color w:val="000000"/>
          <w:sz w:val="20"/>
        </w:rPr>
        <w:t xml:space="preserve">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research and development (“R&amp;D”), sales and distribution facilities located in suburban Chicago, Illinois and Darien and Beloit, Wisconsin. The Company provides highly engineered, comprehensive solutions designed to meet specific customer application requirements and technical specifications, including those imposed by environmental regulatory bodies, such as the U.S. Environment Protection Agency (“EPA”), the California Air Resource Board (“CARB”) and the People’s Republic of China’s Ministry of Ecology and Environment (“MEE”).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 The Company manages the business as a single reporting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Net sales by geographic area and by end market for the </w:t>
      </w:r>
      <w:r>
        <w:rPr>
          <w:rFonts w:ascii="Times New Roman;sans-serif" w:hAnsi="Times New Roman;sans-serif"/>
          <w:b w:val="false"/>
          <w:color w:val="000000"/>
          <w:sz w:val="20"/>
        </w:rPr>
        <w:t>three</w:t>
      </w:r>
      <w:r>
        <w:rPr>
          <w:color w:val="000000"/>
          <w:shd w:fill="FFFFFF" w:val="clear"/>
        </w:rPr>
        <w:t xml:space="preserve"> </w:t>
      </w:r>
      <w:r>
        <w:rPr>
          <w:rFonts w:ascii="Times New Roman;sans-serif" w:hAnsi="Times New Roman;sans-serif"/>
          <w:b w:val="false"/>
          <w:color w:val="000000"/>
          <w:sz w:val="20"/>
          <w:shd w:fill="FFFFFF" w:val="clear"/>
        </w:rPr>
        <w:t>months ended March 31, 2024 and 2023 are presented below:</w:t>
      </w:r>
    </w:p>
    <w:tbl>
      <w:tblPr>
        <w:tblW w:w="6540" w:type="dxa"/>
        <w:jc w:val="left"/>
        <w:tblInd w:w="0" w:type="dxa"/>
        <w:tblLayout w:type="fixed"/>
        <w:tblCellMar>
          <w:top w:w="28" w:type="dxa"/>
          <w:left w:w="28" w:type="dxa"/>
          <w:bottom w:w="28" w:type="dxa"/>
          <w:right w:w="28" w:type="dxa"/>
        </w:tblCellMar>
      </w:tblPr>
      <w:tblGrid>
        <w:gridCol w:w="700"/>
        <w:gridCol w:w="617"/>
        <w:gridCol w:w="618"/>
        <w:gridCol w:w="109"/>
        <w:gridCol w:w="109"/>
        <w:gridCol w:w="109"/>
        <w:gridCol w:w="196"/>
        <w:gridCol w:w="646"/>
        <w:gridCol w:w="109"/>
        <w:gridCol w:w="213"/>
        <w:gridCol w:w="213"/>
        <w:gridCol w:w="504"/>
        <w:gridCol w:w="109"/>
        <w:gridCol w:w="109"/>
        <w:gridCol w:w="109"/>
        <w:gridCol w:w="196"/>
        <w:gridCol w:w="736"/>
        <w:gridCol w:w="109"/>
        <w:gridCol w:w="258"/>
        <w:gridCol w:w="203"/>
        <w:gridCol w:w="568"/>
      </w:tblGrid>
      <w:tr>
        <w:trPr/>
        <w:tc>
          <w:tcPr>
            <w:tcW w:w="70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Geographic Area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r>
          </w:p>
        </w:tc>
      </w:tr>
      <w:tr>
        <w:trPr/>
        <w:tc>
          <w:tcPr>
            <w:tcW w:w="1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North America </w:t>
              <w:br/>
              <w:t>(outside of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Pacific Rim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5835" w:type="dxa"/>
        <w:jc w:val="center"/>
        <w:tblInd w:w="0" w:type="dxa"/>
        <w:tblLayout w:type="fixed"/>
        <w:tblCellMar>
          <w:top w:w="28" w:type="dxa"/>
          <w:left w:w="28" w:type="dxa"/>
          <w:bottom w:w="28" w:type="dxa"/>
          <w:right w:w="28" w:type="dxa"/>
        </w:tblCellMar>
      </w:tblPr>
      <w:tblGrid>
        <w:gridCol w:w="445"/>
        <w:gridCol w:w="392"/>
        <w:gridCol w:w="393"/>
        <w:gridCol w:w="109"/>
        <w:gridCol w:w="109"/>
        <w:gridCol w:w="109"/>
        <w:gridCol w:w="196"/>
        <w:gridCol w:w="646"/>
        <w:gridCol w:w="109"/>
        <w:gridCol w:w="213"/>
        <w:gridCol w:w="213"/>
        <w:gridCol w:w="504"/>
        <w:gridCol w:w="109"/>
        <w:gridCol w:w="109"/>
        <w:gridCol w:w="109"/>
        <w:gridCol w:w="196"/>
        <w:gridCol w:w="736"/>
        <w:gridCol w:w="109"/>
        <w:gridCol w:w="258"/>
        <w:gridCol w:w="203"/>
        <w:gridCol w:w="568"/>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5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Recent Trends and Business Outlook</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the Company prudently continues to manage its expenses, including the restriction of all non-essential travel and minimized discretionary expenses and consulting services. The Company continues to review operating expenses, including prioritizing certain R&amp;D investments in support of the Company’s long-term growth objectives. Starting in 2021 and throughout 2023, the Company took rightsizing actions to align its staffing with current needs, while also streamlining certain roles.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recent recovery of the global economy, there continues to be challenges based on the current macroeconomic and geopolitical environment. Average crude oil prices reached the highest average price in five years in 2022 but has steadily declined while remaining near atop the 5-year averages at the end of the first quarter 2024. Rig counts in the U.S. oil markets remain below historical levels as of the first quarter of 2024. Despite increasing rig counts and crude oil prices, the Company believes that capital spending within the areas of the oil and gas market that it participates in remains below historical levels. While the Company saw an increase of sales to customers with traditional exposure to the oil and gas markets during 2023, as compared to the prior year, sales remain below historic levels. A significant portion of the Company’s sales and profitability has historically been derived from the sale of products that are used within the oil and gas industry. The Company continues to experience inflationary cost pressures for certain raw materials and other goods which the Company continues to try to mitigate through price increases and other cost reduction measures. Additionally, the Company continues to experience ongoing tariff costs for products and is trying to mitigate these impacts through price increases and other measures, such as seeking certain tariff exclusions, where possible. The potential for continued economic uncertainty and unfavorable oil and gas market dynamics may have a material adverse impact on the levels of future customer orders and the Company’s future business operations, financial condition and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40"/>
        <w:jc w:val="both"/>
        <w:rPr/>
      </w:pPr>
      <w:r>
        <w:rPr>
          <w:rFonts w:ascii="Times New Roman;sans-serif" w:hAnsi="Times New Roman;sans-serif"/>
          <w:b/>
          <w:i/>
          <w:color w:val="000000"/>
          <w:sz w:val="20"/>
        </w:rPr>
        <w:t>Results of operations for the three months ended March 31, 2024 compared with the three months ended March 31, 2023</w:t>
      </w:r>
      <w:r>
        <w:rPr>
          <w:rFonts w:ascii="Times New Roman;sans-serif" w:hAnsi="Times New Roman;sans-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45"/>
        <w:gridCol w:w="1310"/>
        <w:gridCol w:w="1316"/>
        <w:gridCol w:w="109"/>
        <w:gridCol w:w="109"/>
        <w:gridCol w:w="109"/>
        <w:gridCol w:w="212"/>
        <w:gridCol w:w="702"/>
        <w:gridCol w:w="278"/>
        <w:gridCol w:w="118"/>
        <w:gridCol w:w="118"/>
        <w:gridCol w:w="118"/>
        <w:gridCol w:w="212"/>
        <w:gridCol w:w="799"/>
        <w:gridCol w:w="278"/>
        <w:gridCol w:w="109"/>
        <w:gridCol w:w="109"/>
        <w:gridCol w:w="109"/>
        <w:gridCol w:w="196"/>
        <w:gridCol w:w="685"/>
        <w:gridCol w:w="256"/>
        <w:gridCol w:w="109"/>
        <w:gridCol w:w="109"/>
        <w:gridCol w:w="109"/>
        <w:gridCol w:w="204"/>
        <w:gridCol w:w="204"/>
        <w:gridCol w:w="573"/>
      </w:tblGrid>
      <w:tr>
        <w:trPr/>
        <w:tc>
          <w:tcPr>
            <w:tcW w:w="164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4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sales</w:t>
            </w:r>
          </w:p>
          <w:p>
            <w:pPr>
              <w:pStyle w:val="TableContents"/>
              <w:bidi w:val="0"/>
              <w:spacing w:lineRule="auto" w:line="240" w:before="0" w:after="0"/>
              <w:jc w:val="left"/>
              <w:rPr/>
            </w:pPr>
            <w:r>
              <w:rPr>
                <w:rFonts w:ascii="Times New Roman;sans-serif" w:hAnsi="Times New Roman;sans-serif"/>
                <w:b w:val="false"/>
                <w:color w:val="000000"/>
                <w:sz w:val="18"/>
              </w:rPr>
              <w:t xml:space="preserve">(from related parties </w:t>
            </w:r>
            <w:r>
              <w:rPr>
                <w:rFonts w:ascii="Times New Roman;sans-serif" w:hAnsi="Times New Roman;sans-serif"/>
                <w:b w:val="false"/>
                <w:color w:val="000000"/>
                <w:sz w:val="18"/>
                <w:shd w:fill="CCEEFF" w:val="clear"/>
              </w:rPr>
              <w:t>$197</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18"/>
                <w:shd w:fill="CCEEFF" w:val="clear"/>
              </w:rPr>
              <w:t>$1,097</w:t>
            </w:r>
            <w:r>
              <w:rPr>
                <w:color w:val="000000"/>
              </w:rPr>
              <w:t xml:space="preserve"> </w:t>
            </w:r>
            <w:r>
              <w:rPr>
                <w:rFonts w:ascii="Times New Roman;sans-serif" w:hAnsi="Times New Roman;sans-serif"/>
                <w:b w:val="false"/>
                <w:color w:val="000000"/>
                <w:sz w:val="18"/>
              </w:rPr>
              <w:t>for the three months ended March 31,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95,240 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116,469 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p>
            <w:pPr>
              <w:pStyle w:val="TableContents"/>
              <w:bidi w:val="0"/>
              <w:spacing w:lineRule="auto" w:line="240" w:before="0" w:after="0"/>
              <w:jc w:val="left"/>
              <w:rPr/>
            </w:pPr>
            <w:r>
              <w:rPr>
                <w:rFonts w:ascii="Times New Roman;sans-serif" w:hAnsi="Times New Roman;sans-serif"/>
                <w:b w:val="false"/>
                <w:color w:val="000000"/>
                <w:sz w:val="18"/>
              </w:rPr>
              <w:t xml:space="preserve">(from related parties </w:t>
            </w:r>
            <w:r>
              <w:rPr>
                <w:rFonts w:ascii="Times New Roman;sans-serif" w:hAnsi="Times New Roman;sans-serif"/>
                <w:b w:val="false"/>
                <w:color w:val="000000"/>
                <w:sz w:val="18"/>
                <w:shd w:fill="FFFFFF" w:val="clear"/>
              </w:rPr>
              <w:t>$153</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18"/>
                <w:shd w:fill="FFFFFF" w:val="clear"/>
              </w:rPr>
              <w:t>$825</w:t>
            </w:r>
            <w:r>
              <w:rPr>
                <w:color w:val="000000"/>
              </w:rPr>
              <w:t xml:space="preserve"> </w:t>
            </w:r>
            <w:r>
              <w:rPr>
                <w:rFonts w:ascii="Times New Roman;sans-serif" w:hAnsi="Times New Roman;sans-serif"/>
                <w:b w:val="false"/>
                <w:color w:val="000000"/>
                <w:sz w:val="18"/>
              </w:rPr>
              <w:t>for the three months ended March 31,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69,484 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93,000 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27.0 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20.2 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6.9 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Research and development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5.5 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4.0 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Selling, general and administrative expenses as a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10.0 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8.5 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15,094 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14,945 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10,662 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8,524 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Interest expense (from related parties </w:t>
            </w:r>
            <w:r>
              <w:rPr>
                <w:rFonts w:ascii="Times New Roman;sans-serif" w:hAnsi="Times New Roman;sans-serif"/>
                <w:b w:val="false"/>
                <w:color w:val="000000"/>
                <w:sz w:val="18"/>
                <w:shd w:fill="CCEEFF" w:val="clear"/>
              </w:rPr>
              <w:t>$2,222</w:t>
            </w:r>
            <w:r>
              <w:rPr>
                <w:color w:val="000000"/>
              </w:rPr>
              <w:t xml:space="preserve"> </w:t>
            </w:r>
            <w:r>
              <w:rPr>
                <w:rFonts w:ascii="Times New Roman;sans-serif" w:hAnsi="Times New Roman;sans-serif"/>
                <w:b w:val="false"/>
                <w:color w:val="000000"/>
                <w:sz w:val="18"/>
              </w:rPr>
              <w:t xml:space="preserve">and </w:t>
            </w:r>
            <w:r>
              <w:rPr>
                <w:rFonts w:ascii="Times New Roman;sans-serif" w:hAnsi="Times New Roman;sans-serif"/>
                <w:b w:val="false"/>
                <w:color w:val="000000"/>
                <w:sz w:val="18"/>
                <w:shd w:fill="CCEEFF" w:val="clear"/>
              </w:rPr>
              <w:t>$1,816</w:t>
            </w:r>
            <w:r>
              <w:rPr>
                <w:color w:val="000000"/>
              </w:rPr>
              <w:t xml:space="preserve"> </w:t>
            </w:r>
            <w:r>
              <w:rPr>
                <w:rFonts w:ascii="Times New Roman;sans-serif" w:hAnsi="Times New Roman;sans-serif"/>
                <w:b w:val="false"/>
                <w:color w:val="000000"/>
                <w:sz w:val="18"/>
              </w:rPr>
              <w:t>for the three months ended March 31,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7,316 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3,859 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5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Financial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Adjusted net income </w:t>
            </w: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net income per share – diluted</w:t>
            </w: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EBITDA </w:t>
            </w:r>
            <w:r>
              <w:rPr>
                <w:rFonts w:ascii="Times New Roman;sans-serif" w:hAnsi="Times New Roman;sans-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Adjusted EBITDA </w:t>
            </w:r>
            <w:r>
              <w:rPr>
                <w:rFonts w:ascii="Times New Roman;sans-serif" w:hAnsi="Times New Roman;sans-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NM    Not meaningful </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    See reconciliation of non-GAAP financial measures to GAAP results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Net Sales</w:t>
      </w:r>
    </w:p>
    <w:p>
      <w:pPr>
        <w:pStyle w:val="TextBody"/>
        <w:bidi w:val="0"/>
        <w:spacing w:lineRule="auto" w:line="288" w:before="120" w:after="120"/>
        <w:jc w:val="both"/>
        <w:rPr/>
      </w:pPr>
      <w:r>
        <w:rPr>
          <w:rFonts w:ascii="Times New Roman;sans-serif" w:hAnsi="Times New Roman;sans-serif"/>
          <w:b w:val="false"/>
          <w:color w:val="000000"/>
          <w:sz w:val="20"/>
        </w:rPr>
        <w:t>Net sales decreased $21.2 million, or 18%, during the three months ended March 31, 2024 compared to the three months ended March 31, 2023, as a re</w:t>
      </w:r>
      <w:r>
        <w:rPr>
          <w:rFonts w:ascii="Times New Roman;sans-serif" w:hAnsi="Times New Roman;sans-serif"/>
          <w:b w:val="false"/>
          <w:color w:val="000000"/>
          <w:sz w:val="20"/>
          <w:shd w:fill="FFFFFF" w:val="clear"/>
        </w:rPr>
        <w:t>sult of sales decreases of $14.1 million and $24.4 million in the industrial and transportation end markets, respectively, partly offset by an increase of $17.3 million in the power systems end market. Higher power systems end market sales are primarily due to increased demand for products across various applications, with the largest increases attributable to products used within the packaging market such as enclosures serving the fast-growing data center market, as well as oil and gas products and demand response products. The decreased sales within the transportation end market were primarily attributable to lower sales in the truck and school bus market as customer products have evolved and new compliance and regulatory requirements have changed engine product offerings. Decreased industrial end market sales are primarily due to decreases in demand for products used within the material handling and arbor care markets, as well as the direct effects of enforcement of the UFLPA, which limited the Company’s ability to import certain raw materials in early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Gross Profit</w:t>
      </w:r>
    </w:p>
    <w:p>
      <w:pPr>
        <w:pStyle w:val="TextBody"/>
        <w:bidi w:val="0"/>
        <w:spacing w:lineRule="auto" w:line="288" w:before="120" w:after="120"/>
        <w:jc w:val="both"/>
        <w:rPr/>
      </w:pPr>
      <w:r>
        <w:rPr>
          <w:rFonts w:ascii="Times New Roman;sans-serif" w:hAnsi="Times New Roman;sans-serif"/>
          <w:b w:val="false"/>
          <w:color w:val="000000"/>
          <w:sz w:val="20"/>
        </w:rPr>
        <w:t>Gross profit increased by $2.3 million, or 10%, during the three months ended March 31, 2024, as compared to the three months ended March 31, 2023. Gross marg</w:t>
      </w:r>
      <w:r>
        <w:rPr>
          <w:rFonts w:ascii="Times New Roman;sans-serif" w:hAnsi="Times New Roman;sans-serif"/>
          <w:b w:val="false"/>
          <w:color w:val="000000"/>
          <w:sz w:val="20"/>
          <w:shd w:fill="FFFFFF" w:val="clear"/>
        </w:rPr>
        <w:t xml:space="preserve">in was 27.0% during the three months ended March 31, 2024, an increase of 6.8% compared to 20.2% for the three months ended March 31, 2023, primarily due to improved mix, pricing actions, higher operating efficiencies, and lower warranty costs. For the three months ended March 31, 2024, warranty costs were $1.5 million net of supplier recoveries, and other adjustments, including $0.1 million of charges for adjustments to preexisting warranties, an improvement of $3.5 million compared to warranty costs of $5.1 million last year, largely due to lower adjustments to preexisting warranties during the first quarter of 2024. A majority of the preexisting warranty activity is attributable to products sold within the transportation end market.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120"/>
        <w:jc w:val="both"/>
        <w:rPr/>
      </w:pPr>
      <w:r>
        <w:rPr>
          <w:rFonts w:ascii="Times New Roman;sans-serif" w:hAnsi="Times New Roman;sans-serif"/>
          <w:b w:val="false"/>
          <w:color w:val="000000"/>
          <w:sz w:val="20"/>
        </w:rPr>
        <w:t xml:space="preserve">Research and development expenses during the three months ended March 31, 2024 and </w:t>
      </w:r>
      <w:r>
        <w:rPr>
          <w:rFonts w:ascii="Times New Roman;sans-serif" w:hAnsi="Times New Roman;sans-serif"/>
          <w:b w:val="false"/>
          <w:color w:val="000000"/>
          <w:sz w:val="20"/>
          <w:shd w:fill="FFFFFF" w:val="clear"/>
        </w:rPr>
        <w:t>2023</w:t>
      </w:r>
      <w:r>
        <w:rPr>
          <w:color w:val="000000"/>
        </w:rPr>
        <w:t xml:space="preserve"> </w:t>
      </w:r>
      <w:r>
        <w:rPr>
          <w:rFonts w:ascii="Times New Roman;sans-serif" w:hAnsi="Times New Roman;sans-serif"/>
          <w:b w:val="false"/>
          <w:color w:val="000000"/>
          <w:sz w:val="20"/>
        </w:rPr>
        <w:t xml:space="preserve">were $5.2 million and $4.6 million, respectively. The increase is primarily related to the testing of new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Selling, general and administrative (“SG&amp;A”) expenses decreased during the three months ended March 31, 2024 by $0.4 million, or 4%, compared to the three months ended March 31, 2023. The decrease is primarily due to lower selling expenses associated with decreased sales in the transportation segment and lower professional fees, partially offset by an increase in incentive compensation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 xml:space="preserve">Interest expense decreased $1.3 million to $3.3 million for the three months ended March 31, 2024 as compared to the three months ended March 31, 2023, largely due to lower average outstanding debt, partially offset by higher overall effective interest rates on the Company’s debt. See Note 6. </w:t>
      </w:r>
      <w:r>
        <w:rPr>
          <w:rFonts w:ascii="Times New Roman;sans-serif" w:hAnsi="Times New Roman;sans-serif"/>
          <w:b w:val="false"/>
          <w:i/>
          <w:color w:val="000000"/>
          <w:sz w:val="20"/>
          <w:shd w:fill="FFFFFF" w:val="clear"/>
        </w:rPr>
        <w:t>Debt</w:t>
      </w:r>
      <w:r>
        <w:rPr>
          <w:rFonts w:ascii="Times New Roman;sans-serif" w:hAnsi="Times New Roman;sans-serif"/>
          <w:b w:val="false"/>
          <w:color w:val="000000"/>
          <w:sz w:val="20"/>
          <w:shd w:fill="FFFFFF" w:val="clear"/>
        </w:rPr>
        <w:t xml:space="preserve">, included in Part I, Item 1. </w:t>
      </w:r>
      <w:r>
        <w:rPr>
          <w:rFonts w:ascii="Times New Roman;sans-serif" w:hAnsi="Times New Roman;sans-serif"/>
          <w:b w:val="false"/>
          <w:i/>
          <w:color w:val="000000"/>
          <w:sz w:val="20"/>
          <w:shd w:fill="FFFFFF" w:val="clear"/>
        </w:rPr>
        <w:t>Financial Statements</w:t>
      </w:r>
      <w:r>
        <w:rPr>
          <w:rFonts w:ascii="Times New Roman;sans-serif" w:hAnsi="Times New Roman;sans-serif"/>
          <w:b w:val="false"/>
          <w:color w:val="000000"/>
          <w:sz w:val="20"/>
          <w:shd w:fill="FFFFFF" w:val="clear"/>
        </w:rPr>
        <w:t xml:space="preserve">,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Income Tax Expense</w:t>
      </w:r>
    </w:p>
    <w:p>
      <w:pPr>
        <w:pStyle w:val="TextBody"/>
        <w:bidi w:val="0"/>
        <w:spacing w:lineRule="auto" w:line="288" w:before="120" w:after="120"/>
        <w:jc w:val="both"/>
        <w:rPr/>
      </w:pPr>
      <w:r>
        <w:rPr>
          <w:rFonts w:ascii="Times New Roman;sans-serif" w:hAnsi="Times New Roman;sans-serif"/>
          <w:b w:val="false"/>
          <w:color w:val="000000"/>
          <w:sz w:val="20"/>
        </w:rPr>
        <w:t>The Company recorded income tax expense</w:t>
      </w:r>
      <w:r>
        <w:rPr>
          <w:color w:val="000000"/>
          <w:shd w:fill="FFFFFF" w:val="clear"/>
        </w:rPr>
        <w:t xml:space="preserve"> </w:t>
      </w:r>
      <w:r>
        <w:rPr>
          <w:rFonts w:ascii="Times New Roman;sans-serif" w:hAnsi="Times New Roman;sans-serif"/>
          <w:b w:val="false"/>
          <w:color w:val="000000"/>
          <w:sz w:val="20"/>
          <w:shd w:fill="FFFFFF" w:val="clear"/>
        </w:rPr>
        <w:t xml:space="preserve">of $0.2 million and </w:t>
      </w:r>
      <w:r>
        <w:rPr>
          <w:rFonts w:ascii="Times New Roman;sans-serif" w:hAnsi="Times New Roman;sans-serif"/>
          <w:b w:val="false"/>
          <w:color w:val="000000"/>
          <w:sz w:val="20"/>
        </w:rPr>
        <w:t xml:space="preserve">$0.1 million </w:t>
      </w:r>
      <w:r>
        <w:rPr>
          <w:rFonts w:ascii="Times New Roman;sans-serif" w:hAnsi="Times New Roman;sans-serif"/>
          <w:b w:val="false"/>
          <w:color w:val="000000"/>
          <w:sz w:val="20"/>
          <w:shd w:fill="FFFFFF" w:val="clear"/>
        </w:rPr>
        <w:t xml:space="preserve">for the three months ended March 31, 2024 and 2023, respectively. The Company’s pretax income was </w:t>
      </w:r>
      <w:r>
        <w:rPr>
          <w:rFonts w:ascii="Times New Roman;sans-serif" w:hAnsi="Times New Roman;sans-serif"/>
          <w:b w:val="false"/>
          <w:color w:val="000000"/>
          <w:sz w:val="20"/>
        </w:rPr>
        <w:t>$7.3 million</w:t>
      </w:r>
      <w:r>
        <w:rPr>
          <w:color w:val="000000"/>
          <w:shd w:fill="FFFFFF" w:val="clear"/>
        </w:rPr>
        <w:t xml:space="preserve"> </w:t>
      </w:r>
      <w:r>
        <w:rPr>
          <w:rFonts w:ascii="Times New Roman;sans-serif" w:hAnsi="Times New Roman;sans-serif"/>
          <w:b w:val="false"/>
          <w:color w:val="000000"/>
          <w:sz w:val="20"/>
          <w:shd w:fill="FFFFFF" w:val="clear"/>
        </w:rPr>
        <w:t>for the three months ended March 31, 2024, compared to a pretax income of $3.9 million for the three months ended March 31, 2023. The Company continues to record a full valuation allowance against deferred tax assets. See Note 10.</w:t>
      </w:r>
      <w:r>
        <w:rPr>
          <w:color w:val="000000"/>
          <w:shd w:fill="FFFFFF" w:val="clear"/>
        </w:rPr>
        <w:t xml:space="preserve"> </w:t>
      </w:r>
      <w:r>
        <w:rPr>
          <w:rFonts w:ascii="Times New Roman;sans-serif" w:hAnsi="Times New Roman;sans-serif"/>
          <w:b w:val="false"/>
          <w:i/>
          <w:color w:val="000000"/>
          <w:sz w:val="20"/>
          <w:shd w:fill="FFFFFF" w:val="clear"/>
        </w:rPr>
        <w:t>Income Taxes</w:t>
      </w:r>
      <w:r>
        <w:rPr>
          <w:rFonts w:ascii="Times New Roman;sans-serif" w:hAnsi="Times New Roman;sans-serif"/>
          <w:b w:val="false"/>
          <w:color w:val="000000"/>
          <w:sz w:val="20"/>
          <w:shd w:fill="FFFFFF" w:val="clear"/>
        </w:rPr>
        <w:t xml:space="preserve">, included in Part 1, Item 1. </w:t>
      </w:r>
      <w:r>
        <w:rPr>
          <w:rFonts w:ascii="Times New Roman;sans-serif" w:hAnsi="Times New Roman;sans-serif"/>
          <w:b w:val="false"/>
          <w:i/>
          <w:color w:val="000000"/>
          <w:sz w:val="20"/>
          <w:shd w:fill="FFFFFF" w:val="clear"/>
        </w:rPr>
        <w:t>Financial Statements</w:t>
      </w:r>
      <w:r>
        <w:rPr>
          <w:rFonts w:ascii="Times New Roman;sans-serif" w:hAnsi="Times New Roman;sans-serif"/>
          <w:b w:val="false"/>
          <w:color w:val="000000"/>
          <w:sz w:val="20"/>
          <w:shd w:fill="FFFFFF" w:val="clear"/>
        </w:rPr>
        <w:t>, for additional information related to the Company’s income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120"/>
        <w:jc w:val="both"/>
        <w:rPr/>
      </w:pPr>
      <w:r>
        <w:rPr>
          <w:rFonts w:ascii="Times New Roman;sans-serif" w:hAnsi="Times New Roman;sans-serif"/>
          <w:b w:val="false"/>
          <w:color w:val="000000"/>
          <w:sz w:val="20"/>
        </w:rPr>
        <w:t xml:space="preserve">In addition to the results provided in accordance with U.S. GAAP above, this report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measures as reported by the Company may not be comparable to similarly titled amounts reported by other companies. The non-GAAP financial measures should be considered in conjunction with the consolidated financial statements, including the related notes, and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included in this report. Management does not use these non-GAAP financial measures for any purpose other than the reasons stated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120" w:after="120"/>
        <w:jc w:val="both"/>
        <w:rPr/>
      </w:pPr>
      <w:r>
        <w:rPr/>
      </w:r>
    </w:p>
    <w:tbl>
      <w:tblPr>
        <w:tblW w:w="6043" w:type="dxa"/>
        <w:jc w:val="left"/>
        <w:tblInd w:w="0" w:type="dxa"/>
        <w:tblLayout w:type="fixed"/>
        <w:tblCellMar>
          <w:top w:w="28" w:type="dxa"/>
          <w:left w:w="28" w:type="dxa"/>
          <w:bottom w:w="28" w:type="dxa"/>
          <w:right w:w="28" w:type="dxa"/>
        </w:tblCellMar>
      </w:tblPr>
      <w:tblGrid>
        <w:gridCol w:w="1060"/>
        <w:gridCol w:w="931"/>
        <w:gridCol w:w="933"/>
        <w:gridCol w:w="912"/>
        <w:gridCol w:w="912"/>
        <w:gridCol w:w="1295"/>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Financial Measure</w:t>
            </w:r>
          </w:p>
        </w:tc>
        <w:tc>
          <w:tcPr>
            <w:tcW w:w="31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Comparable GAAP Financial Measure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per share – diluted</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 basic</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r>
    </w:tbl>
    <w:p>
      <w:pPr>
        <w:pStyle w:val="TextBody"/>
        <w:bidi w:val="0"/>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Adjusted net income, Adjusted net income per share,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income per share is a measure of the Company’s diluted earnings per common share adjusted for the impact of special items. EBITDA provides the Company with an understanding of earnings before the impact of investing and financing charges and income taxes. Adjusted EBITDA further excludes the effects of other non-cash charges and certain other items that do not reflect the ordinary earnings of the Company’s operations. </w:t>
      </w:r>
    </w:p>
    <w:p>
      <w:pPr>
        <w:pStyle w:val="TextBody"/>
        <w:bidi w:val="0"/>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net income, Adjusted net income per share, EBITDA, and Adjusted EBITDA are used by management for various purposes, including as a measure of performance of the Company’s operations and as a basis for strategic planning and forecasting. Adjusted net income, Adjusted net income per share, and Adjusted EBITDA may be useful to an investor because these measures are widely used to evaluate companies’ operating performance without regard to items excluded from the calculation of such measures, which can vary substantially from company to company depending on the accounting methods, the book value of assets, the capital structure and the method by which the assets were acquired, among other factors. They are not, however, intended as alternative measures of operating results or cash flow from operations as determined in accordance with U.S. GAAP.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from Net income to Adjusted net income for the three months ended March 31, 2024 and 2023:</w:t>
      </w:r>
    </w:p>
    <w:tbl>
      <w:tblPr>
        <w:tblW w:w="6102" w:type="dxa"/>
        <w:jc w:val="left"/>
        <w:tblInd w:w="0" w:type="dxa"/>
        <w:tblLayout w:type="fixed"/>
        <w:tblCellMar>
          <w:top w:w="28" w:type="dxa"/>
          <w:left w:w="28" w:type="dxa"/>
          <w:bottom w:w="28" w:type="dxa"/>
          <w:right w:w="28" w:type="dxa"/>
        </w:tblCellMar>
      </w:tblPr>
      <w:tblGrid>
        <w:gridCol w:w="765"/>
        <w:gridCol w:w="674"/>
        <w:gridCol w:w="676"/>
        <w:gridCol w:w="109"/>
        <w:gridCol w:w="109"/>
        <w:gridCol w:w="109"/>
        <w:gridCol w:w="304"/>
        <w:gridCol w:w="863"/>
        <w:gridCol w:w="169"/>
        <w:gridCol w:w="169"/>
        <w:gridCol w:w="169"/>
        <w:gridCol w:w="169"/>
        <w:gridCol w:w="304"/>
        <w:gridCol w:w="863"/>
        <w:gridCol w:w="169"/>
        <w:gridCol w:w="109"/>
        <w:gridCol w:w="109"/>
        <w:gridCol w:w="109"/>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Stock-based compensation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legal matters</w:t>
            </w:r>
            <w:r>
              <w:rPr>
                <w:color w:val="000000"/>
              </w:rPr>
              <w:t xml:space="preserve">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from Net income per share – basic to Adjusted net income per share – diluted for the three months ended March 31, 2024 and 2023:</w:t>
      </w:r>
    </w:p>
    <w:tbl>
      <w:tblPr>
        <w:tblW w:w="7179" w:type="dxa"/>
        <w:jc w:val="left"/>
        <w:tblInd w:w="0" w:type="dxa"/>
        <w:tblLayout w:type="fixed"/>
        <w:tblCellMar>
          <w:top w:w="28" w:type="dxa"/>
          <w:left w:w="28" w:type="dxa"/>
          <w:bottom w:w="28" w:type="dxa"/>
          <w:right w:w="28" w:type="dxa"/>
        </w:tblCellMar>
      </w:tblPr>
      <w:tblGrid>
        <w:gridCol w:w="1154"/>
        <w:gridCol w:w="1018"/>
        <w:gridCol w:w="1022"/>
        <w:gridCol w:w="109"/>
        <w:gridCol w:w="109"/>
        <w:gridCol w:w="109"/>
        <w:gridCol w:w="333"/>
        <w:gridCol w:w="793"/>
        <w:gridCol w:w="185"/>
        <w:gridCol w:w="185"/>
        <w:gridCol w:w="185"/>
        <w:gridCol w:w="185"/>
        <w:gridCol w:w="333"/>
        <w:gridCol w:w="793"/>
        <w:gridCol w:w="185"/>
        <w:gridCol w:w="109"/>
        <w:gridCol w:w="109"/>
        <w:gridCol w:w="109"/>
        <w:gridCol w:w="154"/>
      </w:tblGrid>
      <w:tr>
        <w:trPr/>
        <w:tc>
          <w:tcPr>
            <w:tcW w:w="115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Diluted shares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22,973</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ans-serif" w:hAnsi="Times New Roman;sans-serif"/>
          <w:b w:val="false"/>
          <w:color w:val="000000"/>
          <w:sz w:val="20"/>
        </w:rPr>
        <w:t xml:space="preserve">The following table presents a reconciliation from </w:t>
      </w:r>
      <w:r>
        <w:rPr>
          <w:rFonts w:ascii="Times New Roman;sans-serif" w:hAnsi="Times New Roman;sans-serif"/>
          <w:b w:val="false"/>
          <w:color w:val="000000"/>
          <w:sz w:val="20"/>
          <w:shd w:fill="FFFFFF" w:val="clear"/>
        </w:rPr>
        <w:t>Net income</w:t>
      </w:r>
      <w:r>
        <w:rPr>
          <w:color w:val="000000"/>
        </w:rPr>
        <w:t xml:space="preserve"> </w:t>
      </w:r>
      <w:r>
        <w:rPr>
          <w:rFonts w:ascii="Times New Roman;sans-serif" w:hAnsi="Times New Roman;sans-serif"/>
          <w:b w:val="false"/>
          <w:color w:val="000000"/>
          <w:sz w:val="20"/>
        </w:rPr>
        <w:t>to EBITDA and Adjusted EBITDA for the three months ended March 31, 2024 and 2023:</w:t>
      </w:r>
    </w:p>
    <w:tbl>
      <w:tblPr>
        <w:tblW w:w="6428" w:type="dxa"/>
        <w:jc w:val="left"/>
        <w:tblInd w:w="0" w:type="dxa"/>
        <w:tblLayout w:type="fixed"/>
        <w:tblCellMar>
          <w:top w:w="28" w:type="dxa"/>
          <w:left w:w="28" w:type="dxa"/>
          <w:bottom w:w="28" w:type="dxa"/>
          <w:right w:w="28" w:type="dxa"/>
        </w:tblCellMar>
      </w:tblPr>
      <w:tblGrid>
        <w:gridCol w:w="886"/>
        <w:gridCol w:w="778"/>
        <w:gridCol w:w="781"/>
        <w:gridCol w:w="109"/>
        <w:gridCol w:w="109"/>
        <w:gridCol w:w="109"/>
        <w:gridCol w:w="279"/>
        <w:gridCol w:w="921"/>
        <w:gridCol w:w="155"/>
        <w:gridCol w:w="155"/>
        <w:gridCol w:w="155"/>
        <w:gridCol w:w="155"/>
        <w:gridCol w:w="279"/>
        <w:gridCol w:w="921"/>
        <w:gridCol w:w="155"/>
        <w:gridCol w:w="109"/>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Stock-based compensation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legal matters</w:t>
            </w:r>
            <w:r>
              <w:rPr>
                <w:color w:val="000000"/>
              </w:rPr>
              <w:t xml:space="preserve">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pPr>
      <w:r>
        <w:rPr>
          <w:rFonts w:ascii="Times New Roman;sans-serif" w:hAnsi="Times New Roman;sans-serif"/>
          <w:b w:val="false"/>
          <w:color w:val="000000"/>
          <w:sz w:val="16"/>
        </w:rPr>
        <w:t>1.Amounts reflect non-cash</w:t>
      </w:r>
      <w:r>
        <w:rPr>
          <w:color w:val="000000"/>
        </w:rPr>
        <w:t xml:space="preserve"> </w:t>
      </w:r>
      <w:r>
        <w:rPr>
          <w:rFonts w:ascii="Times New Roman;sans-serif" w:hAnsi="Times New Roman;sans-serif"/>
          <w:b w:val="false"/>
          <w:color w:val="000000"/>
          <w:sz w:val="16"/>
        </w:rPr>
        <w:t>stock-based compensation expense and have no material impact on the Adjusted earnings per share for the three months ended March 31, 2024 and 2023.</w:t>
      </w:r>
    </w:p>
    <w:p>
      <w:pPr>
        <w:pStyle w:val="TextBody"/>
        <w:bidi w:val="0"/>
        <w:spacing w:lineRule="auto" w:line="288" w:before="0" w:after="0"/>
        <w:ind w:left="0" w:right="0" w:hanging="720"/>
        <w:jc w:val="both"/>
        <w:rPr/>
      </w:pPr>
      <w:r>
        <w:rPr>
          <w:rFonts w:ascii="Times New Roman;sans-serif" w:hAnsi="Times New Roman;sans-serif"/>
          <w:b w:val="false"/>
          <w:color w:val="000000"/>
          <w:sz w:val="16"/>
          <w:shd w:fill="FFFFFF" w:val="clear"/>
        </w:rPr>
        <w:t xml:space="preserve">2.Amounts include legal settlements </w:t>
      </w:r>
      <w:r>
        <w:rPr>
          <w:rFonts w:ascii="Times New Roman;sans-serif" w:hAnsi="Times New Roman;sans-serif"/>
          <w:b w:val="false"/>
          <w:color w:val="000000"/>
          <w:sz w:val="16"/>
        </w:rPr>
        <w:t>and have no material impact on the Adjusted earnings per share for the three months ended March 31, 2024 and 2023.</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Cash Flows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Cash was impacted as follows:</w:t>
      </w:r>
    </w:p>
    <w:tbl>
      <w:tblPr>
        <w:tblW w:w="10205" w:type="dxa"/>
        <w:jc w:val="left"/>
        <w:tblInd w:w="0" w:type="dxa"/>
        <w:tblLayout w:type="fixed"/>
        <w:tblCellMar>
          <w:top w:w="28" w:type="dxa"/>
          <w:left w:w="28" w:type="dxa"/>
          <w:bottom w:w="28" w:type="dxa"/>
          <w:right w:w="28" w:type="dxa"/>
        </w:tblCellMar>
      </w:tblPr>
      <w:tblGrid>
        <w:gridCol w:w="1540"/>
        <w:gridCol w:w="1334"/>
        <w:gridCol w:w="1339"/>
        <w:gridCol w:w="109"/>
        <w:gridCol w:w="109"/>
        <w:gridCol w:w="109"/>
        <w:gridCol w:w="282"/>
        <w:gridCol w:w="931"/>
        <w:gridCol w:w="157"/>
        <w:gridCol w:w="157"/>
        <w:gridCol w:w="157"/>
        <w:gridCol w:w="157"/>
        <w:gridCol w:w="282"/>
        <w:gridCol w:w="801"/>
        <w:gridCol w:w="157"/>
        <w:gridCol w:w="109"/>
        <w:gridCol w:w="109"/>
        <w:gridCol w:w="109"/>
        <w:gridCol w:w="196"/>
        <w:gridCol w:w="646"/>
        <w:gridCol w:w="109"/>
        <w:gridCol w:w="109"/>
        <w:gridCol w:w="109"/>
        <w:gridCol w:w="109"/>
        <w:gridCol w:w="204"/>
        <w:gridCol w:w="204"/>
        <w:gridCol w:w="571"/>
      </w:tblGrid>
      <w:tr>
        <w:trPr/>
        <w:tc>
          <w:tcPr>
            <w:tcW w:w="154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4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42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4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9,634 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4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5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2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*NMNot meaningful</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Flows for the Three Months Ended March 31, 2024</w:t>
      </w:r>
    </w:p>
    <w:p>
      <w:pPr>
        <w:pStyle w:val="TextBody"/>
        <w:bidi w:val="0"/>
        <w:spacing w:lineRule="auto" w:line="288" w:before="12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Flow from Operating Activities</w:t>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Net cash provided by operating activities was $15.6 million for the three months ended March 31, 2024, compared to net cash provided by operating activities of $5.0 million for the three months ended March 31, 2023, resulting in an increase of $10.6 million in cash provided by operating activities year-over-year. The increase in cash provided by operating activities primarily resulted from the $3.4 million increase in earnings, $8.5 million increase of cash provided by working capital accounts, offset by an increase of cash used for other accrued expenses, primarily associated with accrued compensation and benefits. </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Flow from Investing Activities</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Net cash used in investing activities was $0.8 million for the three months ended March 31, 2024, compared to cash used in investin</w:t>
      </w:r>
      <w:r>
        <w:rPr>
          <w:rFonts w:ascii="Times New Roman;sans-serif" w:hAnsi="Times New Roman;sans-serif"/>
          <w:b w:val="false"/>
          <w:color w:val="000000"/>
          <w:sz w:val="20"/>
        </w:rPr>
        <w:t>g activities of $0.6 million for the three months ended March 31, 2023</w:t>
      </w:r>
      <w:r>
        <w:rPr>
          <w:rFonts w:ascii="Times New Roman;sans-serif" w:hAnsi="Times New Roman;sans-serif"/>
          <w:b w:val="false"/>
          <w:color w:val="000000"/>
          <w:sz w:val="20"/>
          <w:shd w:fill="FFFFFF" w:val="clear"/>
        </w:rPr>
        <w:t>. For the three months ended March 31, 2024 and 2023, cash used in investing activities primarily related to capital expenditures associated with normal maintenance of the Company’s facilities.</w:t>
      </w:r>
    </w:p>
    <w:p>
      <w:pPr>
        <w:pStyle w:val="TextBody"/>
        <w:bidi w:val="0"/>
        <w:spacing w:lineRule="auto" w:line="288" w:before="12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Cash Flow from Financing Activities</w:t>
      </w:r>
    </w:p>
    <w:p>
      <w:pPr>
        <w:pStyle w:val="TextBody"/>
        <w:bidi w:val="0"/>
        <w:spacing w:lineRule="auto" w:line="288" w:before="120" w:after="120"/>
        <w:jc w:val="both"/>
        <w:rPr/>
      </w:pPr>
      <w:r>
        <w:rPr>
          <w:rFonts w:ascii="Times New Roman;sans-serif" w:hAnsi="Times New Roman;sans-serif"/>
          <w:b w:val="false"/>
          <w:color w:val="000000"/>
          <w:sz w:val="20"/>
        </w:rPr>
        <w:t xml:space="preserve">The Company used $5.2 million in cash from financing activities for </w:t>
      </w:r>
      <w:r>
        <w:rPr>
          <w:rFonts w:ascii="Times New Roman;sans-serif" w:hAnsi="Times New Roman;sans-serif"/>
          <w:b w:val="false"/>
          <w:color w:val="000000"/>
          <w:sz w:val="20"/>
          <w:shd w:fill="FFFFFF" w:val="clear"/>
        </w:rPr>
        <w:t xml:space="preserve">the three months ended March 31, 2024, compared to $1.6 million cash used by financing activities for the three months ended March 31, 2023. The cash used by financing activities for the three months ended March 31, 2024, was a result of repayment of existing debt during the quarter. See additional discussion below and in Note 6. </w:t>
      </w:r>
      <w:r>
        <w:rPr>
          <w:rFonts w:ascii="Times New Roman;sans-serif" w:hAnsi="Times New Roman;sans-serif"/>
          <w:b w:val="false"/>
          <w:i/>
          <w:color w:val="000000"/>
          <w:sz w:val="20"/>
          <w:shd w:fill="FFFFFF" w:val="clear"/>
        </w:rPr>
        <w:t>Debt</w:t>
      </w:r>
      <w:r>
        <w:rPr>
          <w:rFonts w:ascii="Times New Roman;sans-serif" w:hAnsi="Times New Roman;sans-serif"/>
          <w:b w:val="false"/>
          <w:color w:val="000000"/>
          <w:sz w:val="20"/>
          <w:shd w:fill="FFFFFF" w:val="clear"/>
        </w:rPr>
        <w:t xml:space="preserve">, included in Part I, Item 1. Financial Statements, which further describe the Company’s debt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sources of funds are cash flows from operations, borrowings made pursuant to its credit facilities, shareholder’s loan agreements, and cash and cash equivalents on hand. Principal uses of funds consist of payments of principal interest on our debt facilities and shareholder’s loan agreements, capital expenditures, and working capital needs.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As of March 31, 2024, the Company’s total outstanding debt obligations under the </w:t>
      </w:r>
      <w:r>
        <w:rPr>
          <w:rFonts w:ascii="Times New Roman;sans-serif" w:hAnsi="Times New Roman;sans-serif"/>
          <w:b w:val="false"/>
          <w:color w:val="000000"/>
          <w:sz w:val="20"/>
        </w:rPr>
        <w:t>Credit Agreement</w:t>
      </w:r>
      <w:r>
        <w:rPr>
          <w:rFonts w:ascii="Times New Roman;sans-serif" w:hAnsi="Times New Roman;sans-serif"/>
          <w:b w:val="false"/>
          <w:color w:val="000000"/>
          <w:sz w:val="20"/>
          <w:shd w:fill="FFFFFF" w:val="clear"/>
        </w:rPr>
        <w:t xml:space="preserve">, the </w:t>
      </w:r>
      <w:r>
        <w:rPr>
          <w:rFonts w:ascii="Times New Roman;sans-serif" w:hAnsi="Times New Roman;sans-serif"/>
          <w:b w:val="false"/>
          <w:color w:val="000000"/>
          <w:sz w:val="20"/>
        </w:rPr>
        <w:t>$25 Million Loan Agreement</w:t>
      </w:r>
      <w:r>
        <w:rPr>
          <w:rFonts w:ascii="Times New Roman;sans-serif" w:hAnsi="Times New Roman;sans-serif"/>
          <w:b w:val="false"/>
          <w:color w:val="000000"/>
          <w:sz w:val="20"/>
          <w:shd w:fill="FFFFFF" w:val="clear"/>
        </w:rPr>
        <w:t xml:space="preserve">, the </w:t>
      </w:r>
      <w:r>
        <w:rPr>
          <w:rFonts w:ascii="Times New Roman;sans-serif" w:hAnsi="Times New Roman;sans-serif"/>
          <w:b w:val="false"/>
          <w:color w:val="000000"/>
          <w:sz w:val="20"/>
        </w:rPr>
        <w:t>$50 Million Loan Agreement</w:t>
      </w:r>
      <w:r>
        <w:rPr>
          <w:rFonts w:ascii="Times New Roman;sans-serif" w:hAnsi="Times New Roman;sans-serif"/>
          <w:b w:val="false"/>
          <w:color w:val="000000"/>
          <w:sz w:val="20"/>
          <w:shd w:fill="FFFFFF" w:val="clear"/>
        </w:rPr>
        <w:t xml:space="preserve">, the </w:t>
      </w:r>
      <w:r>
        <w:rPr>
          <w:rFonts w:ascii="Times New Roman;sans-serif" w:hAnsi="Times New Roman;sans-serif"/>
          <w:b w:val="false"/>
          <w:color w:val="000000"/>
          <w:sz w:val="20"/>
        </w:rPr>
        <w:t>$30 Million Loan Agreement</w:t>
      </w:r>
      <w:r>
        <w:rPr>
          <w:color w:val="000000"/>
          <w:shd w:fill="FFFFFF" w:val="clear"/>
        </w:rPr>
        <w:t xml:space="preserve"> </w:t>
      </w:r>
      <w:r>
        <w:rPr>
          <w:rFonts w:ascii="Times New Roman;sans-serif" w:hAnsi="Times New Roman;sans-serif"/>
          <w:b w:val="false"/>
          <w:color w:val="000000"/>
          <w:sz w:val="20"/>
          <w:shd w:fill="FFFFFF" w:val="clear"/>
        </w:rPr>
        <w:t xml:space="preserve">and for finance leases and other debt were $140.2 million in the aggregate, and its cash and cash equivalents were $33.1 million. See </w:t>
      </w:r>
      <w:r>
        <w:rPr>
          <w:rFonts w:ascii="Times New Roman;sans-serif" w:hAnsi="Times New Roman;sans-serif"/>
          <w:b w:val="false"/>
          <w:color w:val="000000"/>
          <w:sz w:val="20"/>
        </w:rPr>
        <w:t>Item 1.</w:t>
      </w:r>
      <w:r>
        <w:rPr>
          <w:color w:val="000000"/>
          <w:shd w:fill="FFFFFF" w:val="clear"/>
        </w:rPr>
        <w:t xml:space="preserve">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Note 6.</w:t>
      </w:r>
      <w:r>
        <w:rPr>
          <w:color w:val="000000"/>
          <w:shd w:fill="FFFFFF" w:val="clear"/>
        </w:rPr>
        <w:t xml:space="preserve"> </w:t>
      </w:r>
      <w:r>
        <w:rPr>
          <w:rFonts w:ascii="Times New Roman;sans-serif" w:hAnsi="Times New Roman;sans-serif"/>
          <w:b w:val="false"/>
          <w:i/>
          <w:color w:val="000000"/>
          <w:sz w:val="20"/>
        </w:rPr>
        <w:t>Debt</w:t>
      </w:r>
      <w:r>
        <w:rPr>
          <w:rFonts w:ascii="Times New Roman;sans-serif" w:hAnsi="Times New Roman;sans-serif"/>
          <w:b w:val="false"/>
          <w:i/>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for additional information. </w:t>
      </w:r>
    </w:p>
    <w:p>
      <w:pPr>
        <w:pStyle w:val="TextBody"/>
        <w:bidi w:val="0"/>
        <w:spacing w:lineRule="auto" w:line="288" w:before="120" w:after="120"/>
        <w:jc w:val="both"/>
        <w:rPr/>
      </w:pPr>
      <w:r>
        <w:rPr>
          <w:rFonts w:ascii="Times New Roman;sans-serif" w:hAnsi="Times New Roman;sans-serif"/>
          <w:b w:val="false"/>
          <w:color w:val="000000"/>
          <w:sz w:val="20"/>
          <w:shd w:fill="FFFFFF" w:val="clear"/>
        </w:rPr>
        <w:t>Significant uncertainties exist about the Company’s ability to refinance, extend, or repay its outstanding indebtedness under its existing debt arrangements, maintain sufficient liquidity to fund its business activities, and maintain compliance with the covenants and other requirements under the</w:t>
      </w:r>
      <w:r>
        <w:rPr>
          <w:color w:val="000000"/>
        </w:rPr>
        <w:t xml:space="preserve"> </w:t>
      </w:r>
      <w:r>
        <w:rPr>
          <w:rFonts w:ascii="Times New Roman;sans-serif" w:hAnsi="Times New Roman;sans-serif"/>
          <w:b w:val="false"/>
          <w:color w:val="000000"/>
          <w:sz w:val="20"/>
        </w:rPr>
        <w:t>Credit Agreement or shareholder’s loan agreements in the future. Without additional financing, the Company anticipates that it will not have sufficient cash and cash equivalents to repay the outstanding indebtedness under the Company’s existing debt arrangements as they become due. Management currently plans to seek an extension and/or replacement of its existing debt arrangements or seek additional liquidity from its current or other lenders before the maturity dates in 2024 and 2025. There can be no assurance that the Company will be able to successfully complete a refinancing on acceptable terms or repay this outstanding indebtedness when required or if at all.</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recent recovery of the global economy, there continues to be challenges based on the current macroeconomic and geopolitical environment. Average crude oil prices reached the highest average price in five years in 2022 but has steadily declined while remaining near atop the 5-year averages at the end of the first quarter 2024. Rig counts in the U.S. oil markets remain below historical levels as of the first quarter of 2024. Despite increasing rig counts and crude oil prices, the Company believes that capital spending within the areas of the oil and gas market that it participates in remains below historical levels. While the Company saw an increase of sales to customers with traditional exposure to the oil and gas markets during 2023, as compared to the prior year, sales remain below historic levels. A significant portion of the Company’s sales and profitability has historically been derived from the sale of products that are used within the oil and gas industry. The Company continues to experience inflationary cost pressures for certain raw materials and other goods which the Company continues to try to mitigate through price increases and other cost reduction measures. Additionally, the Company continues to experience ongoing tariff costs for products and is trying to mitigate these impacts through price increases and other measures, such as seeking certain tariff exclusions, where possible. The potential for continued economic uncertainty and unfavorable oil and gas market dynamics may have a material adverse impact on the levels of future customer orders and the Company’s future business operations, financial condition and liquidity.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Lastly, national inflationary pressures have continued to cause interest rates to remain elevated. Although the Company’s interest expense has decreased because of reduced debt balances, it may be subject to future increases from these inflationary pressures. Accordingly, the above challenges may continue to have a material adverse impact on the Company’s future results of operations, financial position, and liquidity.</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Due to uncertainties surrounding the Company’s future ability to refinance, extend, or repay its outstanding indebtedness under its existing debt arrangements, maintain sufficient liquidity to fund its business activities, and maintain compliance with the covenants and other requirements under the Credit Agreement or shareholder’s loan agreements in the future, substantial doubt exists as to its ability to continue as a going concern within one year after the date that these financial statements are issued. If the Company does not have sufficient liquidity to fund its business activities, it may be forced to limit its business activities or be unable to continue as a going concern, which would have a material adverse effect on its results of operations and financial condition.</w:t>
      </w:r>
    </w:p>
    <w:p>
      <w:pPr>
        <w:pStyle w:val="TextBody"/>
        <w:bidi w:val="0"/>
        <w:spacing w:lineRule="auto" w:line="288" w:before="120" w:after="120"/>
        <w:jc w:val="both"/>
        <w:rPr/>
      </w:pPr>
      <w:r>
        <w:rPr>
          <w:rFonts w:ascii="Times New Roman;sans-serif" w:hAnsi="Times New Roman;sans-serif"/>
          <w:b w:val="false"/>
          <w:color w:val="000000"/>
          <w:sz w:val="20"/>
        </w:rPr>
        <w:t xml:space="preserve">At March 31, 2024, the Company had </w:t>
      </w:r>
      <w:r>
        <w:rPr>
          <w:rFonts w:ascii="Times New Roman;sans-serif" w:hAnsi="Times New Roman;sans-serif"/>
          <w:b w:val="false"/>
          <w:color w:val="000000"/>
          <w:sz w:val="20"/>
          <w:shd w:fill="FFFFFF" w:val="clear"/>
        </w:rPr>
        <w:t>four</w:t>
      </w:r>
      <w:r>
        <w:rPr>
          <w:color w:val="000000"/>
        </w:rPr>
        <w:t xml:space="preserve"> </w:t>
      </w:r>
      <w:r>
        <w:rPr>
          <w:rFonts w:ascii="Times New Roman;sans-serif" w:hAnsi="Times New Roman;sans-serif"/>
          <w:b w:val="false"/>
          <w:color w:val="000000"/>
          <w:sz w:val="20"/>
        </w:rPr>
        <w:t xml:space="preserve">outstanding letters of credit totaling </w:t>
      </w:r>
      <w:r>
        <w:rPr>
          <w:rFonts w:ascii="Times New Roman;sans-serif" w:hAnsi="Times New Roman;sans-serif"/>
          <w:b w:val="false"/>
          <w:color w:val="000000"/>
          <w:sz w:val="20"/>
          <w:shd w:fill="FFFFFF" w:val="clear"/>
        </w:rPr>
        <w:t>$1.4 million</w:t>
      </w:r>
      <w:r>
        <w:rPr>
          <w:rFonts w:ascii="Times New Roman;sans-serif" w:hAnsi="Times New Roman;sans-serif"/>
          <w:b w:val="false"/>
          <w:color w:val="000000"/>
          <w:sz w:val="20"/>
        </w:rPr>
        <w:t xml:space="preserve">. See Item 1. </w:t>
      </w:r>
      <w:r>
        <w:rPr>
          <w:rFonts w:ascii="Times New Roman;sans-serif" w:hAnsi="Times New Roman;sans-serif"/>
          <w:b w:val="false"/>
          <w:i/>
          <w:color w:val="000000"/>
          <w:sz w:val="20"/>
        </w:rPr>
        <w:t>Financial Statements</w:t>
      </w:r>
      <w:r>
        <w:rPr>
          <w:rFonts w:ascii="Times New Roman;sans-serif" w:hAnsi="Times New Roman;sans-serif"/>
          <w:b w:val="false"/>
          <w:i/>
          <w:color w:val="000000"/>
          <w:sz w:val="20"/>
          <w:shd w:fill="FFFFFF" w:val="clear"/>
        </w:rPr>
        <w:t xml:space="preserve">, </w:t>
      </w:r>
      <w:r>
        <w:rPr>
          <w:rFonts w:ascii="Times New Roman;sans-serif" w:hAnsi="Times New Roman;sans-serif"/>
          <w:b w:val="false"/>
          <w:color w:val="000000"/>
          <w:sz w:val="20"/>
        </w:rPr>
        <w:t xml:space="preserve">Note 9.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for additional information related to the Company’s off-balance sheet arrangements and the outstanding letters of credit.</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financial statements are prepared in accordance with U.S GAAP. Preparation of these financial statements requires the Company to make estimates, assumptions and judgments that affect the reported amounts of assets, liabilities, revenue and expenses, and related disclosure of contingent assets and liabilities. The Company’s most critical accounting policies and estimates are those most important to the portrayal of its financial condition and results of operations and which require the Company to make its most difficult and subjective judgments, often as a result of the need to make estimates regarding matters that are inherently uncertain. Although management believes that its estimates and assumptions are reasonable, they are based on information available when they are made and, therefore, may differ from estimates made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both"/>
        <w:rPr/>
      </w:pPr>
      <w:r>
        <w:rPr>
          <w:rFonts w:ascii="Times New Roman;sans-serif" w:hAnsi="Times New Roman;sans-serif"/>
          <w:b w:val="false"/>
          <w:color w:val="000000"/>
          <w:sz w:val="20"/>
        </w:rPr>
        <w:t xml:space="preserve">The Company’s significant accounting policies are consistent with those discussed in Note 1. </w:t>
      </w:r>
      <w:r>
        <w:rPr>
          <w:rFonts w:ascii="Times New Roman;sans-serif" w:hAnsi="Times New Roman;sans-serif"/>
          <w:b w:val="false"/>
          <w:i/>
          <w:color w:val="000000"/>
          <w:sz w:val="20"/>
        </w:rPr>
        <w:t>Summary of Significant Accounting Policies and Other Information</w:t>
      </w:r>
      <w:r>
        <w:rPr>
          <w:rFonts w:ascii="Times New Roman;sans-serif" w:hAnsi="Times New Roman;sans-serif"/>
          <w:b w:val="false"/>
          <w:color w:val="000000"/>
          <w:sz w:val="20"/>
        </w:rPr>
        <w:t xml:space="preserve">, to the consolidated financial statements and the MD&amp;A section of the Company’s 2023 Annual Report on Form 10-K (the “2023 Annual Report”). During the three months ended March 31, 2024, there were no significant changes in the application of critical accounting policies.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identified the following accounting policies as its most critical because they require the Company to make difficult, subjective, and complex judgments and estimates: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Revenue Recognition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Goodwill Impairment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Warranty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Impact of New Accounting Standards</w:t>
      </w:r>
    </w:p>
    <w:p>
      <w:pPr>
        <w:pStyle w:val="TextBody"/>
        <w:bidi w:val="0"/>
        <w:spacing w:lineRule="auto" w:line="288" w:before="120" w:after="120"/>
        <w:jc w:val="both"/>
        <w:rPr/>
      </w:pPr>
      <w:r>
        <w:rPr>
          <w:rFonts w:ascii="Times New Roman;sans-serif" w:hAnsi="Times New Roman;sans-serif"/>
          <w:b w:val="false"/>
          <w:color w:val="000000"/>
          <w:sz w:val="20"/>
        </w:rPr>
        <w:t xml:space="preserve">For information about recently issued accounting pronouncements, see Note 1. </w:t>
      </w:r>
      <w:r>
        <w:rPr>
          <w:rFonts w:ascii="Times New Roman;sans-serif" w:hAnsi="Times New Roman;sans-serif"/>
          <w:b w:val="false"/>
          <w:i/>
          <w:color w:val="000000"/>
          <w:sz w:val="20"/>
        </w:rPr>
        <w:t>Summary of Significant Accounting Policies and Other Information</w:t>
      </w:r>
      <w:r>
        <w:rPr>
          <w:rFonts w:ascii="Times New Roman;sans-serif" w:hAnsi="Times New Roman;sans-serif"/>
          <w:b w:val="false"/>
          <w:color w:val="000000"/>
          <w:sz w:val="20"/>
        </w:rPr>
        <w:t>, included in Part 1,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smaller reporting company as defined by Rule 12b-2 of the Exchange Act and is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24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Controls and Procedures.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term “disclosure controls and procedures” is defined in Rule 13a-15(e) of the Exchange Act as “controls and other procedures of an issuer that are designed to ensure that information required to be disclosed by the issuer in the reports that it files or submits under the Exchange Act are recorded, processed, summarized and reported, within the time periods specified in the SEC rules and forms.” The Company’s disclosure controls and procedures are designed to ensure that material information relating to the Company and its consolidated subsidiaries is accumulated and communicated to its management, including its Chief Executive Officer and its Chief Financial Officer, as appropriate to allow timely decisions regarding required disclosures.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its Chief Executive Officer and Chief Financial Officer, conducted an evaluation of the effectiveness of its disclosure controls and procedures as of March 31, 2024. Based upon that evaluation, the Company’s Chief Executive Officer and Chief Financial Officer have concluded that the Company’s disclosure controls and procedures were effective as of March 31, 2024, to provide reasonable assurance that information required to be disclosed in the reports that it files or submits under the Exchange Act is recorded, processed, summarized and reported within the time periods specified by the rules and forms of the Exchange Act, and that such information is accumulated and communicated to management, including our Chief Executive Officer and Chief Financial Officer, as appropriate, to allow timely decisions regarding required disclosure.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Company’s internal control over financial reporting during the first quarter of 2024 that has materially affected, or is reasonably likely to materially affect, the Company’s internal control over financial reporting.</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20" w:after="120"/>
        <w:jc w:val="both"/>
        <w:rPr/>
      </w:pPr>
      <w:r>
        <w:rPr>
          <w:rFonts w:ascii="Times New Roman;sans-serif" w:hAnsi="Times New Roman;sans-serif"/>
          <w:b w:val="false"/>
          <w:color w:val="000000"/>
          <w:sz w:val="20"/>
        </w:rPr>
        <w:t xml:space="preserve">See Note 9.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included in Part I, Item 1.</w:t>
      </w:r>
      <w:r>
        <w:rPr>
          <w:color w:val="000000"/>
        </w:rPr>
        <w:t xml:space="preserve"> </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for a discussion of legal proceedings, which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smaller reporting company as defined by Rule 12b-2 of the Exchange Act and is not required to provide the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jc w:val="center"/>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listed below that have been previously filed with the SEC (1934 Act File No. 001-35944) are incorporated herein by reference:</w:t>
      </w:r>
    </w:p>
    <w:tbl>
      <w:tblPr>
        <w:tblW w:w="10205" w:type="dxa"/>
        <w:jc w:val="center"/>
        <w:tblInd w:w="0" w:type="dxa"/>
        <w:tblLayout w:type="fixed"/>
        <w:tblCellMar>
          <w:top w:w="28" w:type="dxa"/>
          <w:left w:w="28" w:type="dxa"/>
          <w:bottom w:w="28" w:type="dxa"/>
          <w:right w:w="28" w:type="dxa"/>
        </w:tblCellMar>
      </w:tblPr>
      <w:tblGrid>
        <w:gridCol w:w="284"/>
        <w:gridCol w:w="250"/>
        <w:gridCol w:w="251"/>
        <w:gridCol w:w="109"/>
        <w:gridCol w:w="109"/>
        <w:gridCol w:w="109"/>
        <w:gridCol w:w="2273"/>
        <w:gridCol w:w="2097"/>
        <w:gridCol w:w="2105"/>
        <w:gridCol w:w="222"/>
        <w:gridCol w:w="203"/>
        <w:gridCol w:w="143"/>
        <w:gridCol w:w="225"/>
        <w:gridCol w:w="225"/>
        <w:gridCol w:w="226"/>
        <w:gridCol w:w="250"/>
        <w:gridCol w:w="242"/>
        <w:gridCol w:w="172"/>
        <w:gridCol w:w="237"/>
        <w:gridCol w:w="237"/>
        <w:gridCol w:w="236"/>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 Herein</w:t>
            </w:r>
          </w:p>
        </w:tc>
      </w:tr>
      <w:tr>
        <w:trPr/>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18"/>
                  <w:u w:val="single"/>
                </w:rPr>
                <w:t>Fourth Amended and Restated Uncommitted Revolving Credit Agreement, dated as of March 22, 2024, among the Company, certain subsidiaries of the Company party thereto, the lenders party thereto and Standard Chartered Bank, as administrative agent.</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03/28/2024</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001-35944</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18"/>
                  <w:u w:val="single"/>
                </w:rPr>
                <w:t>$30 Million Second Amended and Restated Shareholder’s Loan Agreement, dated as of March 22, 2024, between the Company and Weichai America Corp.</w:t>
              </w:r>
            </w:hyperlink>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03/28/2024</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001-35944</w:t>
            </w:r>
          </w:p>
        </w:tc>
      </w:tr>
      <w:tr>
        <w:trPr/>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5" w:type="dxa"/>
            <w:gridSpan w:val="3"/>
            <w:tcBorders/>
            <w:vAlign w:val="center"/>
          </w:tcPr>
          <w:p>
            <w:pPr>
              <w:pStyle w:val="TableContents"/>
              <w:bidi w:val="0"/>
              <w:spacing w:before="0" w:after="283"/>
              <w:jc w:val="left"/>
              <w:rPr>
                <w:sz w:val="4"/>
                <w:szCs w:val="4"/>
              </w:rPr>
            </w:pPr>
            <w:r>
              <w:rPr>
                <w:sz w:val="4"/>
                <w:szCs w:val="4"/>
              </w:rPr>
            </w:r>
          </w:p>
        </w:tc>
        <w:tc>
          <w:tcPr>
            <w:tcW w:w="568"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5" w:type="dxa"/>
            <w:gridSpan w:val="3"/>
            <w:tcBorders/>
            <w:vAlign w:val="center"/>
          </w:tcPr>
          <w:p>
            <w:pPr>
              <w:pStyle w:val="TableContents"/>
              <w:bidi w:val="0"/>
              <w:spacing w:before="0" w:after="283"/>
              <w:jc w:val="left"/>
              <w:rPr>
                <w:sz w:val="4"/>
                <w:szCs w:val="4"/>
              </w:rPr>
            </w:pPr>
            <w:r>
              <w:rPr>
                <w:sz w:val="4"/>
                <w:szCs w:val="4"/>
              </w:rPr>
            </w:r>
          </w:p>
        </w:tc>
        <w:tc>
          <w:tcPr>
            <w:tcW w:w="568"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4"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ocertificatio.htm">
              <w:r>
                <w:rPr>
                  <w:rStyle w:val="InternetLink"/>
                  <w:rFonts w:ascii="Times New Roman;sans-serif" w:hAnsi="Times New Roman;sans-serif"/>
                  <w:b w:val="false"/>
                  <w:color w:val="0000FF"/>
                  <w:sz w:val="18"/>
                  <w:u w:val="single"/>
                </w:rPr>
                <w:t xml:space="preserve">Certification of Chief Executive Officer, as adopted pursuant to Section 302 of the Sarbanes-Oxley Act of 2002. </w:t>
              </w:r>
            </w:hyperlink>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focertificatio.htm">
              <w:r>
                <w:rPr>
                  <w:rStyle w:val="InternetLink"/>
                  <w:rFonts w:ascii="Times New Roman;sans-serif" w:hAnsi="Times New Roman;sans-serif"/>
                  <w:b w:val="false"/>
                  <w:color w:val="0000FF"/>
                  <w:sz w:val="18"/>
                  <w:u w:val="single"/>
                </w:rPr>
                <w:t>Certification of Chief Financial Officer, as adopted pursuant to Section 302 of the Sarbanes-Oxley Act of 2002.</w:t>
              </w:r>
            </w:hyperlink>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ocertificatio.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 Oxley Act of 2002.</w:t>
              </w:r>
            </w:hyperlink>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cfocertificatio.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 Oxley Act of 2002.</w:t>
              </w:r>
            </w:hyperlink>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Instance Document.</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Labels Linkbase Document.</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Definition Linkbase Document.</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(embedded within the Inline XBRL document)</w:t>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*Filed with this Report.</w:t>
      </w:r>
    </w:p>
    <w:p>
      <w:pPr>
        <w:pStyle w:val="TextBody"/>
        <w:bidi w:val="0"/>
        <w:spacing w:lineRule="auto" w:line="288" w:before="0" w:after="0"/>
        <w:ind w:left="0" w:right="0" w:hanging="720"/>
        <w:jc w:val="both"/>
        <w:rPr>
          <w:rFonts w:ascii="Times New Roman;sans-serif" w:hAnsi="Times New Roman;sans-serif"/>
          <w:b w:val="false"/>
          <w:color w:val="000000"/>
          <w:sz w:val="16"/>
        </w:rPr>
      </w:pPr>
      <w:r>
        <w:rPr>
          <w:rFonts w:ascii="Times New Roman;sans-serif" w:hAnsi="Times New Roman;sans-serif"/>
          <w:b w:val="false"/>
          <w:color w:val="000000"/>
          <w:sz w:val="16"/>
        </w:rPr>
        <w:t>**This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98"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Exchange Act, the registrant has duly caused this Report to be signed on its behalf by the undersigned, thereunto duly authorized, on the 7th day of May 2024.</w:t>
      </w:r>
    </w:p>
    <w:tbl>
      <w:tblPr>
        <w:tblW w:w="706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428"/>
        <w:gridCol w:w="428"/>
        <w:gridCol w:w="428"/>
        <w:gridCol w:w="428"/>
        <w:gridCol w:w="428"/>
        <w:gridCol w:w="428"/>
        <w:gridCol w:w="1118"/>
        <w:gridCol w:w="1118"/>
        <w:gridCol w:w="15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POWER SOLUTIONS INTERNATIONAL,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Xun Li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Xun Li</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1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17 CFR 240.13a-14 PROMULGATED UNDER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302 OF THE SARBANES-OXLEY ACT OF 2002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Dino Xykis, certify that: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Power Solutions International, Inc.;</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4507" w:type="dxa"/>
        <w:jc w:val="left"/>
        <w:tblInd w:w="0" w:type="dxa"/>
        <w:tblLayout w:type="fixed"/>
        <w:tblCellMar>
          <w:top w:w="28" w:type="dxa"/>
          <w:left w:w="28" w:type="dxa"/>
          <w:bottom w:w="28" w:type="dxa"/>
          <w:right w:w="28" w:type="dxa"/>
        </w:tblCellMar>
      </w:tblPr>
      <w:tblGrid>
        <w:gridCol w:w="525"/>
        <w:gridCol w:w="463"/>
        <w:gridCol w:w="466"/>
        <w:gridCol w:w="109"/>
        <w:gridCol w:w="109"/>
        <w:gridCol w:w="109"/>
        <w:gridCol w:w="189"/>
        <w:gridCol w:w="189"/>
        <w:gridCol w:w="191"/>
        <w:gridCol w:w="109"/>
        <w:gridCol w:w="109"/>
        <w:gridCol w:w="109"/>
        <w:gridCol w:w="534"/>
        <w:gridCol w:w="534"/>
        <w:gridCol w:w="762"/>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Dino Xykis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Dino Xykis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bl>
    <w:p>
      <w:pPr>
        <w:pStyle w:val="TextBody"/>
        <w:bidi w:val="0"/>
        <w:spacing w:before="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17 CFR 240.13a-14 PROMULGATED UNDER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Xun Li, certify that: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Power Solutions International, Inc.;</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120" w:after="120"/>
        <w:jc w:val="left"/>
        <w:rPr>
          <w:color w:val="000000"/>
        </w:rPr>
      </w:pPr>
      <w:r>
        <w:rPr>
          <w:color w:val="000000"/>
        </w:rPr>
        <w:t> </w:t>
      </w:r>
    </w:p>
    <w:tbl>
      <w:tblPr>
        <w:tblW w:w="4642"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89"/>
        <w:gridCol w:w="189"/>
        <w:gridCol w:w="191"/>
        <w:gridCol w:w="109"/>
        <w:gridCol w:w="109"/>
        <w:gridCol w:w="109"/>
        <w:gridCol w:w="523"/>
        <w:gridCol w:w="523"/>
        <w:gridCol w:w="73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Xun Li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Xun Li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bl>
    <w:p>
      <w:pPr>
        <w:pStyle w:val="TextBody"/>
        <w:bidi w:val="0"/>
        <w:spacing w:before="20" w:after="12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Power Solutions International, Inc. (the “Company”) on Form 10-Q for the three months ended March 31, 2024, as filed with the Securities and Exchange Commission on the date hereof (the “Report”), I, Dino Xykis, Chief Executive Officer of the Company, certify, pursuant to 18 U.S.C. 1350, as adopted pursuant to 906 of the Sarbanes-Oxley Act of 2002, that:</w:t>
      </w:r>
    </w:p>
    <w:p>
      <w:pPr>
        <w:pStyle w:val="TextBody"/>
        <w:bidi w:val="0"/>
        <w:spacing w:lineRule="auto" w:line="288" w:before="24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20" w:after="120"/>
        <w:jc w:val="left"/>
        <w:rPr>
          <w:color w:val="000000"/>
        </w:rPr>
      </w:pPr>
      <w:r>
        <w:rPr>
          <w:color w:val="000000"/>
        </w:rPr>
        <w:t> </w:t>
      </w:r>
    </w:p>
    <w:tbl>
      <w:tblPr>
        <w:tblW w:w="4507" w:type="dxa"/>
        <w:jc w:val="left"/>
        <w:tblInd w:w="0" w:type="dxa"/>
        <w:tblLayout w:type="fixed"/>
        <w:tblCellMar>
          <w:top w:w="28" w:type="dxa"/>
          <w:left w:w="28" w:type="dxa"/>
          <w:bottom w:w="28" w:type="dxa"/>
          <w:right w:w="28" w:type="dxa"/>
        </w:tblCellMar>
      </w:tblPr>
      <w:tblGrid>
        <w:gridCol w:w="525"/>
        <w:gridCol w:w="463"/>
        <w:gridCol w:w="466"/>
        <w:gridCol w:w="109"/>
        <w:gridCol w:w="109"/>
        <w:gridCol w:w="109"/>
        <w:gridCol w:w="189"/>
        <w:gridCol w:w="189"/>
        <w:gridCol w:w="191"/>
        <w:gridCol w:w="109"/>
        <w:gridCol w:w="109"/>
        <w:gridCol w:w="109"/>
        <w:gridCol w:w="534"/>
        <w:gridCol w:w="534"/>
        <w:gridCol w:w="762"/>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Dino Xykis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Dino Xykis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r>
    </w:tbl>
    <w:p>
      <w:pPr>
        <w:pStyle w:val="TextBody"/>
        <w:bidi w:val="0"/>
        <w:spacing w:lineRule="auto" w:line="288" w:before="1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PRINCIPAL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Power Solutions International, Inc. (the “Company”) on Form 10-Q for the three months ended March 31, 2024, as filed with the Securities and Exchange Commission on the date hereof (the “Report”), I, Xun Li, Chief Financial Officer of the Company, certify, pursuant to 18 U.S.C. 1350, as adopted pursuant to 906 of the Sarbanes-Oxley Act of 2002, that:</w:t>
      </w:r>
    </w:p>
    <w:p>
      <w:pPr>
        <w:pStyle w:val="TextBody"/>
        <w:bidi w:val="0"/>
        <w:spacing w:lineRule="auto" w:line="288" w:before="24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4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4462" w:type="dxa"/>
        <w:jc w:val="left"/>
        <w:tblInd w:w="0" w:type="dxa"/>
        <w:tblLayout w:type="fixed"/>
        <w:tblCellMar>
          <w:top w:w="28" w:type="dxa"/>
          <w:left w:w="28" w:type="dxa"/>
          <w:bottom w:w="28" w:type="dxa"/>
          <w:right w:w="28" w:type="dxa"/>
        </w:tblCellMar>
      </w:tblPr>
      <w:tblGrid>
        <w:gridCol w:w="525"/>
        <w:gridCol w:w="463"/>
        <w:gridCol w:w="466"/>
        <w:gridCol w:w="109"/>
        <w:gridCol w:w="109"/>
        <w:gridCol w:w="109"/>
        <w:gridCol w:w="189"/>
        <w:gridCol w:w="189"/>
        <w:gridCol w:w="191"/>
        <w:gridCol w:w="109"/>
        <w:gridCol w:w="109"/>
        <w:gridCol w:w="109"/>
        <w:gridCol w:w="523"/>
        <w:gridCol w:w="523"/>
        <w:gridCol w:w="739"/>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Date: May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Xun Li</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Xun Li</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r>
    </w:tbl>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 </w:t>
      </w:r>
    </w:p>
    <w:p>
      <w:pPr>
        <w:pStyle w:val="TextBody"/>
        <w:bidi w:val="0"/>
        <w:spacing w:lineRule="auto" w:line="288" w:before="1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by the Company and will be retained by the Company and furnished to the Securities and Exchange Commission or its staff upon request.</w:t>
      </w:r>
    </w:p>
    <w:p>
      <w:pPr>
        <w:pStyle w:val="TextBody"/>
        <w:bidi w:val="0"/>
        <w:spacing w:before="120" w:after="120"/>
        <w:jc w:val="both"/>
        <w:rPr/>
      </w:pPr>
      <w:r>
        <w:rPr/>
      </w:r>
    </w:p>
    <w:p>
      <w:pPr>
        <w:pStyle w:val="TextBody"/>
        <w:bidi w:val="0"/>
        <w:spacing w:before="16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37091/000119312524080563/d811155dex101.htm" TargetMode="External"/><Relationship Id="rId4" Type="http://schemas.openxmlformats.org/officeDocument/2006/relationships/hyperlink" Target="https://www.sec.gov/Archives/edgar/data/1137091/000119312524080563/d811155d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17176</Words>
  <Characters>95946</Characters>
  <CharactersWithSpaces>112149</CharactersWithSpaces>
  <Paragraphs>1918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