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Hu Nan (Richard)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201 MITTEL DR.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WOOD DALE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60191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POWER SOLUTIONS INTERNATIONAL, INC.</w:t>
              </w:r>
            </w:hyperlink>
            <w:r>
              <w:rPr/>
              <w:t xml:space="preserve"> [ </w:t>
            </w:r>
            <w:r>
              <w:rPr>
                <w:rFonts w:ascii="Times;serif" w:hAnsi="Times;serif"/>
                <w:color w:val="0000FF"/>
                <w:sz w:val="24"/>
                <w:shd w:fill="FFFFFF" w:val="clear"/>
              </w:rPr>
              <w:t>PSIX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64"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5,867</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5,867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5,867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Phantom Unit represents an unfunded, unsecured right to receive a cash payment equal to the average Fair Market Value per share of the Issuer's Common Stock over the thirty (30) trading days immediately preceding the applicable vesting date. Phantom Units are settled in cash only and do not entitle the Reporting Person to any shares of Common Stock or voting rights. One-third of the Phantom Units vest on each of August 17, 2027, August 17, 2028 and August 17, 2029, subject to the Reporting Person's continuous service with the Issuer or its affiliates.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/s/Nan Hu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44767" TargetMode="External"/><Relationship Id="rId5" Type="http://schemas.openxmlformats.org/officeDocument/2006/relationships/hyperlink" Target="http://www.sec.gov/cgi-bin/browse-edgar?action=getcompany&amp;CIK=00011370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663</Words>
  <Characters>3548</Characters>
  <CharactersWithSpaces>4140</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