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407035</wp:posOffset>
            </wp:positionV>
            <wp:extent cx="1774190"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419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001-35944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POWER SOLUTIONS INTERNATIONAL,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5940" w:type="dxa"/>
            <w:vAlign w:val="bottom"/>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33-0963637</w:t>
            </w:r>
          </w:p>
        </w:tc>
      </w:tr>
      <w:tr>
        <w:trPr>
          <w:trHeight w:val="149"/>
        </w:trPr>
        <w:tc>
          <w:tcPr>
            <w:tcW w:w="5940" w:type="dxa"/>
            <w:vAlign w:val="bottom"/>
          </w:tcPr>
          <w:p>
            <w:pPr>
              <w:jc w:val="center"/>
              <w:ind w:right="34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20" w:type="dxa"/>
            <w:vAlign w:val="bottom"/>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40" w:type="dxa"/>
            <w:vAlign w:val="bottom"/>
          </w:tcPr>
          <w:p>
            <w:pPr>
              <w:jc w:val="center"/>
              <w:ind w:right="33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2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5940" w:type="dxa"/>
            <w:vAlign w:val="bottom"/>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201 Mittel Drive, Wood Dale, IL</w:t>
            </w:r>
          </w:p>
        </w:tc>
        <w:tc>
          <w:tcPr>
            <w:tcW w:w="14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60191</w:t>
            </w:r>
          </w:p>
        </w:tc>
      </w:tr>
      <w:tr>
        <w:trPr>
          <w:trHeight w:val="190"/>
        </w:trPr>
        <w:tc>
          <w:tcPr>
            <w:tcW w:w="5940" w:type="dxa"/>
            <w:vAlign w:val="bottom"/>
          </w:tcPr>
          <w:p>
            <w:pPr>
              <w:jc w:val="center"/>
              <w:ind w:right="34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2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5940" w:type="dxa"/>
            <w:vAlign w:val="bottom"/>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(630) 350-9400</w:t>
            </w:r>
          </w:p>
        </w:tc>
        <w:tc>
          <w:tcPr>
            <w:tcW w:w="1420" w:type="dxa"/>
            <w:vAlign w:val="bottom"/>
          </w:tcPr>
          <w:p>
            <w:pPr>
              <w:spacing w:after="0"/>
              <w:rPr>
                <w:sz w:val="24"/>
                <w:szCs w:val="24"/>
                <w:color w:val="auto"/>
              </w:rPr>
            </w:pPr>
          </w:p>
        </w:tc>
      </w:tr>
      <w:tr>
        <w:trPr>
          <w:trHeight w:val="190"/>
        </w:trPr>
        <w:tc>
          <w:tcPr>
            <w:tcW w:w="5940" w:type="dxa"/>
            <w:vAlign w:val="bottom"/>
          </w:tcPr>
          <w:p>
            <w:pPr>
              <w:jc w:val="center"/>
              <w:ind w:left="19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20" w:type="dxa"/>
            <w:vAlign w:val="bottom"/>
          </w:tcPr>
          <w:p>
            <w:pPr>
              <w:spacing w:after="0"/>
              <w:rPr>
                <w:sz w:val="16"/>
                <w:szCs w:val="16"/>
                <w:color w:val="auto"/>
              </w:rPr>
            </w:pPr>
          </w:p>
        </w:tc>
      </w:tr>
    </w:tbl>
    <w:p>
      <w:pPr>
        <w:spacing w:after="0" w:line="1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PSIX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Nasdaq Stock Market</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120" w:right="840"/>
        <w:spacing w:after="0" w:line="368"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and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0" w:lineRule="exact"/>
        <w:rPr>
          <w:sz w:val="24"/>
          <w:szCs w:val="24"/>
          <w:color w:val="auto"/>
        </w:rPr>
      </w:pPr>
    </w:p>
    <w:p>
      <w:pPr>
        <w:ind w:left="120"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120" w:right="160"/>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1" w:lineRule="exact"/>
        <w:rPr>
          <w:sz w:val="24"/>
          <w:szCs w:val="24"/>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p>
      <w:pPr>
        <w:ind w:left="120"/>
        <w:spacing w:after="0" w:line="207" w:lineRule="exact"/>
        <w:tabs>
          <w:tab w:leader="none" w:pos="2100" w:val="left"/>
          <w:tab w:leader="none" w:pos="8480" w:val="left"/>
          <w:tab w:leader="none" w:pos="109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140"/>
          </w:cols>
          <w:pgMar w:left="320" w:top="225" w:right="439" w:bottom="0" w:gutter="0" w:footer="0" w:header="0"/>
        </w:sectPr>
      </w:pPr>
    </w:p>
    <w:bookmarkStart w:id="1" w:name="page2"/>
    <w:bookmarkEnd w:id="1"/>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20" w:space="480"/>
            <w:col w:w="5660" w:space="720"/>
            <w:col w:w="1960" w:space="460"/>
            <w:col w:w="160"/>
          </w:cols>
          <w:pgMar w:left="440" w:top="94" w:right="499" w:bottom="1440" w:gutter="0" w:footer="0" w:header="0"/>
        </w:sectPr>
      </w:pPr>
    </w:p>
    <w:p>
      <w:pPr>
        <w:spacing w:after="0" w:line="4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6" w:lineRule="exact"/>
        <w:rPr>
          <w:sz w:val="20"/>
          <w:szCs w:val="20"/>
          <w:color w:val="auto"/>
        </w:rPr>
      </w:pPr>
    </w:p>
    <w:p>
      <w:pPr>
        <w:sectPr>
          <w:pgSz w:w="11900" w:h="16838" w:orient="portrait"/>
          <w:cols w:equalWidth="0" w:num="2">
            <w:col w:w="10340" w:space="460"/>
            <w:col w:w="160"/>
          </w:cols>
          <w:pgMar w:left="440" w:top="94" w:right="499" w:bottom="1440" w:gutter="0" w:footer="0" w:header="0"/>
          <w:type w:val="continuous"/>
        </w:sectPr>
      </w:pPr>
    </w:p>
    <w:p>
      <w:pPr>
        <w:spacing w:after="0" w:line="37"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4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pursuant to §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aggregate market value of 11,098,626 shares of the registrant’s common stock, par value $0.001 per share (the “Common Stock”) held by non-affiliates of the registrant as of June 30, 2025 was $717.9 million based on the last reported sale price on the Nasdaq market on June 30, 2025 (although the total market capitalization of the registrant as of such date was approximately $1.5 billion.) Shares of the registrant’s Common Stock held by each executive officer and director and by each person who holds 10% or more of the outstanding Common Stock have been excluded in that such persons may be deemed to be affiliates. This determination of affiliate status is not necessarily a conclusive determination for other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23, 2026, there were 23,050,450 outstanding shares of the Common Stock of the registrant.</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4" w:right="4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4"/>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FORWARD-LOOKING STATEMENTS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04"/>
        </w:trPr>
        <w:tc>
          <w:tcPr>
            <w:tcW w:w="7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760" w:type="dxa"/>
            <w:vAlign w:val="bottom"/>
            <w:tcBorders>
              <w:top w:val="single" w:sz="8" w:color="0000EE"/>
            </w:tcBorders>
            <w:gridSpan w:val="2"/>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04"/>
        </w:trPr>
        <w:tc>
          <w:tcPr>
            <w:tcW w:w="1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10.</w:t>
            </w:r>
          </w:p>
        </w:tc>
        <w:tc>
          <w:tcPr>
            <w:tcW w:w="91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3"/>
          </w:tcPr>
          <w:p>
            <w:pPr>
              <w:spacing w:after="0"/>
              <w:rPr>
                <w:sz w:val="24"/>
                <w:szCs w:val="24"/>
                <w:color w:val="auto"/>
              </w:rPr>
            </w:pPr>
          </w:p>
        </w:tc>
        <w:tc>
          <w:tcPr>
            <w:tcW w:w="50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1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1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8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1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372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7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780" w:type="dxa"/>
            <w:vAlign w:val="bottom"/>
            <w:gridSpan w:val="3"/>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304"/>
        </w:trPr>
        <w:tc>
          <w:tcPr>
            <w:tcW w:w="1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626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4"/>
        </w:trPr>
        <w:tc>
          <w:tcPr>
            <w:tcW w:w="1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16.</w:t>
            </w:r>
          </w:p>
        </w:tc>
        <w:tc>
          <w:tcPr>
            <w:tcW w:w="91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1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34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bl>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This Amendment No. 1 (this “Amendment”) on Form 10-K/A amends the Annual Report on Form 10-K for the year ended December 31, 2025 of Power Solutions International, Inc. (“PSI” or the “Company”) filed with the Securities and Exchange Commission (the “SEC”) on March 2, 2026 (the “Original 10-K”) to include the information required by Items 10 through 14 of Part III (the “Part III Disclosure”) of the Original 10-K. This information was previously omitted from the Original 10-K in reliance on General Instruction G(3) to Form 10-K, which permits the information in the above referenced items to be incorporated in the Form 10-K by reference to the Company’s definitive proxy statement if such statement is filed no later than 120 days after the Company’s fiscal year-end.</w:t>
      </w:r>
    </w:p>
    <w:p>
      <w:pPr>
        <w:spacing w:after="0" w:line="187"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information included herein as required by the Part III Disclosure is more limited than what is required to be included in the definitive proxy statement to be filed in connection with PSI’s 2025 Annual Meeting of Stockholders. Accordingly, the definitive proxy statement to be filed at a later date will include additional information related to the topics herein and additional information not required by the Part III Disclosure.</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Pursuant to the SEC rules, Part IV, Item 15 has also been amended to contain the currently dated certificates from the Company’s principal executive and financial officers pursuant to Section 302 of the Sarbanes-Oxley Act of 2002. The certificates of the Company’s principal executive and financial officers are attached to this Amendment as Exhibits 31.3 and 31.4. Because no financial statements have been included in this Amendment and this Amendment does not contain or amend any disclosure with respect to Items 307 and 308 of Regulation S-K, paragraphs 3, 4 and 5 of the certifications have been omitted. Additionally, PSI is not including the certificates under Section 906 of the Sarbanes-Oxley Act of 2002 as no financial statements are being filed with this Amendment.</w:t>
      </w:r>
    </w:p>
    <w:p>
      <w:pPr>
        <w:spacing w:after="0" w:line="187"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color w:val="auto"/>
        </w:rPr>
        <w:t>Except for the information described above, the Company has not modified or updated disclosures provided in the Original 10-K in this Amendment. Accordingly, this Amendment does not reflect events occurring after the filing of the Original 10-K or modify or update those disclosures affected by subsequent events, except as noted herein. Information not affected by this Amendment is unchanged and reflects the disclosures made at the time the Original 10-K was filed.</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Certain statements contained in this Amendment that are not historical facts are intended to constitute “forward-looking statements” entitled to the safe-harbor provisions of Section 21E of the Securities Exchange Act of 1934, as amended (the “Exchange Act”). These statements may involve risks and uncertainties. These statements often include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subject to a number of risks, uncertainties and assumptions that may cause actual results, performance or achievements to differ materially from those expressed in, or implied by, such statements.</w:t>
      </w:r>
    </w:p>
    <w:p>
      <w:pPr>
        <w:spacing w:after="0" w:line="18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i w:val="1"/>
          <w:iCs w:val="1"/>
          <w:color w:val="auto"/>
        </w:rPr>
        <w:t>The Company cautions that the risks, uncertainties and other factors that could cause its actual results to differ materially from those expressed in, or implied by, the forward-looking statements include, without limitation; the factors discussed in Item 1A. Risk Factors in the Original 10-K; the impact of the macro-economic environment in both the U.S. and internationally on our business and expectations regarding growth of the industry; uncertainties arising from global events (including the Russia-Ukraine, Israel-Hamas and the U.S./Israel-Iran conflicts), natural disasters or pandemics, and their impact on material prices; the effects of strategic investments on our operations, including our efforts to expand our global market share and actions taken to increase sales growth; the ability to develop and successfully launch new products; labor costs and other employment-related costs; loss of suppliers and disruptions in the supply of raw materials; the Company’s ability to continue as a going concern; the Company’s ability to raise additional capital when needed and its liquidity; uncertainties around the Company’s ability to meet funding conditions under its financing arrangements and access to capital thereunder; the potential acceleration of the maturity at any time of the loans under the Company’s uncommitted revolving credit agreement through the exercise by any lender of its demand right in its Revolving Credit Agreement; the impact of rising interest rates; changes in economic conditions, including inflationary trends in the price of raw materials; our reliance on information technology and the associated risk involving potential security lapses and/or cyber-attacks; the ability of the Company to accurately forecast sales, and the extent to which sales result in recorded revenues; changes in customer demand for the Company’s products; volatility in oil and gas prices; the impact of U.S. tariffs on imports and exports; the impact of supply chain interruptions and raw material shortages, including compliance disruptions such as the Uyghur Forced Labor Prevention Act (the “UFLPA”) delaying goods from China; the potential impact of higher warranty costs and the Company’s ability to mitigate such costs; any delays and challenges in recruiting and retaining key employees consistent with the Company’s plans; the potential effects of damage to our reputation or other adverse consequences if our employees, suppliers, sub-suppliers or other contract parties, agents or business partners violate anti-bribery, competition, export and import, trade sanctions, data privacy, environmental, human rights or other laws; and the impact of unanticipated changes in our effective tax rate, the adoption of new tax legislation or exposure to additional income tax liabilities.</w:t>
      </w:r>
    </w:p>
    <w:p>
      <w:pPr>
        <w:spacing w:after="0" w:line="191" w:lineRule="exact"/>
        <w:rPr>
          <w:sz w:val="20"/>
          <w:szCs w:val="20"/>
          <w:color w:val="auto"/>
        </w:rPr>
      </w:pPr>
    </w:p>
    <w:p>
      <w:pPr>
        <w:ind w:left="120" w:right="640"/>
        <w:spacing w:after="0" w:line="315" w:lineRule="auto"/>
        <w:rPr>
          <w:sz w:val="20"/>
          <w:szCs w:val="20"/>
          <w:color w:val="auto"/>
        </w:rPr>
      </w:pPr>
      <w:r>
        <w:rPr>
          <w:rFonts w:ascii="Times New Roman" w:cs="Times New Roman" w:eastAsia="Times New Roman" w:hAnsi="Times New Roman"/>
          <w:sz w:val="17"/>
          <w:szCs w:val="17"/>
          <w:i w:val="1"/>
          <w:iCs w:val="1"/>
          <w:color w:val="auto"/>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following table and biographical summaries set forth, with respect to each member of the Board of Directors for the Company (the “Board”) as of April 23, 2026, their committee membership, their age, the year in which they first became a director of the Company, and whether or not Weichai America Corp. (“Weichai America”), a wholly-owned subsidiary of Weichai Power Co., Ltd (“Weichai Power”) (Weichai America and Weichai Power, herein together referred to as “Weichai”) designated such director to serve on the Board pursuant to the Investor Rights Agreement (as described in the “Related Person Transactions” section in this Amendment) entered into by the Company and Weichai:</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900" w:type="dxa"/>
            <w:vAlign w:val="bottom"/>
            <w:vMerge w:val="restart"/>
          </w:tcPr>
          <w:p>
            <w:pPr>
              <w:spacing w:after="0"/>
              <w:rPr>
                <w:sz w:val="13"/>
                <w:szCs w:val="13"/>
                <w:color w:val="auto"/>
              </w:rPr>
            </w:pPr>
          </w:p>
        </w:tc>
        <w:tc>
          <w:tcPr>
            <w:tcW w:w="13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Weichai</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Designee</w:t>
            </w:r>
          </w:p>
        </w:tc>
        <w:tc>
          <w:tcPr>
            <w:tcW w:w="0" w:type="dxa"/>
            <w:vAlign w:val="bottom"/>
          </w:tcPr>
          <w:p>
            <w:pPr>
              <w:spacing w:after="0"/>
              <w:rPr>
                <w:sz w:val="1"/>
                <w:szCs w:val="1"/>
                <w:color w:val="auto"/>
              </w:rPr>
            </w:pPr>
          </w:p>
        </w:tc>
      </w:tr>
      <w:tr>
        <w:trPr>
          <w:trHeight w:val="203"/>
        </w:trPr>
        <w:tc>
          <w:tcPr>
            <w:tcW w:w="2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Jiwen Zhang</w:t>
            </w:r>
          </w:p>
        </w:tc>
        <w:tc>
          <w:tcPr>
            <w:tcW w:w="1860" w:type="dxa"/>
            <w:vAlign w:val="bottom"/>
            <w:tcBorders>
              <w:top w:val="single" w:sz="8" w:color="auto"/>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Chairman of the Board</w:t>
            </w:r>
          </w:p>
        </w:tc>
        <w:tc>
          <w:tcPr>
            <w:tcW w:w="12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Strategic (Chair); Nominating (Chair)</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Zhao Jin</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Xuesen Yang</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Compensation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Courtney Shea</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Compensation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P. Simpkins</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(Chair); Nominating; Strategic</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He</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Compensation (Chair)</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Fuzhang Yu</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441"/>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Jiwen Zhang</w:t>
            </w:r>
            <w:r>
              <w:rPr>
                <w:rFonts w:ascii="Times New Roman" w:cs="Times New Roman" w:eastAsia="Times New Roman" w:hAnsi="Times New Roman"/>
                <w:sz w:val="18"/>
                <w:szCs w:val="18"/>
                <w:color w:val="auto"/>
              </w:rPr>
              <w:t xml:space="preserve">                </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Age: 55 </w:t>
            </w:r>
          </w:p>
        </w:tc>
        <w:tc>
          <w:tcPr>
            <w:tcW w:w="54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Chairman of the Board</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PSI Committee: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5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Strategic Committee (Chair)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5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Nominating (Chair)</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u w:val="single" w:color="auto"/>
          <w:color w:val="auto"/>
        </w:rPr>
        <w:t>Biograph</w:t>
      </w:r>
      <w:r>
        <w:rPr>
          <w:rFonts w:ascii="Times New Roman" w:cs="Times New Roman" w:eastAsia="Times New Roman" w:hAnsi="Times New Roman"/>
          <w:sz w:val="18"/>
          <w:szCs w:val="18"/>
          <w:color w:val="auto"/>
        </w:rPr>
        <w:t>y: Mr. Jiwen Zhang has served as a director and Chairman of the Board of the Company since March 29, 2023. Mr. Zhang also has served as the Chair of the Strategic Committee since May 4, 2023.</w:t>
      </w:r>
    </w:p>
    <w:p>
      <w:pPr>
        <w:spacing w:after="0" w:line="162" w:lineRule="exact"/>
        <w:rPr>
          <w:sz w:val="20"/>
          <w:szCs w:val="20"/>
          <w:color w:val="auto"/>
        </w:rPr>
      </w:pPr>
    </w:p>
    <w:p>
      <w:pPr>
        <w:jc w:val="both"/>
        <w:ind w:left="120" w:right="80"/>
        <w:spacing w:after="0" w:line="272" w:lineRule="auto"/>
        <w:rPr>
          <w:sz w:val="20"/>
          <w:szCs w:val="20"/>
          <w:color w:val="auto"/>
        </w:rPr>
      </w:pPr>
      <w:r>
        <w:rPr>
          <w:rFonts w:ascii="Times New Roman" w:cs="Times New Roman" w:eastAsia="Times New Roman" w:hAnsi="Times New Roman"/>
          <w:sz w:val="17"/>
          <w:szCs w:val="17"/>
          <w:color w:val="auto"/>
        </w:rPr>
        <w:t>Mr. Jiwen Zhang has served as Chief Executive Officer of Weichai America, which focuses on researching and developing a full line of off-road natural gas engines and engine components, since February 2023. Weichai America is a wholly owned subsidiary of Weichai Power, a publicly traded company on the Hong Kong Stock Exchange and the Shenzhen Stock Exchange. Mr. Jiwen Zhang has over twenty years of experience in the engine industry.</w:t>
      </w:r>
    </w:p>
    <w:p>
      <w:pPr>
        <w:spacing w:after="0" w:line="2"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From January 2013 to December 2022, Mr. Jiwen Zhang served as President of Kohler Power Systems, a multinational company located in Wisconsin, which specialized in diesel and gaseous generators, and was responsible for oversight of the global business operations. Prior to this, Mr. Jiwen Zhang served as Managing Director Commercial of Fiat Powertrain APAC from September 2010 to December 2012, Vice President of Volvo Penta Region Asia from May 2002 to August 2010, and Customer Service General Manager of a Caterpillar distributor Lei Shing Hong machinery from September 1994 to April 2002.</w:t>
      </w:r>
    </w:p>
    <w:p>
      <w:pPr>
        <w:spacing w:after="0" w:line="187"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Mr. Jiwen Zhang earned his EMBA from University of Texas at Arlington and Bachelor’s degree of Mechanical &amp; Electrical Engineering from University of Science and Technology of China. Mr. Jiwen Zhang serves on the Board as a Weichai designee.</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Mr. Jiwen Zhang brings to the Board extensive and effective leadership experience demonstrated through his executive and management roles at leading engine manufacturers.</w:t>
      </w:r>
    </w:p>
    <w:p>
      <w:pPr>
        <w:sectPr>
          <w:pgSz w:w="11900" w:h="16838" w:orient="portrait"/>
          <w:cols w:equalWidth="0" w:num="1">
            <w:col w:w="11140"/>
          </w:cols>
          <w:pgMar w:left="320" w:top="482" w:right="439" w:bottom="1440" w:gutter="0" w:footer="0" w:header="0"/>
        </w:sectPr>
      </w:pP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Zhao Jin</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Age: 40 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PSI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Strategic</w:t>
      </w:r>
    </w:p>
    <w:p>
      <w:pPr>
        <w:spacing w:after="0" w:line="200" w:lineRule="exact"/>
        <w:rPr>
          <w:sz w:val="20"/>
          <w:szCs w:val="20"/>
          <w:color w:val="auto"/>
        </w:rPr>
      </w:pPr>
    </w:p>
    <w:p>
      <w:pPr>
        <w:sectPr>
          <w:pgSz w:w="11900" w:h="16838" w:orient="portrait"/>
          <w:cols w:equalWidth="0" w:num="7">
            <w:col w:w="840" w:space="140"/>
            <w:col w:w="220" w:space="140"/>
            <w:col w:w="40" w:space="140"/>
            <w:col w:w="40" w:space="140"/>
            <w:col w:w="40" w:space="480"/>
            <w:col w:w="620" w:space="360"/>
            <w:col w:w="7940"/>
          </w:cols>
          <w:pgMar w:left="320" w:top="482" w:right="439" w:bottom="1440" w:gutter="0" w:footer="0" w:header="0"/>
          <w:type w:val="continuous"/>
        </w:sectPr>
      </w:pPr>
    </w:p>
    <w:p>
      <w:pPr>
        <w:spacing w:after="0" w:line="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Biograph</w:t>
      </w:r>
      <w:r>
        <w:rPr>
          <w:rFonts w:ascii="Times New Roman" w:cs="Times New Roman" w:eastAsia="Times New Roman" w:hAnsi="Times New Roman"/>
          <w:sz w:val="18"/>
          <w:szCs w:val="18"/>
          <w:color w:val="auto"/>
        </w:rPr>
        <w:t>y: Mr. Zhao Jin currently serves as Vice General Manager of Weichai Holding Group Co., Ltd., a multi-field and multi-industry international group. He brings extensive experience in international business operations and cross-regional management, having held various leadership positions across multiple Weichai subsidiaries and international affiliates. Mr. Jin’s current and recent leadership roles include Chairman of Ferretti International Holding S.P.A., Director of Ferretti S.P.A., Chairman of Supervisory Board of Société Internationale des Moteurs Baudouin, and Chairman of Weichai Middle East FZE. He previously served as General Manager and Chairman of Shandong Weichai Import and Export Co., Ltd., and held senior executive positions at Weichai Power Equipment Co., Ltd., including Chairman and General Manager roles. Mr. Jin has specialized expertise in international sales, overseas marketing of power equipment, and cross-regional business management.</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Mr. Jin earned his Bachelor’s degree in Thermal Energy &amp; Power Engineering from Harbin Institute of Technology in 2005. Mr. Jin serves on the Board as a Weichai designee.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529"/>
        </w:trPr>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Xuesen Yang</w:t>
            </w:r>
            <w:r>
              <w:rPr>
                <w:rFonts w:ascii="Times New Roman" w:cs="Times New Roman" w:eastAsia="Times New Roman" w:hAnsi="Times New Roman"/>
                <w:sz w:val="18"/>
                <w:szCs w:val="18"/>
                <w:color w:val="auto"/>
              </w:rPr>
              <w:t xml:space="preserve">                </w:t>
            </w:r>
          </w:p>
        </w:tc>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Age: 46 </w:t>
            </w: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PSI Committee:</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Nominating</w:t>
            </w:r>
          </w:p>
        </w:tc>
      </w:tr>
      <w:tr>
        <w:trPr>
          <w:trHeight w:val="234"/>
        </w:trPr>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Compensation</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right="40"/>
        <w:spacing w:after="0" w:line="289" w:lineRule="auto"/>
        <w:rPr>
          <w:sz w:val="20"/>
          <w:szCs w:val="20"/>
          <w:color w:val="auto"/>
        </w:rPr>
      </w:pPr>
      <w:r>
        <w:rPr>
          <w:rFonts w:ascii="Times New Roman" w:cs="Times New Roman" w:eastAsia="Times New Roman" w:hAnsi="Times New Roman"/>
          <w:sz w:val="17"/>
          <w:szCs w:val="17"/>
          <w:u w:val="single" w:color="auto"/>
          <w:color w:val="auto"/>
        </w:rPr>
        <w:t>Biograph</w:t>
      </w:r>
      <w:r>
        <w:rPr>
          <w:rFonts w:ascii="Times New Roman" w:cs="Times New Roman" w:eastAsia="Times New Roman" w:hAnsi="Times New Roman"/>
          <w:sz w:val="17"/>
          <w:szCs w:val="17"/>
          <w:color w:val="auto"/>
        </w:rPr>
        <w:t>y: Mr. Xuesen Yang currently serves as Vice President of Weichai Holding Group Co., Ltd., and has served as Chairman and Chief Operating Officer of Weichai America Corp. since October 1, 2025. He has over 20 years of extensive executive-level experience within the Weichai organization, with responsibilities for overseeing investment strategy, planning, and program management, including managing fixed asset investments.</w:t>
      </w:r>
    </w:p>
    <w:p>
      <w:pPr>
        <w:spacing w:after="0" w:line="158" w:lineRule="exact"/>
        <w:rPr>
          <w:sz w:val="20"/>
          <w:szCs w:val="20"/>
          <w:color w:val="auto"/>
        </w:rPr>
      </w:pPr>
    </w:p>
    <w:p>
      <w:pPr>
        <w:ind w:left="120" w:right="680"/>
        <w:spacing w:after="0" w:line="312" w:lineRule="auto"/>
        <w:rPr>
          <w:sz w:val="20"/>
          <w:szCs w:val="20"/>
          <w:color w:val="auto"/>
        </w:rPr>
      </w:pPr>
      <w:r>
        <w:rPr>
          <w:rFonts w:ascii="Times New Roman" w:cs="Times New Roman" w:eastAsia="Times New Roman" w:hAnsi="Times New Roman"/>
          <w:sz w:val="17"/>
          <w:szCs w:val="17"/>
          <w:color w:val="auto"/>
        </w:rPr>
        <w:t>Mr. Yang holds a Master’s degree in Technical Economy and Management from Tianjin University (2005) and a Bachelor’s degree in Business Administration from Hebei Institute of Architectural Science and Technology (2003). Mr. Yang serves on the Board as a Weichai designee.</w:t>
      </w:r>
    </w:p>
    <w:p>
      <w:pPr>
        <w:sectPr>
          <w:pgSz w:w="11900" w:h="16838" w:orient="portrait"/>
          <w:cols w:equalWidth="0" w:num="1">
            <w:col w:w="11100"/>
          </w:cols>
          <w:pgMar w:left="320" w:top="473" w:right="479" w:bottom="353" w:gutter="0" w:footer="0" w:header="0"/>
        </w:sectPr>
      </w:pP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Courtney Shea</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Age: 65 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PSI Committees: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Audit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Compensation Committee</w:t>
      </w:r>
    </w:p>
    <w:p>
      <w:pPr>
        <w:spacing w:after="0" w:line="200" w:lineRule="exact"/>
        <w:rPr>
          <w:sz w:val="20"/>
          <w:szCs w:val="20"/>
          <w:color w:val="auto"/>
        </w:rPr>
      </w:pPr>
    </w:p>
    <w:p>
      <w:pPr>
        <w:sectPr>
          <w:pgSz w:w="11900" w:h="16838" w:orient="portrait"/>
          <w:cols w:equalWidth="0" w:num="7">
            <w:col w:w="1260" w:space="140"/>
            <w:col w:w="40" w:space="140"/>
            <w:col w:w="40" w:space="140"/>
            <w:col w:w="220" w:space="140"/>
            <w:col w:w="40" w:space="500"/>
            <w:col w:w="620" w:space="380"/>
            <w:col w:w="7440"/>
          </w:cols>
          <w:pgMar w:left="320" w:top="473" w:right="479" w:bottom="353" w:gutter="0" w:footer="0" w:header="0"/>
          <w:type w:val="continuous"/>
        </w:sectPr>
      </w:pPr>
    </w:p>
    <w:p>
      <w:pPr>
        <w:spacing w:after="0" w:line="18"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u w:val="single" w:color="auto"/>
          <w:color w:val="auto"/>
        </w:rPr>
        <w:t>Biograph</w:t>
      </w:r>
      <w:r>
        <w:rPr>
          <w:rFonts w:ascii="Times New Roman" w:cs="Times New Roman" w:eastAsia="Times New Roman" w:hAnsi="Times New Roman"/>
          <w:sz w:val="18"/>
          <w:szCs w:val="18"/>
          <w:color w:val="auto"/>
        </w:rPr>
        <w:t>y: Ms. Shea has over 30 years’ experience in U.S. public finance in which she served as both a municipal advisor and investment banker working with state and local governments, not for profits and universities, in their issuance of municipal bonds. Ms. Shea served as the Managing Member of Columbia Capital Management, a national municipal advisory firm, from September 2013 until her retirement from the firm in April 2021. Prior to her tenure at Columbia Capital Management, Ms. Shea was an investment banker with several Wall Street firms, including serving as National Head of Public Finance at a division of ABN AMRO for five years. Ms. Shea has served as an independent director and member of Audit, Environmental and Social Responsibility, Finance and Risk Oversight Committees of Assured Guaranty Ltd., a public company listed on the New York Stock Exchange since May 2021. Ms. Shea was an independent director and Audit Committee chair of the Professional Diversity Network from March 2019 until August 2024. Additionally, she serves on several not-for-profit boards, including the Joffrey Ballet and the Milken Institute Center for Financial Markets Public Finance Advisory Council. Ms. Shea was a founding member of Women in Public Finance, a women’s professional organization founded in 1996, and has been a Certified Director by the National Association of Corporate Directors. Ms. Shea holds a Cybersecurity Certification from the Private Directors Association. Ms. Shea is an Illinois licensed attorney.</w:t>
      </w:r>
    </w:p>
    <w:p>
      <w:pPr>
        <w:spacing w:after="0" w:line="19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Ms. Shea has a Bachelor’s degree in Economics from University of Notre Dame, a Juris Doctor degree from Loyola University Law School, and a Masters of Business Administration degree from University of Chicago Graduate School of Business.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Ms. Shea brings to the Board skills and experience in finance, auditing and risk management.</w:t>
      </w:r>
    </w:p>
    <w:p>
      <w:pPr>
        <w:sectPr>
          <w:pgSz w:w="11900" w:h="16838" w:orient="portrait"/>
          <w:cols w:equalWidth="0" w:num="1">
            <w:col w:w="11100"/>
          </w:cols>
          <w:pgMar w:left="320" w:top="473" w:right="479" w:bottom="353" w:gutter="0" w:footer="0" w:header="0"/>
          <w:type w:val="continuous"/>
        </w:sect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Frank P. Simpkins</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Age: 63 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PSI Committees: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Audit Committee (Chair)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Nominating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Strategic Committee</w:t>
      </w:r>
    </w:p>
    <w:p>
      <w:pPr>
        <w:spacing w:after="0" w:line="200" w:lineRule="exact"/>
        <w:rPr>
          <w:sz w:val="20"/>
          <w:szCs w:val="20"/>
          <w:color w:val="auto"/>
        </w:rPr>
      </w:pPr>
    </w:p>
    <w:p>
      <w:pPr>
        <w:sectPr>
          <w:pgSz w:w="11900" w:h="16838" w:orient="portrait"/>
          <w:cols w:equalWidth="0" w:num="8">
            <w:col w:w="1540" w:space="140"/>
            <w:col w:w="40" w:space="140"/>
            <w:col w:w="40" w:space="140"/>
            <w:col w:w="40" w:space="140"/>
            <w:col w:w="40" w:space="140"/>
            <w:col w:w="40" w:space="660"/>
            <w:col w:w="620" w:space="360"/>
            <w:col w:w="7020"/>
          </w:cols>
          <w:pgMar w:left="320" w:top="473" w:right="479" w:bottom="353" w:gutter="0" w:footer="0" w:header="0"/>
          <w:type w:val="continuous"/>
        </w:sectPr>
      </w:pPr>
    </w:p>
    <w:p>
      <w:pPr>
        <w:spacing w:after="0" w:line="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Biograph</w:t>
      </w:r>
      <w:r>
        <w:rPr>
          <w:rFonts w:ascii="Times New Roman" w:cs="Times New Roman" w:eastAsia="Times New Roman" w:hAnsi="Times New Roman"/>
          <w:sz w:val="18"/>
          <w:szCs w:val="18"/>
          <w:color w:val="auto"/>
        </w:rPr>
        <w:t>y: Mr. Simpkins has served as a director of the Company since July 13, 2017. Mr. Simpkins is the Chair of the Audit Committee and is also a member of the Nominating Committee and the Strategic Committee.</w:t>
      </w:r>
    </w:p>
    <w:p>
      <w:pPr>
        <w:spacing w:after="0" w:line="162" w:lineRule="exact"/>
        <w:rPr>
          <w:sz w:val="20"/>
          <w:szCs w:val="20"/>
          <w:color w:val="auto"/>
        </w:rPr>
      </w:pPr>
    </w:p>
    <w:p>
      <w:pPr>
        <w:ind w:left="120" w:right="240"/>
        <w:spacing w:after="0" w:line="277" w:lineRule="auto"/>
        <w:rPr>
          <w:sz w:val="20"/>
          <w:szCs w:val="20"/>
          <w:color w:val="auto"/>
        </w:rPr>
      </w:pPr>
      <w:r>
        <w:rPr>
          <w:rFonts w:ascii="Times New Roman" w:cs="Times New Roman" w:eastAsia="Times New Roman" w:hAnsi="Times New Roman"/>
          <w:sz w:val="17"/>
          <w:szCs w:val="17"/>
          <w:color w:val="auto"/>
        </w:rPr>
        <w:t>Mr. Simpkins has over 25 years of executive management and financial experience. From June 2016 to December 2016, he served as Chief Financial Officer of Emerson Network Power, part of Emerson Electric Co., a publicly traded company on the New York Stock Exchange (the “NYSE”). From 2006 to 2015, Mr. Simpkins served as Vice President and Chief Financial Officer of Kennametal Inc., a publicly traded company on the NYSE and a global leader in the design and manufacture of engineered components, advanced materials and cutting tools. Prior to that role, Mr. Simpkins held various positions within Kennametal since 1995. Prior to Kennametal, he worked as a Manager for PricewaterhouseCoopers from 1986 to 1995.</w:t>
      </w:r>
    </w:p>
    <w:p>
      <w:pPr>
        <w:spacing w:after="0" w:line="168"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Mr. Simpkins served as a member of the Board of Directors of Exro Technologies Inc., and as the Chair of the Audit Committee and a member of the Nominating and Governance Committee, from July 2023 until November 2025.</w:t>
      </w:r>
    </w:p>
    <w:p>
      <w:pPr>
        <w:spacing w:after="0" w:line="162"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He holds a Bachelor of Science degree in Accounting from Pennsylvania State University. Mr. Simpkins qualifies as an “Audit Committee Financial Expert” under applicable SEC regulations and has substantial public-company reporting experience gained from his roles as Chief Financial Officer during his career.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Simpkins brings to the Board significant management experience, as well as his experience as a Chief Financial Officer.</w:t>
      </w:r>
    </w:p>
    <w:p>
      <w:pPr>
        <w:sectPr>
          <w:pgSz w:w="11900" w:h="16838" w:orient="portrait"/>
          <w:cols w:equalWidth="0" w:num="1">
            <w:col w:w="11100"/>
          </w:cols>
          <w:pgMar w:left="320" w:top="473" w:right="479" w:bottom="353" w:gutter="0" w:footer="0" w:header="0"/>
          <w:type w:val="continuous"/>
        </w:sect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Hong He</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Age: 57 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PSI Committees: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Audit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Compensation Committee (Chair)</w:t>
      </w:r>
    </w:p>
    <w:p>
      <w:pPr>
        <w:spacing w:after="0" w:line="200" w:lineRule="exact"/>
        <w:rPr>
          <w:sz w:val="20"/>
          <w:szCs w:val="20"/>
          <w:color w:val="auto"/>
        </w:rPr>
      </w:pPr>
    </w:p>
    <w:p>
      <w:pPr>
        <w:sectPr>
          <w:pgSz w:w="11900" w:h="16838" w:orient="portrait"/>
          <w:cols w:equalWidth="0" w:num="7">
            <w:col w:w="840" w:space="140"/>
            <w:col w:w="40" w:space="140"/>
            <w:col w:w="40" w:space="140"/>
            <w:col w:w="40" w:space="140"/>
            <w:col w:w="220" w:space="480"/>
            <w:col w:w="620" w:space="360"/>
            <w:col w:w="7900"/>
          </w:cols>
          <w:pgMar w:left="320" w:top="473" w:right="479" w:bottom="353" w:gutter="0" w:footer="0" w:header="0"/>
          <w:type w:val="continuous"/>
        </w:sectPr>
      </w:pPr>
    </w:p>
    <w:p>
      <w:pPr>
        <w:spacing w:after="0" w:line="1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u w:val="single" w:color="auto"/>
          <w:color w:val="auto"/>
        </w:rPr>
        <w:t>Biograph</w:t>
      </w:r>
      <w:r>
        <w:rPr>
          <w:rFonts w:ascii="Times New Roman" w:cs="Times New Roman" w:eastAsia="Times New Roman" w:hAnsi="Times New Roman"/>
          <w:sz w:val="18"/>
          <w:szCs w:val="18"/>
          <w:color w:val="auto"/>
        </w:rPr>
        <w:t>y: Mr. He has served as a director of the Company since November 14, 2019. Mr. He is the Chair of the Compensation Committee and is also a member of the Audit Committee.</w:t>
      </w:r>
    </w:p>
    <w:p>
      <w:pPr>
        <w:spacing w:after="0" w:line="16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Mr. He served as Director, Financial Planning &amp; Analysis for CytomX Therapeutics (“CytomX”), a Nasdaq-listed biotechnology company, from February 2021 to March 2025, and previously served as a Consultant to CytomX beginning in February 2020. Previously, Mr. He served as Director of Finance and Reporting for Blackthorn Therapeutics, a clinical-stage biotechnology company, from June 2019 to December 2019. Prior to that, Mr. He served as the Head of Finance at GenapSys, Inc. from 2018 until May 2019. From 2014 until 2018, Mr. He was the Finance Director of SciClone Pharmaceuticals, Inc., a Nasdaq-listed specialty pharmaceutical company with its main operations in China.</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73" w:right="479" w:bottom="353"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Mr. He earned his Bachelor of Science degree in Accounting from Beijing University of Technology in July 1992 and his Master of Business Administration degree from University of Chicago Booth School of Business in December 2006. Mr. He is a U.S. certified management accountant and a China certified public accountant. Mr. He qualifies as an “Audit Committee Financial Expert” under applicable SEC regulations and has substantial public company reporting experience gained from his roles as a financial officer and controller of public companies during his career.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He brings to the Board substantial financial and managerial experience gained through leadership roles at public companies.</w:t>
      </w:r>
    </w:p>
    <w:p>
      <w:pPr>
        <w:sectPr>
          <w:pgSz w:w="11900" w:h="16838" w:orient="portrait"/>
          <w:cols w:equalWidth="0" w:num="1">
            <w:col w:w="11140"/>
          </w:cols>
          <w:pgMar w:left="320" w:top="482" w:right="439" w:bottom="636" w:gutter="0" w:footer="0" w:header="0"/>
        </w:sect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Fuzhang Yu 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Age: 39 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PSI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Compensation Committee</w:t>
      </w:r>
    </w:p>
    <w:p>
      <w:pPr>
        <w:spacing w:after="0" w:line="200" w:lineRule="exact"/>
        <w:rPr>
          <w:sz w:val="20"/>
          <w:szCs w:val="20"/>
          <w:color w:val="auto"/>
        </w:rPr>
      </w:pPr>
    </w:p>
    <w:p>
      <w:pPr>
        <w:sectPr>
          <w:pgSz w:w="11900" w:h="16838" w:orient="portrait"/>
          <w:cols w:equalWidth="0" w:num="3">
            <w:col w:w="1960" w:space="580"/>
            <w:col w:w="620" w:space="380"/>
            <w:col w:w="7600"/>
          </w:cols>
          <w:pgMar w:left="320" w:top="482" w:right="439" w:bottom="636" w:gutter="0" w:footer="0" w:header="0"/>
          <w:type w:val="continuous"/>
        </w:sectPr>
      </w:pP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Biograph</w:t>
      </w:r>
      <w:r>
        <w:rPr>
          <w:rFonts w:ascii="Times New Roman" w:cs="Times New Roman" w:eastAsia="Times New Roman" w:hAnsi="Times New Roman"/>
          <w:sz w:val="18"/>
          <w:szCs w:val="18"/>
          <w:color w:val="auto"/>
        </w:rPr>
        <w:t>y: Mr. Yu has served as a director of the Company since July 2023. In addition, Mr. Yu is a member of the Compensation Committee.</w:t>
      </w:r>
    </w:p>
    <w:p>
      <w:pPr>
        <w:spacing w:after="0" w:line="22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Mr. Yu has served as Director of the Overseas Finance Department of Weichai Group since May 2023 and Vice Director from January 2023 to May 2023. Prior to that, Mr. Yu served as Chief Financial Official of Shaanxi Hande Axle Co., Ltd, a leading commercial vehicle axle manufacturer in China from February 2021 to January 2023. From February 2019 to February 2021, Mr. Yu served as Chief Financial Officer of Weichai Ballard Co., Ltd (“Weichai Ballard”), a joint venture of Weichai Power and Ballard Power Systems Inc. Prior to his role at Weichai Ballard, Mr. Yu served in various leadership roles in the Finance Department at Weichai Power from January 2009 to February 2019.</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Yu earned his Bachelor’s degree in Management from Beijing Forestry University, China in 2009. Mr. Yu is a China certified public accountant.</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Mr. Yu brings to the Board extensive accounting experience as well as management experience through his roles at engine manufacturers. Mr. Yu serves on the Board as a Weichai designee.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Company’s executive officers as of April 23, 2026.</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00" w:type="dxa"/>
            <w:vAlign w:val="bottom"/>
          </w:tcPr>
          <w:p>
            <w:pPr>
              <w:spacing w:after="0"/>
              <w:rPr>
                <w:sz w:val="16"/>
                <w:szCs w:val="16"/>
                <w:color w:val="auto"/>
              </w:rPr>
            </w:pPr>
          </w:p>
        </w:tc>
        <w:tc>
          <w:tcPr>
            <w:tcW w:w="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Age</w:t>
            </w: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Executive Officer Since</w:t>
            </w: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Position with the Company</w:t>
            </w:r>
          </w:p>
        </w:tc>
      </w:tr>
      <w:tr>
        <w:trPr>
          <w:trHeight w:val="203"/>
        </w:trPr>
        <w:tc>
          <w:tcPr>
            <w:tcW w:w="2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 (Dino) Xykis</w:t>
            </w:r>
          </w:p>
        </w:tc>
        <w:tc>
          <w:tcPr>
            <w:tcW w:w="2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67</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Borders>
              <w:top w:val="single" w:sz="8" w:color="CCEEFF"/>
            </w:tcBorders>
            <w:shd w:val="clear" w:color="auto" w:fill="CCEEFF"/>
          </w:tcPr>
          <w:p>
            <w:pPr>
              <w:spacing w:after="0"/>
              <w:rPr>
                <w:sz w:val="17"/>
                <w:szCs w:val="17"/>
                <w:color w:val="auto"/>
              </w:rPr>
            </w:pPr>
          </w:p>
        </w:tc>
        <w:tc>
          <w:tcPr>
            <w:tcW w:w="55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Xun (Kenneth) Li</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3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Zhaoying (Dorothy) Du</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shd w:val="clear" w:color="auto" w:fill="CCEEFF"/>
          </w:tcPr>
          <w:p>
            <w:pPr>
              <w:spacing w:after="0"/>
              <w:rPr>
                <w:sz w:val="18"/>
                <w:szCs w:val="18"/>
                <w:color w:val="auto"/>
              </w:rPr>
            </w:pP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98"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The narrative descriptions below set forth the employment and position with the Company, principal occupation and education for each of the Company’s current executive officers.</w:t>
      </w:r>
    </w:p>
    <w:p>
      <w:pPr>
        <w:spacing w:after="0" w:line="15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 (Dino) Xykis </w:t>
      </w:r>
      <w:r>
        <w:rPr>
          <w:rFonts w:ascii="Times New Roman" w:cs="Times New Roman" w:eastAsia="Times New Roman" w:hAnsi="Times New Roman"/>
          <w:sz w:val="18"/>
          <w:szCs w:val="18"/>
          <w:color w:val="auto"/>
        </w:rPr>
        <w:t>was appointed as the Chief Executive Officer on April 24, 2023, after serving as Interim CEO since June 2, 2022. Mr. Xykis also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Company’s Chief Technical Officer from March 15, 2021 until July 9, 2024. He is responsible for the oversight of the Company and its advanced product development, engineering design and analysis, on-highway engineering, applied engineering, emissions and certification, Waterford, Michigan engineering operations, program management and product strategic planning. Since joining the Company in 2010 and until his appointment as Chief Technical Officer in March 2021, Mr. Xykis served as Vice President of Engineering for the Company. He has more than 30 years of professional experience in multi-disciplined engineering areas including senior management and executive positions at various companies including Cummins Inc., a publicly traded company on the NYSE, and Generac Power Systems, a publicly traded company on the NYSE. Mr. Xykis also served as Adjunct Professor of Mechanical Engineering and Mechanics at the Milwaukee School of Engineering and previously served on the audit and compensation committees of the Board of Directors of Image Sensing Systems, a publicly traded company on Nasdaq, from 1996 to 2001. Mr. Xykis has also served on the advisory board of Civil, Environmental, and Geo-Engineering, College of Science and Engineering, University of Minnesota for the past eight years.</w:t>
      </w:r>
    </w:p>
    <w:p>
      <w:pPr>
        <w:spacing w:after="0" w:line="18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Mr. Xykis holds a Bachelor’s degree in Structural Engineering, a Master’s degree in Vibration/Dynamics, and a PhD. in Structural/Applied Mechanics from the University of Minnesota, Minneapolis.</w:t>
      </w:r>
    </w:p>
    <w:p>
      <w:pPr>
        <w:spacing w:after="0" w:line="158"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Xun (Kenneth) Li </w:t>
      </w:r>
      <w:r>
        <w:rPr>
          <w:rFonts w:ascii="Times New Roman" w:cs="Times New Roman" w:eastAsia="Times New Roman" w:hAnsi="Times New Roman"/>
          <w:sz w:val="18"/>
          <w:szCs w:val="18"/>
          <w:color w:val="auto"/>
        </w:rPr>
        <w:t>was appointed as the Chief Financial Officer on August 26, 2022. From 2020 to August 2022, Mr. Li served as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ND Paper, a pulp, packaging, and paper company. He was a member of the executive leadership team with responsibility for finance and accounting functions and strategic planning. From 2008 to 2020, Mr. Li held financial leadership positions at Caterpillar Inc., a publicly traded company, including serving as Chief Financial Officer of machine product group from 2013 to 2020. From 2003 to 2008, Mr. Li held finance leadership roles at Ford Motor Company, a publicly traded company.</w:t>
      </w:r>
    </w:p>
    <w:p>
      <w:pPr>
        <w:spacing w:after="0" w:line="183"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Mr. Li holds a Master of Business Administration with high distinction and a Master of Science in Accounting from the University of Michigan, a Master of Science in Mechanical Engineering from the University of Oklahoma, and a Bachelor of Science in Mechanical Engineering from Shanghai Jiao Tong University. He is a Certified Public Accountant in the state of Illinois.</w:t>
      </w:r>
    </w:p>
    <w:p>
      <w:pPr>
        <w:spacing w:after="0" w:line="172"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Zhaoying (Dorothy) Du </w:t>
      </w:r>
      <w:r>
        <w:rPr>
          <w:rFonts w:ascii="Times New Roman" w:cs="Times New Roman" w:eastAsia="Times New Roman" w:hAnsi="Times New Roman"/>
          <w:sz w:val="18"/>
          <w:szCs w:val="18"/>
          <w:color w:val="auto"/>
        </w:rPr>
        <w:t>was appointed General Counsel and Corporate Secretary of Power Solutions International, Inc. on September 15, 2025.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Counsel and Corporate Secretary, Ms. Du has responsibility for the Company’s legal affairs, corporate governance, compliance, risk management, securities, and related functions, and supports the Chief Executive Officer and Board of Directors on legal and strategic matters. Ms. Du has 20 years of experience providing strategic legal counsel to U.S. and multinational companies, leading initiatives to address complex commercial and regulatory matters, helping businesses manage risks, drive innovation, and implement pragmatic legal solutions that support business success. From March 2025 to September 2025, Ms. Du led the global supply chain legal team of Lenovo, a publicly traded company. She was a member of the Lenovo</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636"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global supply chain executive leadership team, advising on procurement, factory setup, trade compliance, regulatory risks, and contract negotiations across global operations. From February 2016 to March 2025, Ms. Du served as Global Head of Legal of Motorola Mobility, a Lenovo company, where she was a member of the executive leadership team, overseeing matters including artificial intelligence, R&amp;D, commercial contracts, intellectual property, compliance, data privacy and information security, corporate governance, corporate secretary, litigation, and other legal functions. From 2013 to 2016, she served as General Counsel of the China operations and Senior Counsel for compliance and risk management at The Warranty Group (now part of Assurant, Inc.). From 2005 to 2012, Ms. Du served as Co-Chair of the APAC Practice Group at Freeborn &amp; Peters (now part of Smith, Gambrell &amp; Russell, LLP) and as an attorney at Sonnenschein Nath &amp; Rosenthal, LLP (now Dentons LLP), advising on cross-border transactions, securities, corporate governance, mergers and acquisitions, financing, compliance, and other complex matters.</w:t>
      </w:r>
    </w:p>
    <w:p>
      <w:pPr>
        <w:spacing w:after="0" w:line="19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Ms. Du holds a Juris Doctor degree from the University of Missouri – Kansas City School of Law, a Master of Arts degree in Political Science from the University of Georgia, and a Bachelor of Law degree from Sun Yat-Sen University Law School. She is licensed to practice law in Illinois and is admitted to practice law in China.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the Company’s Common Stock and other equity securities. Officers, directors and greater than ten percent stockholders are required by SEC regulation to furnish PSI with copies of all Section 16(a) forms they file.</w:t>
      </w:r>
    </w:p>
    <w:p>
      <w:pPr>
        <w:spacing w:after="0" w:line="18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To the Company’s knowledge, including PSI’s review of the copies of such reports furnished to the Company and written representations that no other reports were required during 2025, all Section 16(a) filing requirements were satisfied on a timely basis, except the following reports: (i) Two Form 4s filed on January 17, 2025 and January 27, 2025 (reporting one and three transactions, respectively) for Gary Winemaster, who beneficially owned more than ten percent of the Common Stock at that time; (ii) One Form 4 filed on June 4, 2025 (reporting four transactions) for Constantine Xykis. An amended Form 4 was subsequently filed on June 12, 2025 to correct the transaction date reported in the original filing; (iii) One Form 3 filed on January 6, 2026 for Xuesen Yang; and (iv) One Form 3 filed on January 6, 2026 for Zhao Jin.</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has a separately designated Audit Committee. Each member of the Audit Committee is financially literate, and the Board has determined that each of Mr. Simpkins, the Chair of the Audit Committee, and Mr. He and Ms. Shea qualify as an “Audit Committee Financial Expert” as defined in applicable SEC rules because each meets the requirement for past employment experience in finance or accounting, requisite professional certification in accounting or comparable experience. The Board has determined that each of Mr. Simpkins, Ms. Shea and Mr. He meets the independence requirements for audit committee members under Nasdaq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(the “Code of Ethics”) that applies to all of PSI’s employees, officers and directors, including those officers responsible for financial reporting. The Code of Ethics is available on the Company’s website at </w:t>
      </w:r>
      <w:r>
        <w:rPr>
          <w:rFonts w:ascii="Times New Roman" w:cs="Times New Roman" w:eastAsia="Times New Roman" w:hAnsi="Times New Roman"/>
          <w:sz w:val="18"/>
          <w:szCs w:val="18"/>
          <w:u w:val="single" w:color="auto"/>
          <w:color w:val="auto"/>
        </w:rPr>
        <w:t>www.psiengines.com</w:t>
      </w:r>
      <w:r>
        <w:rPr>
          <w:rFonts w:ascii="Times New Roman" w:cs="Times New Roman" w:eastAsia="Times New Roman" w:hAnsi="Times New Roman"/>
          <w:sz w:val="18"/>
          <w:szCs w:val="18"/>
          <w:color w:val="auto"/>
        </w:rPr>
        <w:t xml:space="preserve"> under “Investors” and then “Governance.” The information on our website is not part of this Amendment and is not deemed to be incorporated by reference herein.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 has a separately designated Compensation Committee consisting of Mr. He, the Chair, Ms. Shea, Mr. Yang and Mr. Yu. None of Mr. He, Ms. Shea, Mr. Yang or Mr. Yu, the members of the Compensation Committee, was an officer or employee of the Company during the Company’s last fiscal year or had any relationship requiring disclosure by the Company pursuant to Item 404 of Regulation S-K. There are no interlocking relationships requiring disclosure by the Company pursuant to Item 407(e)(4)(iii) of Regulation 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 Hedging and Pledging Policy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has an Insider Trading Compliance Policy (the “Policy”), as last updated on August 8, 2023, that sets forth terms, conditions, timing, limitations, and prohibitions with respect to trading in the Company’s securities. The Insider Trading Policy prohibits all “Covered Persons” (defined below) from trading in the Company’s securities while in possession of material nonpublic information. In addition, the Policy explicitly prohibits the following activities by Covered Persons, even in instances where the transaction could be completed pursuant to an arrangement that complies with Rule 10b5-1(c) of the Exchange Act:</w:t>
      </w:r>
    </w:p>
    <w:p>
      <w:pPr>
        <w:spacing w:after="0" w:line="89"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(i.e., selling Company securities you do not own at the time of sale);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put options, call options or other derivative securities relating to the Company on a securities exchange or in any other organized securities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hedging transactions, such as “costless collars” and forward sale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Company securities on margin;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812"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the Company’s stock and/or borrowing against it in a margin account.</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For purposes of the Policy, “Covered Persons” include any employee who has obtained material, non-public information, as well as the Company’s directors, executive officers (including named executive officers), vice presidents and employees working in the Company’s finance and accounting groups, and any other persons designated as Covered Persons by the Insider Trading Compliance Officer or the Board.</w:t>
      </w:r>
    </w:p>
    <w:p>
      <w:pPr>
        <w:spacing w:after="0" w:line="1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60"/>
          </w:cols>
          <w:pgMar w:left="320" w:top="482" w:right="8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0" w:lineRule="exact"/>
        <w:rPr>
          <w:sz w:val="20"/>
          <w:szCs w:val="20"/>
          <w:color w:val="auto"/>
        </w:rPr>
      </w:pPr>
    </w:p>
    <w:p>
      <w:pPr>
        <w:spacing w:after="0" w:line="24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named executive officers for the year ended December 31, 2025, were:</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(Dino) Xykis,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Xun (Kenneth) Li, Chief Financial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Zhaoying (Dorothy) Du, General Counsel and Corporate Secretary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table below summarizes our named executive officers’ compensation for the services rendered to the Company, in all capacities, for the years ended December 31, 2025, and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Option/SAR</w:t>
            </w:r>
          </w:p>
        </w:tc>
        <w:tc>
          <w:tcPr>
            <w:tcW w:w="1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80" w:type="dxa"/>
            <w:vAlign w:val="bottom"/>
            <w:vMerge w:val="restart"/>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8"/>
                <w:szCs w:val="8"/>
                <w:b w:val="1"/>
                <w:bCs w:val="1"/>
                <w:color w:val="auto"/>
              </w:rPr>
              <w:t>(1)</w:t>
            </w:r>
          </w:p>
        </w:tc>
        <w:tc>
          <w:tcPr>
            <w:tcW w:w="1000" w:type="dxa"/>
            <w:vAlign w:val="bottom"/>
            <w:gridSpan w:val="2"/>
            <w:vMerge w:val="continue"/>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8"/>
                <w:szCs w:val="8"/>
                <w:b w:val="1"/>
                <w:bCs w:val="1"/>
                <w:color w:val="auto"/>
              </w:rPr>
              <w:t>(2)</w:t>
            </w:r>
          </w:p>
        </w:tc>
        <w:tc>
          <w:tcPr>
            <w:tcW w:w="12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8"/>
                <w:szCs w:val="8"/>
                <w:b w:val="1"/>
                <w:bCs w:val="1"/>
                <w:color w:val="auto"/>
              </w:rPr>
              <w:t>(3)</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 (Dino) Xykis</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2025</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598,276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816,790</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95"/>
              </w:rPr>
              <w:t>945,612</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64,538</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2,425,216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539,846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71,985</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534,674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62,728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1,209,233</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Xun (Kenneth) Li</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403,214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420,827</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462,302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1,304,100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385,851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38,585</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264,166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14,574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703,176</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Zhaoying (Dorothy) Du</w:t>
            </w:r>
            <w:r>
              <w:rPr>
                <w:rFonts w:ascii="Times New Roman" w:cs="Times New Roman" w:eastAsia="Times New Roman" w:hAnsi="Times New Roman"/>
                <w:sz w:val="22"/>
                <w:szCs w:val="22"/>
                <w:color w:val="auto"/>
                <w:vertAlign w:val="superscript"/>
              </w:rPr>
              <w:t>(4)</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111,000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30,000</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128,765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277,376</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Counsel and Corporate Secretary</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Randall Lehner</w:t>
            </w:r>
            <w:r>
              <w:rPr>
                <w:rFonts w:ascii="Times New Roman" w:cs="Times New Roman" w:eastAsia="Times New Roman" w:hAnsi="Times New Roman"/>
                <w:sz w:val="22"/>
                <w:szCs w:val="22"/>
                <w:color w:val="auto"/>
                <w:vertAlign w:val="superscript"/>
              </w:rPr>
              <w:t>(5)</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355,755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449,986</w:t>
            </w:r>
          </w:p>
        </w:tc>
        <w:tc>
          <w:tcPr>
            <w:tcW w:w="0" w:type="dxa"/>
            <w:vAlign w:val="bottom"/>
          </w:tcPr>
          <w:p>
            <w:pPr>
              <w:spacing w:after="0"/>
              <w:rPr>
                <w:sz w:val="1"/>
                <w:szCs w:val="1"/>
                <w:color w:val="auto"/>
              </w:rPr>
            </w:pPr>
          </w:p>
        </w:tc>
      </w:tr>
      <w:tr>
        <w:trPr>
          <w:trHeight w:val="23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Counsel</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282,692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38,500</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201,624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19,508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542,324</w:t>
            </w: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left="660" w:right="40" w:hanging="544"/>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each named executive officer in this column for 2025 include (i) for Mr. Xykis: $816,790 for the 2025 LTI Plan, which is described below under “</w:t>
      </w:r>
      <w:r>
        <w:rPr>
          <w:rFonts w:ascii="Times New Roman" w:cs="Times New Roman" w:eastAsia="Times New Roman" w:hAnsi="Times New Roman"/>
          <w:sz w:val="18"/>
          <w:szCs w:val="18"/>
          <w:i w:val="1"/>
          <w:iCs w:val="1"/>
          <w:color w:val="auto"/>
        </w:rPr>
        <w:t>Long Term Incentive Plan</w:t>
      </w:r>
      <w:r>
        <w:rPr>
          <w:rFonts w:ascii="Times New Roman" w:cs="Times New Roman" w:eastAsia="Times New Roman" w:hAnsi="Times New Roman"/>
          <w:sz w:val="18"/>
          <w:szCs w:val="18"/>
          <w:color w:val="auto"/>
        </w:rPr>
        <w:t>”; (ii) for Mr. Li $420,827 for the 2025 LTI Plan payment; and (iii) for Ms. Du $30,000 as a one-time bonus.</w:t>
      </w:r>
    </w:p>
    <w:p>
      <w:pPr>
        <w:spacing w:after="0" w:line="1" w:lineRule="exact"/>
        <w:rPr>
          <w:rFonts w:ascii="Times New Roman" w:cs="Times New Roman" w:eastAsia="Times New Roman" w:hAnsi="Times New Roman"/>
          <w:sz w:val="18"/>
          <w:szCs w:val="18"/>
          <w:color w:val="auto"/>
        </w:rPr>
      </w:pPr>
    </w:p>
    <w:p>
      <w:pPr>
        <w:ind w:left="660" w:right="240" w:hanging="544"/>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each named executive officer in this column for 2025 represent their 2025 Key Performance Indicator (“KPI”) Plan, amounts. A description of the Company’s 2025 KPI plan is set forth below under “</w:t>
      </w:r>
      <w:r>
        <w:rPr>
          <w:rFonts w:ascii="Times New Roman" w:cs="Times New Roman" w:eastAsia="Times New Roman" w:hAnsi="Times New Roman"/>
          <w:sz w:val="18"/>
          <w:szCs w:val="18"/>
          <w:i w:val="1"/>
          <w:iCs w:val="1"/>
          <w:color w:val="auto"/>
        </w:rPr>
        <w:t>2025 Key Performance Indicator Plan;</w:t>
      </w:r>
      <w:r>
        <w:rPr>
          <w:rFonts w:ascii="Times New Roman" w:cs="Times New Roman" w:eastAsia="Times New Roman" w:hAnsi="Times New Roman"/>
          <w:sz w:val="18"/>
          <w:szCs w:val="18"/>
          <w:color w:val="auto"/>
        </w:rPr>
        <w:t>”</w:t>
      </w:r>
    </w:p>
    <w:p>
      <w:pPr>
        <w:ind w:left="660" w:right="240" w:hanging="544"/>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amounts for 2025 in the “All Other Compensation” column include (i) for Mr. Xykis: (a) $2,338 for life insurance premiums, (b) $44,700 for automobile-related expenses (including an automobile and automobile lease allowances) and (c) $17,500 for 401(k) matching contributions; (ii) for Mr. Li (a) $17,500 for 401(k) matching contributions and (b) $257 for life insurance premiums; (iii) for Ms. Du: (a) car allowance of $3,200, (b) $4,342 for 401(k) matching contributions and (c) $69 for life insurance premiums; and (iv) Mr. Lehner: (a) car allowance of $2,400, (b) $16,528 for 401(k) matching contributions and (c) $336,827 related to severance.</w:t>
      </w:r>
    </w:p>
    <w:p>
      <w:pPr>
        <w:spacing w:after="0" w:line="1" w:lineRule="exact"/>
        <w:rPr>
          <w:rFonts w:ascii="Times New Roman" w:cs="Times New Roman" w:eastAsia="Times New Roman" w:hAnsi="Times New Roman"/>
          <w:sz w:val="18"/>
          <w:szCs w:val="18"/>
          <w:color w:val="auto"/>
        </w:rPr>
      </w:pPr>
    </w:p>
    <w:p>
      <w:pPr>
        <w:ind w:left="660" w:right="260" w:hanging="544"/>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Du joined the Company on September 3, 2025. The amounts reported for Ms. Du reflect compensation earned from her start date through December 31, 2025.</w:t>
      </w:r>
    </w:p>
    <w:p>
      <w:pPr>
        <w:ind w:left="660" w:right="20" w:hanging="544"/>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Lehner joined the Company effective March 4, 2024 and Mr. Lehner and the Company mutually agreed to terminate the Lehner Employment Agreement, effective April 24, 2025.</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with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 (Dino) Xykis. </w:t>
      </w:r>
      <w:r>
        <w:rPr>
          <w:rFonts w:ascii="Times New Roman" w:cs="Times New Roman" w:eastAsia="Times New Roman" w:hAnsi="Times New Roman"/>
          <w:sz w:val="18"/>
          <w:szCs w:val="18"/>
          <w:color w:val="auto"/>
        </w:rPr>
        <w:t>In connection with Mr. Xykis’ appointment as Chief Executive Officer and Chief Technical Officer on April 24, 2023, Mr. Xykis and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entered into an employment agreement, effective April 24, 2023 (the “Xykis Employment Agreement”), which supersedes his previous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employment-related agreements with the Company. The Xykis Employment Agreement provides for the following: (a) an annual base salary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$525,000; (b) eligibility to participate in any KPI plan, with a target opportunity equal to 70% of his base salary, or as generally determined by the Board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 the overall KPI plan; (c) Mr. Xykis’ eligibility to participate in any LTI plan, with a target equal to 60% of his base salary, or as generally determined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the Board for the overall LTI plan; (d) subject to approval by the Compensation Committee, an award of 85,000 SARs with a strike price to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determined at the time of the Compensation Committee’s approval and vesting in essentially three equal installments on the anniversary of the grant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subject to Mr. Xykis’ continued employment in good standing as of each vesting date (which award was granted on April 25, 2023); (e)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automobile allowance of $1,975 per month towards his automobile lease, $1,750 per month towards the cost of gasoline for travel as long as Mr. Xykis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commutes from his current home to the Company’s headquarters, and reimbursement for reasonable amounts spent on auto insurance for the leased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vehicle capped at $2,500 per year; and (f) Mr. Xykis’ eligibility to participate in all Company employee benefit programs for which senior employees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are generally eligible. If the Company terminates Mr. Xykis without cause (as defined in the Xykis Employment Agreement), in addition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payment of any accrued obligations, Mr. Xykis would be eligible to receive severance, subject to his execution and non-revocation of a general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release of claims in favor of the Company, consisting of: (i) any determined, but unpaid, KPI or LTI bonus relating to the fiscal year prior to the fiscal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 of termination; (ii) any prorated KPI or LTI bonus for the fiscal year in which his termination occurs once determined by the Board; (iii) 12 months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base salary continuation payments; and (iv) subject to his election to receive COBRA health insurance, payment by the Company of a proportional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of the premiums owed by Mr. Xykis as if he were still employed by the Company for 12 months. If Mr. Xykis is terminated for cause, any</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80"/>
        <w:spacing w:after="0" w:line="261" w:lineRule="auto"/>
        <w:rPr>
          <w:sz w:val="20"/>
          <w:szCs w:val="20"/>
          <w:color w:val="auto"/>
        </w:rPr>
      </w:pPr>
      <w:r>
        <w:rPr>
          <w:rFonts w:ascii="Times New Roman" w:cs="Times New Roman" w:eastAsia="Times New Roman" w:hAnsi="Times New Roman"/>
          <w:sz w:val="18"/>
          <w:szCs w:val="18"/>
          <w:color w:val="auto"/>
        </w:rPr>
        <w:t>outstanding KPI bonus or LTI award, including any not yet paid for the fiscal year prior to the fiscal year of his termination, and any restricted stock units, unexercised stock options and SARs (whether vested or unvested) will be automatically forfeited. The Xykis Employment Agreement contains certain restrictive covenants, including an indefinite confidentiality provision and IP assignment provision, and non-competition and non-solicitation covenants applicable for one-year post-termination.</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As stated above, and as previously disclosed, the Xykis Employment Agreement supersedes his prior employment-related agreements with the Company, including the letter agreement he and the Company entered into on June 15, 2022 related to his appointment as the Company’s Interim Chief Executive Officer, the terms of which were in addition to the terms of his employment agreement with the Company, dated March 15, 2021, that remained in full force and effect and continued to govern his role as the Company’s Chief Technical Officer. For purposes of Mr. Xykis’ 2022 compensation, the Interim Chief Executive Officer letter agreement provided that (i) in addition to his salary, he would receive a bonus paid semi-monthly in the amount of $5,000 per month from June 1, 2022 until such time as a successor Chief Executive Officer was appointed by the Board (the “Interim CEO Term”), subject to an aggregate minimum bonus payment of $25,000 on a pre-tax basis (the “Minimum Bonus Payment”), and (ii) that he was also eligible to receive an award of 3,333 SARs per month during the Interim CEO Term (the “SARs Award”), subject to certain conditions, with an initial award of 20,000 SARs (the “Minimum SARs Award”) as part of the SARs Award due to vest on the one-year anniversary of the grant date, subject to Mr. Xykis’ continued service with the Company through the vesting date. As the Interim CEO Term was greater than 6 months, pursuant to the terms of the letter agreement, Mr. Xykis also received any additional grant of 16,663 SARs as part of the SARs Award granted on April 25, 2023, which vests on the one-year anniversary of the grant date, subject to Mr. Xykis’ continued service with the Company through the vesting date.</w:t>
      </w:r>
    </w:p>
    <w:p>
      <w:pPr>
        <w:spacing w:after="0" w:line="18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Xun (Kenneth) Li. </w:t>
      </w:r>
      <w:r>
        <w:rPr>
          <w:rFonts w:ascii="Times New Roman" w:cs="Times New Roman" w:eastAsia="Times New Roman" w:hAnsi="Times New Roman"/>
          <w:sz w:val="18"/>
          <w:szCs w:val="18"/>
          <w:color w:val="auto"/>
        </w:rPr>
        <w:t>On August 29, 2022, Mr. Li entered into an employment agreement with the Company, effective August 29, 2022, related to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as Chief Financial Officer (the “Li Employment Agreement”). The Li Employment Agreement provides for (i) an annual base salary of no less than $360,000; (ii) a sign-on bonus of $20,000 (subject to reimbursement from Mr. Li if he voluntarily resigns within 1 year from the effective date of his employment); (iii) eligibility to participate in the Company’s KPI plan at a target amount equal to 50% of his base salary or as determined by the Board (with eligibility for 2022 on a prorated basis); (iv) eligibility to participate in the Company’s LTI plan with a target LTI bonus equal to 60% of his base salary or as generally determined by the Company for the overall LTI plan (with eligibility to participate in the stay portion of the LTI plan for 2022 on a prorated basis); and (v) eligibility to receive an award of 30,000 SARs with a strike price determined at the close of business on the day of the Compensation Committee’s approval (i.e., the grant date), vesting in four equal installments on the anniversaries of the grant date subject to Mr. Li’s continued employment with the Company through the vesting date (which award was granted on September 2, 2022). Pursuant to the Li Employment Agreement, Mr. Li is also eligible to participate in the Company’s employee benefit programs on the same basis as its other employees. In the event that Mr. Li’s employment is terminated by the Company without cause (as defined in the Li Employment Agreement), he will be entitled to receive (i) severance equal to his base salary for 6 months if his employment period is less than 48 months, and for 12 months if his employment period is 48 months or longer, subject to his execution and non-revocation of a general release in favor of the Company, and (ii) payment for any KPI bonus or LTI award related to the fiscal year in which the termination occurs, if any, which may be prorated based on when his termination date occurs during the fiscal year. If Mr. Li is terminated for cause (as defined in the Li Employment Agreement), any outstanding KPI bonus or LTI award, including any not yet paid for the fiscal year prior to the year of his termination, and any restricted stock units, unexercised stock options and SARs (whether vested or unvested) will be automatically forfeited. The Li Employment Agreement contains certain restrictive covenants, including an indefinite confidentiality provision and IP assignment provision, and non-competition and non-solicitation covenants applicable for one-year post-termination.</w:t>
      </w:r>
    </w:p>
    <w:p>
      <w:pPr>
        <w:spacing w:after="0" w:line="192"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Zhaoying (Dorothy) Du. </w:t>
      </w:r>
      <w:r>
        <w:rPr>
          <w:rFonts w:ascii="Times New Roman" w:cs="Times New Roman" w:eastAsia="Times New Roman" w:hAnsi="Times New Roman"/>
          <w:sz w:val="17"/>
          <w:szCs w:val="17"/>
          <w:color w:val="auto"/>
        </w:rPr>
        <w:t>The Company has an employment agreement with Ms. Du (the “Du Employment Agreement”) effective September 3,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to her employment as General Counsel. The Du Employment Agreement provides that Ms. Du’s employment is “at will” and may be terminated at any time by either party. The Du Employment Agreement provides for: (i) an annual base salary of $370,000, subject to increase from time to time;</w:t>
      </w:r>
    </w:p>
    <w:p>
      <w:pPr>
        <w:spacing w:after="0" w:line="1" w:lineRule="exact"/>
        <w:rPr>
          <w:sz w:val="20"/>
          <w:szCs w:val="20"/>
          <w:color w:val="auto"/>
        </w:rPr>
      </w:pPr>
    </w:p>
    <w:p>
      <w:pPr>
        <w:ind w:left="120" w:hanging="4"/>
        <w:spacing w:after="0" w:line="250" w:lineRule="auto"/>
        <w:tabs>
          <w:tab w:leader="none" w:pos="3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sign-on bonus of $30,000; (iii) eligibility to participate in the Company’s Key Performance Indicator Plan (the “KPI”) at a target amount equal to 50% of her base salary; (iv) eligibility to participate in the Company’s Long Term Incentive Plan (the “LTI”) with a target LTI bonus equal to 60% of her base salary; (v) eligibility to receive an award of 700 Stock Appreciation Rights with a strike price determined by the Compensation Committee at the grant date, to be vested in three equal installments on the anniversaries of the grant date; (vi) eligibility at the executive level and on par with the Chief Financial Officer, to participate in any Company equity or long-term incentive program, including any rolling LTI program established for 2026 or thereafter, subject to Board-approved terms and conditions; and (vii) eligibility to receive a vehicle allowance of $800 per month. In the event that</w:t>
      </w:r>
    </w:p>
    <w:p>
      <w:pPr>
        <w:spacing w:after="0" w:line="2" w:lineRule="exact"/>
        <w:rPr>
          <w:rFonts w:ascii="Times New Roman" w:cs="Times New Roman" w:eastAsia="Times New Roman" w:hAnsi="Times New Roman"/>
          <w:sz w:val="18"/>
          <w:szCs w:val="18"/>
          <w:color w:val="auto"/>
        </w:rPr>
      </w:pPr>
    </w:p>
    <w:p>
      <w:pPr>
        <w:ind w:left="12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Du’s employment is terminated by the Company without Cause (as defined in the Du Employment Agreement) during the employment term, she will be entitled to receive, among other things, (i) severance equal to base salary for nine months if her employment period is less than 48 months, and for one year if her employment period is 48 months or longer; and (ii) any unpaid awarded KPI and LTI bonuses. In addition, pursuant to the Du Employment Agreement, if Ms. Du terminates her employment for Good Reason (as defined in the Du Employment Agreement) within 12 months following a Change in Control (as defined in the Du Employment Agreement), such termination will be treated as a termination without Cause, and Ms. Du will be entitled to receive the severance payments and benefits described above. The Du Employment Agreement restricts Ms. Du from competing with the Company during the term of the agreement and for one year after termination of her employment with the Company. The Du Employment Agreement also restricts Ms. Du from soliciting the Company’s customers or employees during the term of the agreement and for one year after termination of her employment with the Company</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120" w:right="8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Randall Lehner. </w:t>
      </w:r>
      <w:r>
        <w:rPr>
          <w:rFonts w:ascii="Times New Roman" w:cs="Times New Roman" w:eastAsia="Times New Roman" w:hAnsi="Times New Roman"/>
          <w:sz w:val="17"/>
          <w:szCs w:val="17"/>
          <w:color w:val="auto"/>
        </w:rPr>
        <w:t>On February 8, 2024, the Company entered into an employment agreement with Mr. Lehner (the “Lehner Employment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Lehner Employment Agreement provides that Mr. Lehner’s employment is “at will” and may be terminated at any time by either party. The Lehner Employment Agreement provides for: (i) an annual base salary of $350,000, subject to increase from time to time; (ii) eligibility to participate in the Company’s Key Performance Indicator Plan (the “KPI”) at a target amount equal to 50% of his base salary; (iii) eligibility to participate in the Company’s Long Term Incentive Plan (the “LTI”) with a target LTI bonus equal to 60% of his base salary; and (iv) eligibility to receive a vehicle allowance of $800 per month. In the event that Mr. Lehner’s employment is terminated by the Company without Cause (as defined in the Lehner Employment Agreement) during the employment term, he will be entitled to receive, among other things, (i) severance equal to base salary for nine months if his employment period is less than 48 months, and for one year if his employment period is 48 months or longer; and (ii) any unpaid awarded KPI and LTI bonuses. The Lehner Employment Agreement restricts Mr. Lehner from competing with the Company during the term of the agreement and for one year after termination of his employment with the Company. The Lehner Employment Agreement also restricts Mr. Lehner from soliciting the Company’s customers or employees during the term of the agreement and for one year after termination of his employment with the Company.</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434"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Mr. Lehner and the Company mutually agreed to terminate the Lehner Employment Agreement, effective April 24, 2025 (the “Effective Date”), and entered into a Separation Agreement and Release (the “Separation Agreement”), effective as of the Effective Date, pursuant to which Mr. Lehner became entitled to receive: (a) $350,000, which is equal to 12 months of pay at Mr. Lehner’s then-current annual salary, (b) $19,200, which is equal to 24 months of Mr. Lehner’s then-current car allowance, (c) $38,125.82 in additional consideration and (d) subject to his election to receive continued group health plan coverage under COBRA, continued coverage at active-employee rates for up to 12 months after the Effective Date. Under the Separation Agreement, Mr. Lehner provided customary broad form releases and agreed to confidentiality obligations and other covenants to the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Incentive Plan</w:t>
      </w:r>
    </w:p>
    <w:p>
      <w:pPr>
        <w:spacing w:after="0" w:line="121" w:lineRule="exact"/>
        <w:rPr>
          <w:sz w:val="20"/>
          <w:szCs w:val="20"/>
          <w:color w:val="auto"/>
        </w:rPr>
      </w:pPr>
    </w:p>
    <w:p>
      <w:pPr>
        <w:ind w:left="120" w:right="140"/>
        <w:spacing w:after="0" w:line="276" w:lineRule="auto"/>
        <w:rPr>
          <w:sz w:val="20"/>
          <w:szCs w:val="20"/>
          <w:color w:val="auto"/>
        </w:rPr>
      </w:pPr>
      <w:r>
        <w:rPr>
          <w:rFonts w:ascii="Times New Roman" w:cs="Times New Roman" w:eastAsia="Times New Roman" w:hAnsi="Times New Roman"/>
          <w:sz w:val="17"/>
          <w:szCs w:val="17"/>
          <w:color w:val="auto"/>
        </w:rPr>
        <w:t>The Company established an LTI Plan for the period January 1, 2023 to December 31, 2025. Pursuant to the LTI Plan, executives, including the named executive officers, are eligible to receive a target incentive amount (which target incentive amount is equal to 60% of the executive’s base salary), with</w:t>
      </w:r>
    </w:p>
    <w:p>
      <w:pPr>
        <w:spacing w:after="0" w:line="1" w:lineRule="exact"/>
        <w:rPr>
          <w:sz w:val="20"/>
          <w:szCs w:val="20"/>
          <w:color w:val="auto"/>
        </w:rPr>
      </w:pPr>
    </w:p>
    <w:p>
      <w:pPr>
        <w:ind w:left="120" w:right="120" w:hanging="4"/>
        <w:spacing w:after="0" w:line="25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target incentive amount to be received as an incentive that is not tied to performance conditions and (ii) the remaining 50% of the target incentive amount subject to the Company’s performance against a performance indicator based on net income over the three-year performance period. The 50% of the guaranteed target incentive amount (equal to 30% of the executive’s base salary) vests in equal annual installments as follows: (i) one-third vested on December 31, 2023 to be paid out in the first quarter of 2024; (ii) one-third vests on December 31, 2024 to be paid out in the first quarter of 2025; and (iii) one-third vests on December 31, 2025 to be paid out 30 days after 2025 audit results are approved by the Audit Committee. A full description of the Company’s LTI Plan is available at Exhibit 10.35, “Description of Long-Term Incentive Plan” to the Original 10-K.</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Key Performance Indicator Plan</w:t>
      </w:r>
    </w:p>
    <w:p>
      <w:pPr>
        <w:spacing w:after="0" w:line="229" w:lineRule="exact"/>
        <w:rPr>
          <w:sz w:val="20"/>
          <w:szCs w:val="20"/>
          <w:color w:val="auto"/>
        </w:rPr>
      </w:pPr>
    </w:p>
    <w:p>
      <w:pPr>
        <w:jc w:val="both"/>
        <w:ind w:left="120" w:right="40"/>
        <w:spacing w:after="0" w:line="258" w:lineRule="auto"/>
        <w:rPr>
          <w:sz w:val="20"/>
          <w:szCs w:val="20"/>
          <w:color w:val="auto"/>
        </w:rPr>
      </w:pPr>
      <w:r>
        <w:rPr>
          <w:rFonts w:ascii="Times New Roman" w:cs="Times New Roman" w:eastAsia="Times New Roman" w:hAnsi="Times New Roman"/>
          <w:sz w:val="18"/>
          <w:szCs w:val="18"/>
          <w:color w:val="auto"/>
        </w:rPr>
        <w:t>The named executive officers were eligible to earn a cash incentive award for 2025 under the Company’s KPI plan established for 2025 (the “2025 KPI Plan”). For 2025, the annual target incentive opportunity for each named executive officer as a percentage of his or her base salary for the year was 70% for Mr. Xykis, 50% for Mr. Li, and 50% for Ms. Du, with their individual cash incentive awards weighted as follows: (i) for Mr. Xykis, 80% was tied to Company performance relative to the Company performance metrics and 20% was tied to individual performance; and (ii) for Mr. Li and Ms. Du, 70% was tied to Company performance relative to the Company performance metrics and 30% was tied to individual performance.</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following two separately weighted performance metrics were established as the Company’s performance metrics under the 2025 KPI Plan: (i) gross revenue (less tariffs) and (ii) pre-tax income. Weightings, performance thresholds and payout ranges are shown in the table below with no payout earned for performance below the threshold. Set forth in the table below are the weightings, performance thresholds and payout ranges for each Company performance metric (dollars in millions).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Payout Threshold</w:t>
            </w:r>
          </w:p>
        </w:tc>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Pre-tax Income</w:t>
            </w:r>
          </w:p>
        </w:tc>
        <w:tc>
          <w:tcPr>
            <w:tcW w:w="0" w:type="dxa"/>
            <w:vAlign w:val="bottom"/>
          </w:tcPr>
          <w:p>
            <w:pPr>
              <w:spacing w:after="0"/>
              <w:rPr>
                <w:sz w:val="1"/>
                <w:szCs w:val="1"/>
                <w:color w:val="auto"/>
              </w:rPr>
            </w:pPr>
          </w:p>
        </w:tc>
      </w:tr>
      <w:tr>
        <w:trPr>
          <w:trHeight w:val="146"/>
        </w:trPr>
        <w:tc>
          <w:tcPr>
            <w:tcW w:w="2380" w:type="dxa"/>
            <w:vAlign w:val="bottom"/>
            <w:vMerge w:val="continue"/>
          </w:tcPr>
          <w:p>
            <w:pPr>
              <w:spacing w:after="0"/>
              <w:rPr>
                <w:sz w:val="12"/>
                <w:szCs w:val="12"/>
                <w:color w:val="auto"/>
              </w:rPr>
            </w:pPr>
          </w:p>
        </w:tc>
        <w:tc>
          <w:tcPr>
            <w:tcW w:w="3380" w:type="dxa"/>
            <w:vAlign w:val="bottom"/>
          </w:tcPr>
          <w:p>
            <w:pPr>
              <w:spacing w:after="0"/>
              <w:rPr>
                <w:sz w:val="12"/>
                <w:szCs w:val="12"/>
                <w:color w:val="auto"/>
              </w:rPr>
            </w:pPr>
          </w:p>
        </w:tc>
        <w:tc>
          <w:tcPr>
            <w:tcW w:w="1600" w:type="dxa"/>
            <w:vAlign w:val="bottom"/>
            <w:gridSpan w:val="3"/>
          </w:tcPr>
          <w:p>
            <w:pPr>
              <w:jc w:val="center"/>
              <w:ind w:right="740"/>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82"/>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(interpolation used between these points)</w:t>
            </w:r>
          </w:p>
        </w:tc>
        <w:tc>
          <w:tcPr>
            <w:tcW w:w="3380" w:type="dxa"/>
            <w:vAlign w:val="bottom"/>
          </w:tcPr>
          <w:p>
            <w:pPr>
              <w:spacing w:after="0"/>
              <w:rPr>
                <w:sz w:val="15"/>
                <w:szCs w:val="15"/>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w:t>
            </w:r>
            <w:r>
              <w:rPr>
                <w:rFonts w:ascii="Times New Roman" w:cs="Times New Roman" w:eastAsia="Times New Roman" w:hAnsi="Times New Roman"/>
                <w:sz w:val="14"/>
                <w:szCs w:val="14"/>
                <w:b w:val="1"/>
                <w:bCs w:val="1"/>
                <w:color w:val="auto"/>
              </w:rPr>
              <w:t xml:space="preserve"> of Goal)</w:t>
            </w: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w:t>
            </w:r>
            <w:r>
              <w:rPr>
                <w:rFonts w:ascii="Times New Roman" w:cs="Times New Roman" w:eastAsia="Times New Roman" w:hAnsi="Times New Roman"/>
                <w:sz w:val="14"/>
                <w:szCs w:val="14"/>
                <w:b w:val="1"/>
                <w:bCs w:val="1"/>
                <w:color w:val="auto"/>
              </w:rPr>
              <w:t xml:space="preserve"> of Goal)</w:t>
            </w: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 Target</w:t>
            </w:r>
          </w:p>
        </w:tc>
        <w:tc>
          <w:tcPr>
            <w:tcW w:w="3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476</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100% Target</w:t>
            </w:r>
          </w:p>
        </w:tc>
        <w:tc>
          <w:tcPr>
            <w:tcW w:w="350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Target</w:t>
            </w:r>
          </w:p>
        </w:tc>
        <w:tc>
          <w:tcPr>
            <w:tcW w:w="3500" w:type="dxa"/>
            <w:vAlign w:val="bottom"/>
            <w:gridSpan w:val="2"/>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300% Target</w:t>
            </w:r>
          </w:p>
        </w:tc>
        <w:tc>
          <w:tcPr>
            <w:tcW w:w="350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Company’s 2025 performance in relation to the 2025 KPI Plan’s Company performance metrics resulted in the Company’s performance metrics being achieved at approximately 288.6% of target, as shown below (dollars in millions).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22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2025 Actual</w:t>
            </w:r>
          </w:p>
        </w:tc>
        <w:tc>
          <w:tcPr>
            <w:tcW w:w="104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Achieved</w:t>
            </w:r>
          </w:p>
        </w:tc>
        <w:tc>
          <w:tcPr>
            <w:tcW w:w="0" w:type="dxa"/>
            <w:vAlign w:val="bottom"/>
          </w:tcPr>
          <w:p>
            <w:pPr>
              <w:spacing w:after="0"/>
              <w:rPr>
                <w:sz w:val="1"/>
                <w:szCs w:val="1"/>
                <w:color w:val="auto"/>
              </w:rPr>
            </w:pPr>
          </w:p>
        </w:tc>
      </w:tr>
      <w:tr>
        <w:trPr>
          <w:trHeight w:val="148"/>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446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60" w:type="dxa"/>
            <w:vAlign w:val="bottom"/>
            <w:tcBorders>
              <w:bottom w:val="single" w:sz="8" w:color="auto"/>
            </w:tcBorders>
            <w:vMerge w:val="continue"/>
          </w:tcPr>
          <w:p>
            <w:pPr>
              <w:spacing w:after="0"/>
              <w:rPr>
                <w:sz w:val="13"/>
                <w:szCs w:val="13"/>
                <w:color w:val="auto"/>
              </w:rPr>
            </w:pPr>
          </w:p>
        </w:tc>
        <w:tc>
          <w:tcPr>
            <w:tcW w:w="4460" w:type="dxa"/>
            <w:vAlign w:val="bottom"/>
            <w:vMerge w:val="continue"/>
          </w:tcPr>
          <w:p>
            <w:pPr>
              <w:spacing w:after="0"/>
              <w:rPr>
                <w:sz w:val="13"/>
                <w:szCs w:val="13"/>
                <w:color w:val="auto"/>
              </w:rPr>
            </w:pPr>
          </w:p>
        </w:tc>
        <w:tc>
          <w:tcPr>
            <w:tcW w:w="620" w:type="dxa"/>
            <w:vAlign w:val="bottom"/>
          </w:tcPr>
          <w:p>
            <w:pPr>
              <w:jc w:val="right"/>
              <w:ind w:right="11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jc w:val="right"/>
              <w:ind w:right="1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3"/>
                <w:szCs w:val="13"/>
                <w:color w:val="auto"/>
              </w:rPr>
            </w:pPr>
          </w:p>
        </w:tc>
        <w:tc>
          <w:tcPr>
            <w:tcW w:w="580" w:type="dxa"/>
            <w:vAlign w:val="bottom"/>
          </w:tcPr>
          <w:p>
            <w:pPr>
              <w:jc w:val="right"/>
              <w:ind w:right="7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(less tariffs)</w:t>
            </w: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50%</w:t>
            </w:r>
          </w:p>
        </w:tc>
        <w:tc>
          <w:tcPr>
            <w:tcW w:w="2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704.7</w:t>
            </w:r>
          </w:p>
        </w:tc>
        <w:tc>
          <w:tcPr>
            <w:tcW w:w="54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line="203" w:lineRule="exact"/>
              <w:rPr>
                <w:sz w:val="20"/>
                <w:szCs w:val="20"/>
                <w:color w:val="auto"/>
              </w:rPr>
            </w:pPr>
            <w:r>
              <w:rPr>
                <w:rFonts w:ascii="Times New Roman" w:cs="Times New Roman" w:eastAsia="Times New Roman" w:hAnsi="Times New Roman"/>
                <w:sz w:val="18"/>
                <w:szCs w:val="18"/>
                <w:color w:val="auto"/>
              </w:rPr>
              <w:t>300%</w:t>
            </w:r>
          </w:p>
        </w:tc>
        <w:tc>
          <w:tcPr>
            <w:tcW w:w="7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103.4</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Performance Achievement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Each named executive officer’s award under the 2025 KPI Plan is shown above in the “Nonequity Incentive Plan Compensation” column of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2012 Incentive Compensation Plan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maintains the 2012 Incentive Compensation Plan (as amended, the “2012 Plan”), which provides for the grant to employees, directors and consultants of awards of stock options, stock appreciation rights, restricted shares, restricted stock units, deferred stock, performance units, other share-based awards and cash-based awards. The maximum aggregate number of shares of Common Stock that may be issued under the 2012 Plan is 379,516 shares, which may consist, in whole or in part, of authorized and unissued shares, treasury shares, or shares reacquired by the Company in any manner. Unless otherwise provided in an award agreement, upon the occurrence of a Change in Control (as defined in the 2012 Plan) or a grantee’s termination of service by the Company without Cause (as defined in the 2012 Plan) or by the grantee for Good Reason (as defined in the 2012 Plan), in either case with two (2) years after the Change in Control event, all unvested awards shall vest, and for performance awards, all unearned or unvested awards shall be earned and vested based on performance achieved (as determined by the Compensation Committee) on a pro rata basis. In addition, upon a Change in Control, the Compensation Committee make adjustments to outstanding awards to reflect the Change in Control, cause such awards to be assumed or replaced by the surviving entity, as applicable, and with respect to stock options and SARs, cancel awards having exercise prices greater than the Change in Control Price (as defined in the 2012 Plan) or cash out such awards. The Company granted 700 SARs to Ms. Du under the 2012 Plan during the fiscal year ended December 31, 2025.</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65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2026 Phantom Unit Plan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March 6, 2026, the Board approved the Power Solutions International, Inc. 2026 Phantom Unit Plan (the “Phantom Unit Plan”). The Phantom Unit Plan provides for the grant of cash-settled awards (“Phantom Units”) to eligible service providers, including the named executive officers, tied to the fair market value of the Company’s common stock. Each Phantom Unit represents an unfunded and unsecured obligation of the Company to make a cash payment equal to the average fair market value per share of the Company’s common stock over the thirty (30) trading days immediately preceding the applicable vesting date. Phantom Units do not represent actual equity interests in the Company, carry no voting rights, and do not entitle participants to dividends.</w:t>
      </w:r>
    </w:p>
    <w:p>
      <w:pPr>
        <w:spacing w:after="0" w:line="187"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Phantom Units vest in three equal annual installments, with the first installment vesting on the vesting commencement date and the remaining installments vesting on each of the first and second anniversaries thereof, subject to the participant’s continuous service. Accelerated vesting of all unvested Phantom Units occurs upon (i) termination of service due to death or disability, (ii) a Change in Control (as defined in the Phantom Unit Plan) in which the acquiror does not assume or substitute the outstanding awards, or (iii) an involuntary termination or resignation for Good Reason (as defined in the Phantom Unit Plan) within twenty-four (24) months following a Change in Control in which the awards were assumed or substituted. Settlement is made in a lump sum cash payment within sixty (60) days following the applicable vesting date. Awards are subject to the Company’s clawback and recoupment policies. The Phantom Unit Plan is governed by Delaware law.</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2025 YEAR-END</w:t>
      </w:r>
    </w:p>
    <w:p>
      <w:pPr>
        <w:spacing w:after="0" w:line="22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table below shows outstanding SAR awards as of December 31, 2025, held by each named executive officer. No stock awards remained outstanding for any named executive officers as of December 31, 2025.</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Option/SAR Awards</w:t>
            </w:r>
          </w:p>
        </w:tc>
        <w:tc>
          <w:tcPr>
            <w:tcW w:w="1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20" w:type="dxa"/>
            <w:vAlign w:val="bottom"/>
          </w:tcPr>
          <w:p>
            <w:pPr>
              <w:spacing w:after="0"/>
              <w:rPr>
                <w:sz w:val="10"/>
                <w:szCs w:val="10"/>
                <w:color w:val="auto"/>
              </w:rPr>
            </w:pPr>
          </w:p>
        </w:tc>
        <w:tc>
          <w:tcPr>
            <w:tcW w:w="18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20" w:type="dxa"/>
            <w:vAlign w:val="bottom"/>
            <w:gridSpan w:val="2"/>
          </w:tcPr>
          <w:p>
            <w:pPr>
              <w:jc w:val="center"/>
              <w:ind w:right="538"/>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420" w:type="dxa"/>
            <w:vAlign w:val="bottom"/>
            <w:gridSpan w:val="2"/>
          </w:tcPr>
          <w:p>
            <w:pPr>
              <w:jc w:val="center"/>
              <w:ind w:right="51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20" w:type="dxa"/>
            <w:vAlign w:val="bottom"/>
            <w:gridSpan w:val="2"/>
          </w:tcPr>
          <w:p>
            <w:pPr>
              <w:jc w:val="center"/>
              <w:ind w:right="53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Option/SAR</w:t>
            </w: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20" w:type="dxa"/>
            <w:vAlign w:val="bottom"/>
            <w:gridSpan w:val="2"/>
          </w:tcPr>
          <w:p>
            <w:pPr>
              <w:jc w:val="center"/>
              <w:ind w:right="53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40" w:type="dxa"/>
            <w:vAlign w:val="bottom"/>
            <w:gridSpan w:val="2"/>
            <w:vMerge w:val="continue"/>
          </w:tcPr>
          <w:p>
            <w:pPr>
              <w:spacing w:after="0"/>
              <w:rPr>
                <w:sz w:val="12"/>
                <w:szCs w:val="12"/>
                <w:color w:val="auto"/>
              </w:rPr>
            </w:pPr>
          </w:p>
        </w:tc>
        <w:tc>
          <w:tcPr>
            <w:tcW w:w="15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Option/SAR</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Options/SARs</w:t>
            </w:r>
          </w:p>
        </w:tc>
        <w:tc>
          <w:tcPr>
            <w:tcW w:w="1420" w:type="dxa"/>
            <w:vAlign w:val="bottom"/>
            <w:gridSpan w:val="2"/>
          </w:tcPr>
          <w:p>
            <w:pPr>
              <w:jc w:val="center"/>
              <w:ind w:right="538"/>
              <w:spacing w:after="0" w:line="149" w:lineRule="exact"/>
              <w:rPr>
                <w:sz w:val="20"/>
                <w:szCs w:val="20"/>
                <w:color w:val="auto"/>
              </w:rPr>
            </w:pPr>
            <w:r>
              <w:rPr>
                <w:rFonts w:ascii="Times New Roman" w:cs="Times New Roman" w:eastAsia="Times New Roman" w:hAnsi="Times New Roman"/>
                <w:sz w:val="14"/>
                <w:szCs w:val="14"/>
                <w:b w:val="1"/>
                <w:bCs w:val="1"/>
                <w:color w:val="auto"/>
              </w:rPr>
              <w:t>Options/SARs</w:t>
            </w:r>
          </w:p>
        </w:tc>
        <w:tc>
          <w:tcPr>
            <w:tcW w:w="12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5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5020" w:type="dxa"/>
            <w:vAlign w:val="bottom"/>
            <w:vMerge w:val="continue"/>
          </w:tcPr>
          <w:p>
            <w:pPr>
              <w:spacing w:after="0"/>
              <w:rPr>
                <w:sz w:val="15"/>
                <w:szCs w:val="15"/>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20" w:type="dxa"/>
            <w:vAlign w:val="bottom"/>
            <w:gridSpan w:val="2"/>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80" w:type="dxa"/>
            <w:vAlign w:val="bottom"/>
          </w:tcPr>
          <w:p>
            <w:pPr>
              <w:spacing w:after="0"/>
              <w:rPr>
                <w:sz w:val="15"/>
                <w:szCs w:val="15"/>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 (Dino) Xykis</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w:t>
            </w:r>
          </w:p>
        </w:tc>
        <w:tc>
          <w:tcPr>
            <w:tcW w:w="540" w:type="dxa"/>
            <w:vAlign w:val="bottom"/>
            <w:tcBorders>
              <w:top w:val="single" w:sz="8" w:color="CCEEFF"/>
            </w:tcBorders>
            <w:shd w:val="clear" w:color="auto" w:fill="CCEEFF"/>
          </w:tcPr>
          <w:p>
            <w:pPr>
              <w:jc w:val="right"/>
              <w:ind w:right="478"/>
              <w:spacing w:after="0"/>
              <w:rPr>
                <w:sz w:val="20"/>
                <w:szCs w:val="20"/>
                <w:color w:val="auto"/>
              </w:rPr>
            </w:pPr>
            <w:r>
              <w:rPr>
                <w:rFonts w:ascii="Times New Roman" w:cs="Times New Roman" w:eastAsia="Times New Roman" w:hAnsi="Times New Roman"/>
                <w:sz w:val="4"/>
                <w:szCs w:val="4"/>
                <w:color w:val="auto"/>
                <w:w w:val="97"/>
              </w:rPr>
              <w:t>2</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25, 2033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Xun (Kenneth) Li</w:t>
            </w:r>
          </w:p>
        </w:tc>
        <w:tc>
          <w:tcPr>
            <w:tcW w:w="18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ind w:right="478"/>
              <w:spacing w:after="0" w:line="216" w:lineRule="exact"/>
              <w:rPr>
                <w:sz w:val="20"/>
                <w:szCs w:val="20"/>
                <w:color w:val="auto"/>
              </w:rPr>
            </w:pPr>
            <w:r>
              <w:rPr>
                <w:rFonts w:ascii="Times New Roman" w:cs="Times New Roman" w:eastAsia="Times New Roman" w:hAnsi="Times New Roman"/>
                <w:sz w:val="18"/>
                <w:szCs w:val="18"/>
                <w:color w:val="auto"/>
              </w:rPr>
              <w:t>7,500</w:t>
            </w:r>
            <w:r>
              <w:rPr>
                <w:rFonts w:ascii="Times New Roman" w:cs="Times New Roman" w:eastAsia="Times New Roman" w:hAnsi="Times New Roman"/>
                <w:sz w:val="22"/>
                <w:szCs w:val="22"/>
                <w:color w:val="auto"/>
                <w:vertAlign w:val="superscript"/>
              </w:rPr>
              <w:t>2</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2.00</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September 2, 2032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Zhaoying (Dorothy) Du</w:t>
            </w:r>
          </w:p>
        </w:tc>
        <w:tc>
          <w:tcPr>
            <w:tcW w:w="18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ind w:right="478"/>
              <w:spacing w:after="0" w:line="216" w:lineRule="exact"/>
              <w:rPr>
                <w:sz w:val="20"/>
                <w:szCs w:val="20"/>
                <w:color w:val="auto"/>
              </w:rPr>
            </w:pPr>
            <w:r>
              <w:rPr>
                <w:rFonts w:ascii="Times New Roman" w:cs="Times New Roman" w:eastAsia="Times New Roman" w:hAnsi="Times New Roman"/>
                <w:sz w:val="18"/>
                <w:szCs w:val="18"/>
                <w:color w:val="auto"/>
              </w:rPr>
              <w:t>700</w:t>
            </w:r>
            <w:r>
              <w:rPr>
                <w:rFonts w:ascii="Times New Roman" w:cs="Times New Roman" w:eastAsia="Times New Roman" w:hAnsi="Times New Roman"/>
                <w:sz w:val="22"/>
                <w:szCs w:val="22"/>
                <w:color w:val="auto"/>
                <w:vertAlign w:val="superscript"/>
              </w:rPr>
              <w:t>3</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65.76</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December 11, 2035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440" w:hanging="424"/>
        <w:spacing w:after="0" w:line="261"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Mr. Xykis’ outstanding SAR award, effective April 25, 2023, under the 2012 Plan, which vests and becomes exercisable in three equal installments on April 25, 2024, April 25, 2025 and April 25, 2026.</w:t>
      </w:r>
    </w:p>
    <w:p>
      <w:pPr>
        <w:ind w:left="540" w:right="36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Mr. Li’s outstanding SAR award, effective September 2, 2022, under the 2012 Plan, which vests and becomes exercisable in four equal installments on September 2, 2023, September 2, 2024, September 2, 2025 and September 2, 2026.</w:t>
      </w:r>
    </w:p>
    <w:p>
      <w:pPr>
        <w:ind w:left="540" w:right="220" w:hanging="424"/>
        <w:spacing w:after="0" w:line="26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Ms. Du’s outstanding SAR award, effective December 11, 2025, under the 2012 Plan, which vests and becomes exercisable in three equal installments on December 11, 2026, December 11, 2027 and December 11, 2028.</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120" w:right="7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employment agreements with Messrs. Xykis and Li and Ms. Du that provided for payments upon termination without “cause.” A summary of the payments that Messrs. Xykis’, Li’s and Ms. Du’s employment agreements provide for upon a termination without “cause” is summarized above under the heading, “</w:t>
      </w:r>
      <w:r>
        <w:rPr>
          <w:rFonts w:ascii="Times New Roman" w:cs="Times New Roman" w:eastAsia="Times New Roman" w:hAnsi="Times New Roman"/>
          <w:sz w:val="18"/>
          <w:szCs w:val="18"/>
          <w:i w:val="1"/>
          <w:iCs w:val="1"/>
          <w:color w:val="auto"/>
        </w:rPr>
        <w:t>Employment Agreements with Named Executive Officers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Other than these arrangements, the Change in Control provision in the Du Employment Agreement described above, accelerated vesting of equity awards under the 2012 Plan, and accelerated vesting of Phantom Units under the Phantom Unit Plan as described above, the Company does not have any other compensatory plans or arrangements in place that provide for any payments or benefits upon the resignation, retirement or any other termination of any of the named executive officers, as the result of a change in control, or from a change in any named executive officer’s responsibilities following a change in control.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has adopted a Clawback Policy that is intended to be consistent with Section 10D of the Exchange Act and Rule 10D-1 promulgated thereunder and Nasdaq Listing Rule 5608 (“Nasdaq Rule 5608”). In the event the Company is required to prepare an accounting restatement due to the Company’s material noncompliance with any financial reporting requirement under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Clawback Policy provides that the Company will require recoupment of the excess amount of certain incentive compensation received by certain covered executives during the three completed fiscal years immediately preceding the date on which the Company is required to prepare the accounting restatement.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PSI directors generally receive the following compensation for their services as members of the Board (other than as set forth in footnote 3 to the table below):</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retainer of $50,000 per year;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$25,000 per year to the Chairman of the Board and the Chair of the 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$15,000 per year to the Chair of the Compensation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shares of restricted stock per year;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fees of $1,500 per day for each Board and Committee meeting.</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Company also reimburses directors for necessary and reasonable travel and other related expenses incurred in connection with the performance of their official duties of attendance at each meeting of the Board or any Committee.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summarizes the compensation paid to each director for their service on the Board for the year ended December 31, 2025:</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20" w:type="dxa"/>
            <w:vAlign w:val="bottom"/>
            <w:vMerge w:val="restart"/>
          </w:tcPr>
          <w:p>
            <w:pPr>
              <w:spacing w:after="0"/>
              <w:rPr>
                <w:sz w:val="13"/>
                <w:szCs w:val="13"/>
                <w:color w:val="auto"/>
              </w:rPr>
            </w:pPr>
          </w:p>
        </w:tc>
        <w:tc>
          <w:tcPr>
            <w:tcW w:w="3360" w:type="dxa"/>
            <w:vAlign w:val="bottom"/>
            <w:gridSpan w:val="3"/>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Fees Earned or Paid in Cash</w:t>
            </w:r>
          </w:p>
        </w:tc>
        <w:tc>
          <w:tcPr>
            <w:tcW w:w="5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336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8"/>
                <w:szCs w:val="8"/>
                <w:b w:val="1"/>
                <w:bCs w:val="1"/>
                <w:color w:val="auto"/>
                <w:w w:val="99"/>
              </w:rPr>
              <w:t>(1)</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Jiwen Zhang</w:t>
            </w:r>
            <w:r>
              <w:rPr>
                <w:rFonts w:ascii="Times New Roman" w:cs="Times New Roman" w:eastAsia="Times New Roman" w:hAnsi="Times New Roman"/>
                <w:sz w:val="22"/>
                <w:szCs w:val="22"/>
                <w:b w:val="1"/>
                <w:bCs w:val="1"/>
                <w:color w:val="auto"/>
                <w:vertAlign w:val="superscript"/>
              </w:rPr>
              <w:t>(4)</w:t>
            </w:r>
          </w:p>
        </w:tc>
        <w:tc>
          <w:tcPr>
            <w:tcW w:w="1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132,000</w:t>
            </w:r>
          </w:p>
        </w:tc>
        <w:tc>
          <w:tcPr>
            <w:tcW w:w="5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132,000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Courtney Shea</w:t>
            </w:r>
            <w:r>
              <w:rPr>
                <w:rFonts w:ascii="Times New Roman" w:cs="Times New Roman" w:eastAsia="Times New Roman" w:hAnsi="Times New Roman"/>
                <w:sz w:val="22"/>
                <w:szCs w:val="22"/>
                <w:b w:val="1"/>
                <w:bCs w:val="1"/>
                <w:color w:val="auto"/>
                <w:vertAlign w:val="superscript"/>
              </w:rPr>
              <w:t>(2)</w:t>
            </w:r>
          </w:p>
        </w:tc>
        <w:tc>
          <w:tcPr>
            <w:tcW w:w="22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12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$328,800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339,709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Frank P. Simpkins</w:t>
            </w:r>
          </w:p>
        </w:tc>
        <w:tc>
          <w:tcPr>
            <w:tcW w:w="224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145,500</w:t>
            </w:r>
          </w:p>
        </w:tc>
        <w:tc>
          <w:tcPr>
            <w:tcW w:w="12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$328,800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474,300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Xuesen Yang </w:t>
            </w:r>
            <w:r>
              <w:rPr>
                <w:rFonts w:ascii="Times New Roman" w:cs="Times New Roman" w:eastAsia="Times New Roman" w:hAnsi="Times New Roman"/>
                <w:sz w:val="22"/>
                <w:szCs w:val="22"/>
                <w:b w:val="1"/>
                <w:bCs w:val="1"/>
                <w:color w:val="auto"/>
                <w:vertAlign w:val="superscript"/>
              </w:rPr>
              <w:t>(3)(4)</w:t>
            </w:r>
          </w:p>
        </w:tc>
        <w:tc>
          <w:tcPr>
            <w:tcW w:w="22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30,925</w:t>
            </w:r>
          </w:p>
        </w:tc>
        <w:tc>
          <w:tcPr>
            <w:tcW w:w="58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Hong He</w:t>
            </w:r>
          </w:p>
        </w:tc>
        <w:tc>
          <w:tcPr>
            <w:tcW w:w="224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12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$328,800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459,800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Fuzhang Yu</w:t>
            </w:r>
            <w:r>
              <w:rPr>
                <w:rFonts w:ascii="Times New Roman" w:cs="Times New Roman" w:eastAsia="Times New Roman" w:hAnsi="Times New Roman"/>
                <w:sz w:val="22"/>
                <w:szCs w:val="22"/>
                <w:b w:val="1"/>
                <w:bCs w:val="1"/>
                <w:color w:val="auto"/>
                <w:vertAlign w:val="superscript"/>
              </w:rPr>
              <w:t>(4)</w:t>
            </w:r>
          </w:p>
        </w:tc>
        <w:tc>
          <w:tcPr>
            <w:tcW w:w="22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58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Zhao Jin</w:t>
            </w:r>
            <w:r>
              <w:rPr>
                <w:rFonts w:ascii="Times New Roman" w:cs="Times New Roman" w:eastAsia="Times New Roman" w:hAnsi="Times New Roman"/>
                <w:sz w:val="22"/>
                <w:szCs w:val="22"/>
                <w:b w:val="1"/>
                <w:bCs w:val="1"/>
                <w:color w:val="auto"/>
                <w:vertAlign w:val="superscript"/>
              </w:rPr>
              <w:t>(4)(5)</w:t>
            </w:r>
          </w:p>
        </w:tc>
        <w:tc>
          <w:tcPr>
            <w:tcW w:w="224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Gengsheng Zhang</w:t>
            </w:r>
            <w:r>
              <w:rPr>
                <w:rFonts w:ascii="Times New Roman" w:cs="Times New Roman" w:eastAsia="Times New Roman" w:hAnsi="Times New Roman"/>
                <w:sz w:val="22"/>
                <w:szCs w:val="22"/>
                <w:b w:val="1"/>
                <w:bCs w:val="1"/>
                <w:color w:val="auto"/>
                <w:vertAlign w:val="superscript"/>
              </w:rPr>
              <w:t>(6)</w:t>
            </w: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Kenneth W. Landini</w:t>
            </w:r>
            <w:r>
              <w:rPr>
                <w:rFonts w:ascii="Times New Roman" w:cs="Times New Roman" w:eastAsia="Times New Roman" w:hAnsi="Times New Roman"/>
                <w:sz w:val="22"/>
                <w:szCs w:val="22"/>
                <w:b w:val="1"/>
                <w:bCs w:val="1"/>
                <w:color w:val="auto"/>
                <w:vertAlign w:val="superscript"/>
              </w:rPr>
              <w:t>(7)</w:t>
            </w:r>
          </w:p>
        </w:tc>
        <w:tc>
          <w:tcPr>
            <w:tcW w:w="224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Kui Jiang</w:t>
            </w:r>
            <w:r>
              <w:rPr>
                <w:rFonts w:ascii="Times New Roman" w:cs="Times New Roman" w:eastAsia="Times New Roman" w:hAnsi="Times New Roman"/>
                <w:sz w:val="22"/>
                <w:szCs w:val="22"/>
                <w:b w:val="1"/>
                <w:bCs w:val="1"/>
                <w:color w:val="auto"/>
                <w:vertAlign w:val="superscript"/>
              </w:rPr>
              <w:t>(8)</w:t>
            </w:r>
          </w:p>
        </w:tc>
        <w:tc>
          <w:tcPr>
            <w:tcW w:w="22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74,710</w:t>
            </w:r>
          </w:p>
        </w:tc>
        <w:tc>
          <w:tcPr>
            <w:tcW w:w="58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60" w:hanging="544"/>
        <w:spacing w:after="0" w:line="270"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aggregate grant date fair value of restricted stock granted to Ms. Shea and Messrs. Simpkins and He on December 11, 2025, which will vest on July 24, 2026, and related to their 2025 Board service. The grant date fair value is computed in accordance with FASB ASC Topic 718. As of December 31, 2025, Ms. Shea and Messrs. Simpkins and He each had 5,000 unvested shares of restricted stock. Mr. Landini’s 5,000 shares of restricted stock granted on December 12, 2024, vested on July 10, 2025, prior to his resignation from the Board on July 23, 2025.</w:t>
      </w:r>
    </w:p>
    <w:p>
      <w:pPr>
        <w:spacing w:after="0" w:line="2"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Landini did not receive a restricted stock grant in 2025.</w:t>
      </w:r>
    </w:p>
    <w:p>
      <w:pPr>
        <w:spacing w:after="0" w:line="9" w:lineRule="exact"/>
        <w:rPr>
          <w:rFonts w:ascii="Times New Roman" w:cs="Times New Roman" w:eastAsia="Times New Roman" w:hAnsi="Times New Roman"/>
          <w:sz w:val="17"/>
          <w:szCs w:val="17"/>
          <w:color w:val="auto"/>
        </w:rPr>
      </w:pPr>
    </w:p>
    <w:p>
      <w:pPr>
        <w:ind w:left="660" w:right="200" w:hanging="544"/>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24, 2025, Ms. Shea was appointed to the Board, effective as of that date and will continue to serve until the Company’s 2026 annual meeting of stockholders or until her successor is duly elected and qualifies.</w:t>
      </w:r>
    </w:p>
    <w:p>
      <w:pPr>
        <w:ind w:left="660" w:right="20" w:hanging="544"/>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2025, Mr. Yang was appointed to the Board, effective as of that date and will continue to serve until the Company’s 2026 annual meeting of stockholders or until his successor is duly elected and qualifies.</w:t>
      </w:r>
    </w:p>
    <w:p>
      <w:pPr>
        <w:ind w:left="660" w:hanging="54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2025, the Weichai board members were granted compensation as part of the board effective October 9, 2025.</w:t>
      </w:r>
    </w:p>
    <w:p>
      <w:pPr>
        <w:spacing w:after="0" w:line="9" w:lineRule="exact"/>
        <w:rPr>
          <w:rFonts w:ascii="Times New Roman" w:cs="Times New Roman" w:eastAsia="Times New Roman" w:hAnsi="Times New Roman"/>
          <w:sz w:val="18"/>
          <w:szCs w:val="18"/>
          <w:color w:val="auto"/>
        </w:rPr>
      </w:pPr>
    </w:p>
    <w:p>
      <w:pPr>
        <w:ind w:left="660" w:right="180" w:hanging="544"/>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2025, Mr. Jin was appointed to the Board, effective as of that date and will continue to serve until the Company’s 2026 annual meeting of stockholders or until his successor is duly elected and qualifies.</w:t>
      </w:r>
    </w:p>
    <w:p>
      <w:pPr>
        <w:ind w:left="660" w:hanging="54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2025, Mr. Zhang resigned as a member of the Board, effective as of that date.</w:t>
      </w:r>
    </w:p>
    <w:p>
      <w:pPr>
        <w:spacing w:after="0" w:line="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23, 2025, Mr. Landini resigned as a member of the Board, effective as of that date.</w:t>
      </w:r>
    </w:p>
    <w:p>
      <w:pPr>
        <w:spacing w:after="0" w:line="9" w:lineRule="exact"/>
        <w:rPr>
          <w:rFonts w:ascii="Times New Roman" w:cs="Times New Roman" w:eastAsia="Times New Roman" w:hAnsi="Times New Roman"/>
          <w:sz w:val="18"/>
          <w:szCs w:val="18"/>
          <w:color w:val="auto"/>
        </w:rPr>
      </w:pPr>
    </w:p>
    <w:p>
      <w:pPr>
        <w:ind w:left="660" w:right="180" w:hanging="544"/>
        <w:spacing w:after="0" w:line="26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2025, Mr. Jiang resigned as a member of the Board, effective as of that date. Mr. Jiang has earned fees for his 2025 Board and Committee services but not been paid such fees.</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320" w:top="482" w:right="5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beneficial ownership of shares of the Company’s Common Stock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23, 2026, by:</w:t>
      </w:r>
    </w:p>
    <w:p>
      <w:pPr>
        <w:spacing w:after="0" w:line="112"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us to be the beneficial owner of more than 5% of the outstanding shares of the Company’s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 each director;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amounts and percentages of shares beneficially owned are reported on the basis of regulations of the SEC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Beneficial ownership of Common Stock is based on 23,050,450 shares of Common Stock issued and outstanding as of April 23, 2026.</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Except as otherwise indicated in the footnotes, each of the beneficial owners listed has, to the Company’s knowledge, sole voting and investment power with respect to the indicated shares of Common Stock. Addresses for the beneficial owners are set forth in the footnotes to the table.</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0"/>
                <w:szCs w:val="10"/>
                <w:b w:val="1"/>
                <w:bCs w:val="1"/>
                <w:color w:val="auto"/>
              </w:rPr>
              <w:t>(1)</w:t>
            </w:r>
          </w:p>
        </w:tc>
        <w:tc>
          <w:tcPr>
            <w:tcW w:w="3480" w:type="dxa"/>
            <w:vAlign w:val="bottom"/>
            <w:vMerge w:val="restart"/>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80"/>
        </w:trPr>
        <w:tc>
          <w:tcPr>
            <w:tcW w:w="2560" w:type="dxa"/>
            <w:vAlign w:val="bottom"/>
            <w:tcBorders>
              <w:bottom w:val="single" w:sz="8" w:color="auto"/>
            </w:tcBorders>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136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90"/>
        </w:trPr>
        <w:tc>
          <w:tcPr>
            <w:tcW w:w="60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8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Jiwen Zhang</w:t>
            </w:r>
          </w:p>
        </w:tc>
        <w:tc>
          <w:tcPr>
            <w:tcW w:w="13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Courtney Shea</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5,000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Frank P. Simpkins</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30,000</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Hong He</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23,750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Fuzhang Yu</w:t>
            </w:r>
          </w:p>
        </w:tc>
        <w:tc>
          <w:tcPr>
            <w:tcW w:w="13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Xuesen Yang</w:t>
            </w: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Zhao Jin</w:t>
            </w:r>
          </w:p>
        </w:tc>
        <w:tc>
          <w:tcPr>
            <w:tcW w:w="13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 Dino Xykis</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Xun (Kenneth) Li</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4,592</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Zhaoying (Dorothy) Du</w:t>
            </w:r>
          </w:p>
        </w:tc>
        <w:tc>
          <w:tcPr>
            <w:tcW w:w="13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(10 individuals)</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63,342</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Parties owning beneficially more than 5% of the outstanding shares: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b w:val="1"/>
                <w:bCs w:val="1"/>
                <w:color w:val="auto"/>
              </w:rPr>
              <w:t>Kenneth Winemaster</w:t>
            </w:r>
            <w:r>
              <w:rPr>
                <w:rFonts w:ascii="Times New Roman" w:cs="Times New Roman" w:eastAsia="Times New Roman" w:hAnsi="Times New Roman"/>
                <w:sz w:val="25"/>
                <w:szCs w:val="25"/>
                <w:b w:val="1"/>
                <w:bCs w:val="1"/>
                <w:color w:val="auto"/>
                <w:vertAlign w:val="superscript"/>
              </w:rPr>
              <w:t>(2)</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2,211,274</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60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b w:val="1"/>
                <w:bCs w:val="1"/>
                <w:color w:val="auto"/>
              </w:rPr>
              <w:t>Gary S. Winemaster</w:t>
            </w:r>
            <w:r>
              <w:rPr>
                <w:rFonts w:ascii="Times New Roman" w:cs="Times New Roman" w:eastAsia="Times New Roman" w:hAnsi="Times New Roman"/>
                <w:sz w:val="25"/>
                <w:szCs w:val="25"/>
                <w:b w:val="1"/>
                <w:bCs w:val="1"/>
                <w:color w:val="auto"/>
                <w:vertAlign w:val="superscript"/>
              </w:rPr>
              <w:t>(3)</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1,455,259</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b w:val="1"/>
                <w:bCs w:val="1"/>
                <w:color w:val="auto"/>
              </w:rPr>
              <w:t>Weichai</w:t>
            </w:r>
            <w:r>
              <w:rPr>
                <w:rFonts w:ascii="Times New Roman" w:cs="Times New Roman" w:eastAsia="Times New Roman" w:hAnsi="Times New Roman"/>
                <w:sz w:val="25"/>
                <w:szCs w:val="25"/>
                <w:b w:val="1"/>
                <w:bCs w:val="1"/>
                <w:color w:val="auto"/>
                <w:vertAlign w:val="superscript"/>
              </w:rPr>
              <w:t>(4)</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10,599,759</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individual is 201 Mittel Drive, Wood Dale, Illinois 60191.</w:t>
      </w:r>
    </w:p>
    <w:p>
      <w:pPr>
        <w:spacing w:after="0" w:line="9"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Form 4 filed with the SEC on May 16, 2019, Kenneth J. Winemaster beneficially owned 2,211,274 shares of Common Stock directly. Mr. Winemaster served as the Company’s Executive Vice President until January 1, 2022. Open market purchases or sales, if any, by Mr. Winemaster of Common Stock since the date that he ceased serving as the Company’s Executive Vice President are not known by the Company or reported in the table.</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13D/A filed with the SEC on September 22, 2025, Gary Winemaster is the beneficial owner of 1,455,259 shares of Common Stock, with the sole power to vote, or direct the vote, and to dispose, or direct the disposition, of 1,454,578 shares of Common Stock and the shared power to vote, or direct the vote, and to dispose, or direct the disposition, of 681 shares of Common Stock.</w:t>
      </w:r>
    </w:p>
    <w:p>
      <w:pPr>
        <w:spacing w:after="0" w:line="1"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Form 4 filed with the SEC on September 15, 2025, Weichai America Corp. holds shared voting power with respect to 10,599,759 shares of Common Stock and shared dispositive power with respect to 10,599,759 shares of Common Stock with Weichai Power and Shandong Heavy Industry Group Co., Ltd. The business address of Weichai America Corp. is 3100 Golf Road, Rolling Meadows, IL 60008.</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securities that may be issued under the 2012 Plan as of December 31, 2025:</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3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94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320" w:type="dxa"/>
            <w:vAlign w:val="bottom"/>
          </w:tcPr>
          <w:p>
            <w:pPr>
              <w:spacing w:after="0"/>
              <w:rPr>
                <w:sz w:val="12"/>
                <w:szCs w:val="12"/>
                <w:color w:val="auto"/>
              </w:rPr>
            </w:pPr>
          </w:p>
        </w:tc>
        <w:tc>
          <w:tcPr>
            <w:tcW w:w="16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30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21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30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8"/>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4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30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73"/>
        </w:trPr>
        <w:tc>
          <w:tcPr>
            <w:tcW w:w="3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(b)</w:t>
            </w:r>
          </w:p>
        </w:tc>
        <w:tc>
          <w:tcPr>
            <w:tcW w:w="30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78"/>
        </w:trPr>
        <w:tc>
          <w:tcPr>
            <w:tcW w:w="36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4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2140" w:type="dxa"/>
            <w:vAlign w:val="bottom"/>
            <w:gridSpan w:val="3"/>
            <w:shd w:val="clear" w:color="auto" w:fill="CCEEFF"/>
          </w:tcPr>
          <w:p>
            <w:pPr>
              <w:ind w:left="1140"/>
              <w:spacing w:after="0" w:line="235" w:lineRule="exact"/>
              <w:rPr>
                <w:sz w:val="20"/>
                <w:szCs w:val="20"/>
                <w:color w:val="auto"/>
              </w:rPr>
            </w:pPr>
            <w:r>
              <w:rPr>
                <w:rFonts w:ascii="Times New Roman" w:cs="Times New Roman" w:eastAsia="Times New Roman" w:hAnsi="Times New Roman"/>
                <w:sz w:val="18"/>
                <w:szCs w:val="18"/>
                <w:color w:val="auto"/>
              </w:rPr>
              <w:t xml:space="preserve">30,170 </w:t>
            </w:r>
            <w:r>
              <w:rPr>
                <w:rFonts w:ascii="Times New Roman" w:cs="Times New Roman" w:eastAsia="Times New Roman" w:hAnsi="Times New Roman"/>
                <w:sz w:val="26"/>
                <w:szCs w:val="26"/>
                <w:color w:val="auto"/>
                <w:vertAlign w:val="superscript"/>
              </w:rPr>
              <w:t>(1)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700"/>
              <w:spacing w:after="0" w:line="235" w:lineRule="exact"/>
              <w:rPr>
                <w:sz w:val="20"/>
                <w:szCs w:val="20"/>
                <w:color w:val="auto"/>
              </w:rPr>
            </w:pPr>
            <w:r>
              <w:rPr>
                <w:rFonts w:ascii="Times New Roman" w:cs="Times New Roman" w:eastAsia="Times New Roman" w:hAnsi="Times New Roman"/>
                <w:sz w:val="18"/>
                <w:szCs w:val="18"/>
                <w:color w:val="auto"/>
              </w:rPr>
              <w:t xml:space="preserve">7.39 </w:t>
            </w:r>
            <w:r>
              <w:rPr>
                <w:rFonts w:ascii="Times New Roman" w:cs="Times New Roman" w:eastAsia="Times New Roman" w:hAnsi="Times New Roman"/>
                <w:sz w:val="26"/>
                <w:szCs w:val="26"/>
                <w:color w:val="auto"/>
                <w:vertAlign w:val="superscript"/>
              </w:rPr>
              <w:t>(2)</w:t>
            </w:r>
          </w:p>
        </w:tc>
        <w:tc>
          <w:tcPr>
            <w:tcW w:w="1540" w:type="dxa"/>
            <w:vAlign w:val="bottom"/>
            <w:gridSpan w:val="3"/>
            <w:shd w:val="clear" w:color="auto" w:fill="CCEEFF"/>
          </w:tcPr>
          <w:p>
            <w:pPr>
              <w:ind w:left="700"/>
              <w:spacing w:after="0" w:line="235" w:lineRule="exact"/>
              <w:rPr>
                <w:sz w:val="20"/>
                <w:szCs w:val="20"/>
                <w:color w:val="auto"/>
              </w:rPr>
            </w:pPr>
            <w:r>
              <w:rPr>
                <w:rFonts w:ascii="Times New Roman" w:cs="Times New Roman" w:eastAsia="Times New Roman" w:hAnsi="Times New Roman"/>
                <w:sz w:val="18"/>
                <w:szCs w:val="18"/>
                <w:color w:val="auto"/>
                <w:w w:val="98"/>
              </w:rPr>
              <w:t xml:space="preserve">363,066 </w:t>
            </w:r>
            <w:r>
              <w:rPr>
                <w:rFonts w:ascii="Times New Roman" w:cs="Times New Roman" w:eastAsia="Times New Roman" w:hAnsi="Times New Roman"/>
                <w:sz w:val="26"/>
                <w:szCs w:val="26"/>
                <w:color w:val="auto"/>
                <w:w w:val="98"/>
                <w:vertAlign w:val="superscript"/>
              </w:rPr>
              <w:t>(3)</w:t>
            </w:r>
          </w:p>
        </w:tc>
        <w:tc>
          <w:tcPr>
            <w:tcW w:w="0" w:type="dxa"/>
            <w:vAlign w:val="bottom"/>
          </w:tcPr>
          <w:p>
            <w:pPr>
              <w:spacing w:after="0"/>
              <w:rPr>
                <w:sz w:val="1"/>
                <w:szCs w:val="1"/>
                <w:color w:val="auto"/>
              </w:rPr>
            </w:pPr>
          </w:p>
        </w:tc>
      </w:tr>
      <w:tr>
        <w:trPr>
          <w:trHeight w:val="198"/>
        </w:trPr>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480" w:type="dxa"/>
            <w:vAlign w:val="bottom"/>
          </w:tcPr>
          <w:p>
            <w:pPr>
              <w:spacing w:after="0"/>
              <w:rPr>
                <w:sz w:val="20"/>
                <w:szCs w:val="20"/>
                <w:color w:val="auto"/>
              </w:rPr>
            </w:pPr>
          </w:p>
        </w:tc>
        <w:tc>
          <w:tcPr>
            <w:tcW w:w="16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6"/>
              </w:rPr>
              <w:t>30,170</w:t>
            </w:r>
          </w:p>
        </w:tc>
        <w:tc>
          <w:tcPr>
            <w:tcW w:w="5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5"/>
              </w:rPr>
              <w:t>7.39</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363,066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outstanding stock appreciation rights.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exercise price of outstanding stock appreciation rights.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remaining available for issuance under the 2012 Plan as of December 31, 2025.</w:t>
      </w:r>
    </w:p>
    <w:p>
      <w:pPr>
        <w:spacing w:after="0" w:line="9"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maintains the 2026 Phantom Unit Plan, which provides for cash-settled awards only and does not authorize the issuance of any shares of Common Stock. Accordingly, the Phantom Unit Plan is not reflected in the table above.</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82"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4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RELATED PERSON POLICY AND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Transactions Policy and Procedures</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In the ordinary course of the Company’s business, the Company may from time to time enter into transactions with its directors, officers and 5% or greater stockholders. The Audit Committee is responsible for approving related party transactions, as defined in applicable rules promulgated by the SEC. Our Audit Committee operates under a written charter pursuant to which all related party transactions are reviewed for potential conflicts of interest situations. Such transactions must be approved by our Audit Committee prior to consummation.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than as described below, during the years ended December 31, 2025, and 2024, the Company did not enter into any related person transactions.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Weichai</w:t>
      </w:r>
    </w:p>
    <w:p>
      <w:pPr>
        <w:spacing w:after="0" w:line="12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Weichai America Corp. (“Weichai America”), a wholly-owned subsidiary of Weichai Power Co., Ltd. (HK2338, SZ000338) (herein collectively referred to as “Weichai”), owns approximately 46.0% of the outstanding shares of the Company’s Common Stock as of December 31, 2025. For a detailed description of the Company’s historical transactions with Weichai, including the Share Purchase Agreement, the Investor Rights Agreement (the “Rights Agreement”), the Shareholders Agreement with the Founders, and the Shareholder Loan Agreement, see Note 1 (Stock Ownership and Control), Note 3 (Weichai Transactions) and Note 16 (Related Party Transactions) to the Consolidated Financial Statements included in the Original 10-K.</w:t>
      </w:r>
    </w:p>
    <w:p>
      <w:pPr>
        <w:spacing w:after="0" w:line="168"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Rights Agreement provides Weichai with representation on the Company’s Board and management representation rights. As of the date of this filing, Weichai has four representatives on the Board, which constitutes the majority of the directors serving on the Board.</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and Weichai executed a strategic Collaboration Agreement on March 20, 2017, as amended (the “Collaboration Agreement”), in order to achieve their respective strategic objectives and enhance the strategic cooperation alliance to share experiences, expertise and resources. The Collaboration Agreement expired on March 20, 2026. The Company has received a renewal notice from Weichai and is in the process of negotiating the renewal of the Collaboration Agreement; however, no formal extension has been executed as of the date of this filing. The Company’s sales to Weichai were $1.3 million and $1.8 million during 2025 and 2024, respectively. The Company purchased $39.8 million and $21.5 million of inventory from Weichai during 2025 and 2024, respectively.</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connection with the Revolving Credit Agreement, on August 30, 2024, the Company also entered into a new SLA with Weichai, which allowed the Company to borrow up to $105.0 million and expired August 31, 2025. Borrowings under the SLA incurred interest at the applicable SOFR, plus 4.05% per annum. If the interest rate for any loan was lower than Weichai’s borrowing cost, the interest rate for such loan would be equal to Weichai’s borrowing cost plus 1.0%. The borrowing requests made under the SLA were subject to Weichai’s discretionary approval. The payment of the borrowings under the SLA was subordinated in all respects to the Revolving Credit Agreement with the exception that the Company was allowed to make a single payment of $10.0 million to Weichai. The $60.0 million portion of the initial advance under the Revolving Credit Agreement was applied to pay all principal, interest, and other amounts outstanding under the Shareholder’s Loan Agreements that the Company was previously party to with Weichai except for $25.0 million. In January 2025, the Company amended the Revolving Credit Agreement. After the amendment date, the Company was able to repay the outstanding balance under the SLA in principal and interest provided there are no new borrowings under the SLA. In June 2025, the Company made the final payment of outstanding balances and fully repaid the SLA.</w:t>
      </w:r>
    </w:p>
    <w:p>
      <w:pPr>
        <w:spacing w:after="0" w:line="194"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 January 2022, PSI and Société Internationale des Moteurs Baudouin (“Baudouin”), a France-based marine engine manufacturing subsidiary of Weichai Power, entered into an international distribution and sales agreement which enables Baudouin to bring PSI’s power systems line of products into the European, Middle Eastern, and African markets, which resulted in $1.2 million of sales during the year ended December 31, 2025. Beginning January 2024, this agreement automatically extends for additional one-year terms unless notice is given by one of the parties. In addition to sales, Baudouin will manage service, support, warranty claims, and technical requests.</w:t>
      </w:r>
    </w:p>
    <w:p>
      <w:pPr>
        <w:spacing w:after="0" w:line="183"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January 2025, the Company entered into a five-year purchase agreement with SWIEC, for the exclusive purchase and distribution of certain engine and engine components for the fulfillment of a contract with a customer in North America. The supply agreement includes annual minimum requirements of products ordered during the initial term. If all minimum targets are met within the first three-year periods, the contract may be negotiated to extend beyond the five-year initial term. The annual minimum requirements are as follows: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49,937</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49,937</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95,117</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95,117</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290,108</w:t>
            </w:r>
          </w:p>
        </w:tc>
      </w:tr>
    </w:tbl>
    <w:p>
      <w:pPr>
        <w:spacing w:after="0" w:line="90"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In February 2025, the Company entered into the MOR agreement with Weichai. The MOR agreement requires the Company to pay Weichai a fee of 1.75% of gross revenues generated by the sale of certain engines manufactured by Weichai. Fees are due on a quarterly basis. The 2025 fee is $0.1 million. The MOR agreement expires in December 2029.</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758"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PSI and KION North America Corporation (“KNA”), a subsidiary of Weichai, were negotiating the terms of an agreement for PSI to develop and supply a 2.4L dual-fuel engine for use by KNA in the production of materials handling equipment. Prior to entering into a written development agreement, KNA suspended its plans to purchase the engine. PSI had completed significant development milestones at the time of suspension. Effective December 31,2025, the parties entered into a settlement agreement under which KNA paid approximately $0.5 million to resolve PSI’s claims for development costs incurred. Under the settlement agreement, KNA retains the right to resume development through December 31, 2028, and is under no obligation to do so.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The Board has determined that the Company is a “controlled company,” as defined in Rule 5615(c)(1) of the Nasdaq Marketplace Rules. The Board has based this determination on the fact that Weichai, through its direct ownership of approximately 46% of the Company’s outstanding Common Stock, combined with enforceable irrevocable proxies and voting agreements over the Founders’ shares pursuant to the Shareholders Agreement dated March 20, 2017, holds more than 50% of the voting power for the election of directors. The Company and Weichai have entered into a Shareholders Agreement with the Company’s founders (the “Founders”), pursuant to which the Founders have agreed to vote in favor of Weichai’s designees to the Board and for certain other matters. The Founders currently beneficially own at least approximately 6.3% of the Company’s Common Stock as of September 18, 2025. Under the Nasdaq rules, a company where more than 50% of the voting power for the election of directors is held by an individual, group or another company is a “controlled company” and may elect not to comply with certain Nasdaq corporate governance requirements, including:</w:t>
      </w:r>
    </w:p>
    <w:p>
      <w:pPr>
        <w:spacing w:after="0" w:line="7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consists of independent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PSI’s Nominating Committee be composed entirely of independent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PSI’s Compensation Committee be composed entirely of independent directors.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addition to the Nasdaq independence requirements, the Company also applies the independence guidelines set forth in its Corporate Governance Guidelines, which are available on the Company’s website at www.psiengines.com in the “Investors” section, under “Governance” and which are substantially similar to the Nasdaq’s director independence requirements and “controlled company” exemptions. Consistent with this requirement, based on the review and recommendation of the Nominating Committee, the Board reviewed all relevant identified transactions or relationships between each of the Company’s directors, former directors, or any of their family members, and PSI, the Company’s senior management and the Company’s independent registered public accounting firm, and has affirmatively determined that each of Messrs. He, Simpkins and Ms. Shea meet the standards of independence under the applicable Nasdaq listing standards. In making this determination, the Board found Messrs. He, Simpkins and Ms. Shea to be free of any relationship that would impair their individual exercise of independent judgment with regard to the Company. The Board has also determined that each member of its Audit Committee is independent under Nasdaq Rule 5605(a)(2). The Board found that Messrs. Jiwen Zhang, Zhao Jin, Xuesen Yang and Fuzhang Yu are not independent under the applicable Nasdaq listing standards.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AUDIT-RELATED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following table shows the fees for professional services rendered to us by BDO USA, P.C. (“BDO”) for services in respect of the years ended December 31, 2025, and 2024.</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5"/>
                <w:szCs w:val="15"/>
                <w:color w:val="auto"/>
              </w:rPr>
            </w:pP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Fees(1)</w:t>
            </w: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$1,439,335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$1,260,748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Audit-Related Fees(2)</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Fees(3)</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Fees(4)</w:t>
            </w: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0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$1,439,335</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$1,260,748</w:t>
            </w:r>
          </w:p>
        </w:tc>
      </w:tr>
    </w:tbl>
    <w:p>
      <w:pPr>
        <w:spacing w:after="0" w:line="223" w:lineRule="exact"/>
        <w:rPr>
          <w:sz w:val="20"/>
          <w:szCs w:val="20"/>
          <w:color w:val="auto"/>
        </w:rPr>
      </w:pPr>
    </w:p>
    <w:p>
      <w:pPr>
        <w:ind w:left="540" w:right="180" w:hanging="424"/>
        <w:spacing w:after="0" w:line="26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for the fiscal years 2025 and 2024 include the aggregate fees incurred for the audit of the Company’s annual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to review interim quarterly consolidated financial information.</w:t>
      </w: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The Company did not engage BDO for any audit-related services during the 2025 and 2024 fiscal years.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The Company did not engage BDO for any tax services during the 2025 and 2024 fiscal years.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The Company did not engage BDO for any other services during the 2025 and 2024 fiscal years.</w:t>
      </w:r>
    </w:p>
    <w:p>
      <w:pPr>
        <w:spacing w:after="0" w:line="20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In accordance with its charter, the Audit Committee approved in advance all audit services provided by the Company’s independent registered public accounting firm for fiscal year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Policy and Procedures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accordance with its charter, the Audit Committee approves in advance all audit and non-audit services to be provided by the Company’s independent registered public accounting firm.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122"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Financial Statement Schedules.</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The following documents listed below that have been previously filed with the SEC (1934 Act File No. 001-35944) are incorporated herein by reference: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9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720" w:type="dxa"/>
            <w:vAlign w:val="bottom"/>
            <w:gridSpan w:val="2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vMerge w:val="restart"/>
          </w:tcPr>
          <w:p>
            <w:pPr>
              <w:spacing w:after="0"/>
              <w:rPr>
                <w:sz w:val="9"/>
                <w:szCs w:val="9"/>
                <w:color w:val="auto"/>
              </w:rPr>
            </w:pPr>
          </w:p>
        </w:tc>
        <w:tc>
          <w:tcPr>
            <w:tcW w:w="7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9"/>
                <w:szCs w:val="9"/>
                <w:color w:val="auto"/>
              </w:rPr>
            </w:pP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9"/>
                <w:szCs w:val="9"/>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9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26"/>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58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Agreement and Plan of Merger dated April 29, 2011, by and among Format, Inc.,</w:t>
              </w:r>
            </w:hyperlink>
          </w:p>
        </w:tc>
        <w:tc>
          <w:tcPr>
            <w:tcW w:w="240" w:type="dxa"/>
            <w:vAlign w:val="bottom"/>
            <w:gridSpan w:val="6"/>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00" w:type="dxa"/>
            <w:vAlign w:val="bottom"/>
            <w:gridSpan w:val="32"/>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PSI Merger Sub, Inc. and The W Group, Inc.</w:t>
              </w:r>
            </w:hyperlink>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05/05/2011</w:t>
            </w:r>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000-52213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24"/>
                <w:szCs w:val="24"/>
                <w:color w:val="auto"/>
              </w:rPr>
            </w:pPr>
          </w:p>
        </w:tc>
        <w:tc>
          <w:tcPr>
            <w:tcW w:w="54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Stock Purchase Agreement, dated as of April 1, 2014, by and among Power</w:t>
              </w:r>
            </w:hyperlink>
          </w:p>
        </w:tc>
        <w:tc>
          <w:tcPr>
            <w:tcW w:w="660" w:type="dxa"/>
            <w:vAlign w:val="bottom"/>
            <w:gridSpan w:val="15"/>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Solutions International, Inc., Carl L. Trent, Kenneth C. Trent and CKT Holdings,</w:t>
              </w:r>
            </w:hyperlink>
          </w:p>
        </w:tc>
        <w:tc>
          <w:tcPr>
            <w:tcW w:w="26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00" w:type="dxa"/>
            <w:vAlign w:val="bottom"/>
            <w:gridSpan w:val="32"/>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Inc.</w:t>
              </w:r>
            </w:hyperlink>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04/02/2014</w:t>
            </w:r>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56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Certificate of Incorporation of Power Solutions International, Inc., a Delaware</w:t>
              </w:r>
            </w:hyperlink>
          </w:p>
        </w:tc>
        <w:tc>
          <w:tcPr>
            <w:tcW w:w="460" w:type="dxa"/>
            <w:vAlign w:val="bottom"/>
            <w:gridSpan w:val="12"/>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corporation, originally filed with the Secretary of State of the State of Delaware on</w:t>
              </w:r>
            </w:hyperlink>
          </w:p>
        </w:tc>
        <w:tc>
          <w:tcPr>
            <w:tcW w:w="1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00" w:type="dxa"/>
            <w:vAlign w:val="bottom"/>
            <w:gridSpan w:val="32"/>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August 12, 2011.</w:t>
              </w:r>
            </w:hyperlink>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08/19/2011</w:t>
            </w:r>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333-174543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6100" w:type="dxa"/>
            <w:vAlign w:val="bottom"/>
            <w:gridSpan w:val="32"/>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Amended and Restated Bylaws of Power Solutions International, Inc.</w:t>
              </w:r>
            </w:hyperlink>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08/18/2015</w:t>
            </w:r>
          </w:p>
        </w:tc>
        <w:tc>
          <w:tcPr>
            <w:tcW w:w="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24"/>
                <w:szCs w:val="24"/>
                <w:color w:val="auto"/>
              </w:rPr>
            </w:pPr>
          </w:p>
        </w:tc>
        <w:tc>
          <w:tcPr>
            <w:tcW w:w="56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Form of Certificate of Designation of Series B Convertible Perpetual Preferred</w:t>
              </w:r>
            </w:hyperlink>
          </w:p>
        </w:tc>
        <w:tc>
          <w:tcPr>
            <w:tcW w:w="420" w:type="dxa"/>
            <w:vAlign w:val="bottom"/>
            <w:gridSpan w:val="11"/>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Stock of Power Solutions International, Inc.</w:t>
              </w:r>
            </w:hyperlink>
          </w:p>
        </w:tc>
        <w:tc>
          <w:tcPr>
            <w:tcW w:w="2880" w:type="dxa"/>
            <w:vAlign w:val="bottom"/>
            <w:gridSpan w:val="24"/>
          </w:tcPr>
          <w:p>
            <w:pPr>
              <w:spacing w:after="0"/>
              <w:rPr>
                <w:sz w:val="17"/>
                <w:szCs w:val="17"/>
                <w:color w:val="auto"/>
              </w:rPr>
            </w:pPr>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03/27/2017</w:t>
            </w:r>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spacing w:after="0"/>
              <w:rPr>
                <w:sz w:val="24"/>
                <w:szCs w:val="24"/>
                <w:color w:val="auto"/>
              </w:rPr>
            </w:pPr>
          </w:p>
        </w:tc>
        <w:tc>
          <w:tcPr>
            <w:tcW w:w="6100" w:type="dxa"/>
            <w:vAlign w:val="bottom"/>
            <w:gridSpan w:val="32"/>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Second Amended and Restated Bylaws of Power Solutions International, Inc.,</w:t>
              </w:r>
            </w:hyperlink>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dated as of December 23, 2020.</w:t>
              </w:r>
            </w:hyperlink>
          </w:p>
        </w:tc>
        <w:tc>
          <w:tcPr>
            <w:tcW w:w="3340" w:type="dxa"/>
            <w:vAlign w:val="bottom"/>
            <w:tcBorders>
              <w:top w:val="single" w:sz="8" w:color="0000EE"/>
            </w:tcBorders>
            <w:gridSpan w:val="14"/>
          </w:tcPr>
          <w:p>
            <w:pPr>
              <w:spacing w:after="0"/>
              <w:rPr>
                <w:sz w:val="17"/>
                <w:szCs w:val="17"/>
                <w:color w:val="auto"/>
              </w:rPr>
            </w:pPr>
          </w:p>
        </w:tc>
        <w:tc>
          <w:tcPr>
            <w:tcW w:w="480" w:type="dxa"/>
            <w:vAlign w:val="bottom"/>
            <w:gridSpan w:val="13"/>
          </w:tcPr>
          <w:p>
            <w:pPr>
              <w:spacing w:after="0"/>
              <w:rPr>
                <w:sz w:val="17"/>
                <w:szCs w:val="17"/>
                <w:color w:val="auto"/>
              </w:rPr>
            </w:pPr>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12/31/2020</w:t>
            </w:r>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57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Description of the registrant’s securities registered pursuant to Section 12 of the</w:t>
              </w:r>
            </w:hyperlink>
          </w:p>
        </w:tc>
        <w:tc>
          <w:tcPr>
            <w:tcW w:w="36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00" w:type="dxa"/>
            <w:vAlign w:val="bottom"/>
            <w:gridSpan w:val="32"/>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Securities Exchange Act of 1934.</w:t>
              </w:r>
            </w:hyperlink>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05/04/2020</w:t>
            </w:r>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6100" w:type="dxa"/>
            <w:vAlign w:val="bottom"/>
            <w:gridSpan w:val="32"/>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Power Solutions International, Inc. 2012 Incentive Compensation Plan.</w:t>
              </w:r>
            </w:hyperlink>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06/07/2012</w:t>
            </w:r>
          </w:p>
        </w:tc>
        <w:tc>
          <w:tcPr>
            <w:tcW w:w="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000-52213</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54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Amendment No. 1 to the Power Solutions International, Inc. 2012 Incentive</w:t>
              </w:r>
            </w:hyperlink>
          </w:p>
        </w:tc>
        <w:tc>
          <w:tcPr>
            <w:tcW w:w="640" w:type="dxa"/>
            <w:vAlign w:val="bottom"/>
            <w:gridSpan w:val="14"/>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00" w:type="dxa"/>
            <w:vAlign w:val="bottom"/>
            <w:gridSpan w:val="32"/>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Compensation Plan.</w:t>
              </w:r>
            </w:hyperlink>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DEF14A</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Appendix A</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08/02/2013</w:t>
            </w:r>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5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Restricted Stock Agreement by and between Power Solutions</w:t>
              </w:r>
            </w:hyperlink>
          </w:p>
        </w:tc>
        <w:tc>
          <w:tcPr>
            <w:tcW w:w="980" w:type="dxa"/>
            <w:vAlign w:val="bottom"/>
            <w:gridSpan w:val="18"/>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International, Inc. and each eligible employee.</w:t>
              </w:r>
            </w:hyperlink>
          </w:p>
        </w:tc>
        <w:tc>
          <w:tcPr>
            <w:tcW w:w="2760" w:type="dxa"/>
            <w:vAlign w:val="bottom"/>
            <w:gridSpan w:val="23"/>
          </w:tcPr>
          <w:p>
            <w:pPr>
              <w:spacing w:after="0"/>
              <w:rPr>
                <w:sz w:val="17"/>
                <w:szCs w:val="17"/>
                <w:color w:val="auto"/>
              </w:rPr>
            </w:pPr>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06/20/2013</w:t>
            </w:r>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100" w:type="dxa"/>
            <w:vAlign w:val="bottom"/>
            <w:gridSpan w:val="32"/>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Indemnification Agreement by and between Power Solutions</w:t>
              </w:r>
            </w:hyperlink>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International, Inc. and certain Indemnitees.</w:t>
              </w:r>
            </w:hyperlink>
          </w:p>
        </w:tc>
        <w:tc>
          <w:tcPr>
            <w:tcW w:w="1080" w:type="dxa"/>
            <w:vAlign w:val="bottom"/>
            <w:gridSpan w:val="20"/>
          </w:tcPr>
          <w:p>
            <w:pPr>
              <w:spacing w:after="0"/>
              <w:rPr>
                <w:sz w:val="17"/>
                <w:szCs w:val="17"/>
                <w:color w:val="auto"/>
              </w:rPr>
            </w:pPr>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01/09/2014</w:t>
            </w:r>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spacing w:after="0"/>
              <w:rPr>
                <w:sz w:val="24"/>
                <w:szCs w:val="24"/>
                <w:color w:val="auto"/>
              </w:rPr>
            </w:pPr>
          </w:p>
        </w:tc>
        <w:tc>
          <w:tcPr>
            <w:tcW w:w="6100" w:type="dxa"/>
            <w:vAlign w:val="bottom"/>
            <w:gridSpan w:val="32"/>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Amended and Restated Lease Agreement, dated as of April 1, 2014, by and</w:t>
              </w:r>
            </w:hyperlink>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between Professional Power Products, Inc. and 448 W. Madison LLC.</w:t>
              </w:r>
            </w:hyperlink>
          </w:p>
        </w:tc>
        <w:tc>
          <w:tcPr>
            <w:tcW w:w="380" w:type="dxa"/>
            <w:vAlign w:val="bottom"/>
            <w:tcBorders>
              <w:top w:val="single" w:sz="8" w:color="0000EE"/>
            </w:tcBorders>
            <w:gridSpan w:val="3"/>
          </w:tcPr>
          <w:p>
            <w:pPr>
              <w:spacing w:after="0"/>
              <w:rPr>
                <w:sz w:val="17"/>
                <w:szCs w:val="17"/>
                <w:color w:val="auto"/>
              </w:rPr>
            </w:pPr>
          </w:p>
        </w:tc>
        <w:tc>
          <w:tcPr>
            <w:tcW w:w="680" w:type="dxa"/>
            <w:vAlign w:val="bottom"/>
            <w:gridSpan w:val="16"/>
          </w:tcPr>
          <w:p>
            <w:pPr>
              <w:spacing w:after="0"/>
              <w:rPr>
                <w:sz w:val="17"/>
                <w:szCs w:val="17"/>
                <w:color w:val="auto"/>
              </w:rPr>
            </w:pPr>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04/02/2014</w:t>
            </w:r>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spacing w:after="0"/>
              <w:rPr>
                <w:sz w:val="24"/>
                <w:szCs w:val="24"/>
                <w:color w:val="auto"/>
              </w:rPr>
            </w:pPr>
          </w:p>
        </w:tc>
        <w:tc>
          <w:tcPr>
            <w:tcW w:w="6100" w:type="dxa"/>
            <w:vAlign w:val="bottom"/>
            <w:gridSpan w:val="32"/>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Lease Agreement, dated as of October 1, 2014, by and between Power Solutions</w:t>
              </w:r>
            </w:hyperlink>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000" w:type="dxa"/>
            <w:vAlign w:val="bottom"/>
            <w:gridSpan w:val="8"/>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46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International, Inc. and Hamilton Lakes Commerce Center #4 Limited Partnership.</w:t>
              </w:r>
            </w:hyperlink>
          </w:p>
        </w:tc>
        <w:tc>
          <w:tcPr>
            <w:tcW w:w="200" w:type="dxa"/>
            <w:vAlign w:val="bottom"/>
            <w:gridSpan w:val="5"/>
          </w:tcPr>
          <w:p>
            <w:pPr>
              <w:spacing w:after="0"/>
              <w:rPr>
                <w:sz w:val="17"/>
                <w:szCs w:val="17"/>
                <w:color w:val="auto"/>
              </w:rPr>
            </w:pPr>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10/01/2014</w:t>
            </w:r>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6100" w:type="dxa"/>
            <w:vAlign w:val="bottom"/>
            <w:gridSpan w:val="32"/>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Lease Agreement, dated as of December 1, 2017, by and between Power Solutions</w:t>
              </w:r>
            </w:hyperlink>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International, Inc. and James Campbell Company LLC.</w:t>
              </w:r>
            </w:hyperlink>
          </w:p>
        </w:tc>
        <w:tc>
          <w:tcPr>
            <w:tcW w:w="160" w:type="dxa"/>
            <w:vAlign w:val="bottom"/>
            <w:gridSpan w:val="4"/>
          </w:tcPr>
          <w:p>
            <w:pPr>
              <w:spacing w:after="0"/>
              <w:rPr>
                <w:sz w:val="17"/>
                <w:szCs w:val="17"/>
                <w:color w:val="auto"/>
              </w:rPr>
            </w:pPr>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05/16/2019</w:t>
            </w:r>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000" w:type="dxa"/>
            <w:vAlign w:val="bottom"/>
            <w:gridSpan w:val="8"/>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Pr>
          <w:p>
            <w:pPr>
              <w:spacing w:after="0"/>
              <w:rPr>
                <w:sz w:val="24"/>
                <w:szCs w:val="24"/>
                <w:color w:val="auto"/>
              </w:rPr>
            </w:pPr>
          </w:p>
        </w:tc>
        <w:tc>
          <w:tcPr>
            <w:tcW w:w="6100" w:type="dxa"/>
            <w:vAlign w:val="bottom"/>
            <w:gridSpan w:val="32"/>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First Lease Amendment, dated as of July 11, 2018, by and between Power</w:t>
              </w:r>
            </w:hyperlink>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340" w:type="dxa"/>
            <w:vAlign w:val="bottom"/>
            <w:gridSpan w:val="13"/>
            <w:shd w:val="clear" w:color="auto" w:fill="0000EE"/>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00" w:type="dxa"/>
            <w:vAlign w:val="bottom"/>
            <w:gridSpan w:val="32"/>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Solutions International, Inc. and Centerpoint Properties Trust, in connection with</w:t>
              </w:r>
            </w:hyperlink>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840" w:type="dxa"/>
            <w:vAlign w:val="bottom"/>
            <w:gridSpan w:val="2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that certain Industrial Building Lease dated as of March 13, 2012, with respect to</w:t>
              </w:r>
            </w:hyperlink>
          </w:p>
        </w:tc>
        <w:tc>
          <w:tcPr>
            <w:tcW w:w="26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that certain premises located at 101 Mittel Drive (formerly 801 EC Drive) in Wood</w:t>
              </w:r>
            </w:hyperlink>
          </w:p>
        </w:tc>
        <w:tc>
          <w:tcPr>
            <w:tcW w:w="12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49">
              <w:r>
                <w:rPr>
                  <w:rFonts w:ascii="Times New Roman" w:cs="Times New Roman" w:eastAsia="Times New Roman" w:hAnsi="Times New Roman"/>
                  <w:sz w:val="18"/>
                  <w:szCs w:val="18"/>
                  <w:color w:val="0000EE"/>
                  <w:w w:val="97"/>
                </w:rPr>
                <w:t>Dale, Illinois.</w:t>
              </w:r>
            </w:hyperlink>
          </w:p>
        </w:tc>
        <w:tc>
          <w:tcPr>
            <w:tcW w:w="5120" w:type="dxa"/>
            <w:vAlign w:val="bottom"/>
            <w:gridSpan w:val="30"/>
          </w:tcPr>
          <w:p>
            <w:pPr>
              <w:spacing w:after="0"/>
              <w:rPr>
                <w:sz w:val="17"/>
                <w:szCs w:val="17"/>
                <w:color w:val="auto"/>
              </w:rPr>
            </w:pPr>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07/18/2018</w:t>
            </w:r>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0" w:type="dxa"/>
            <w:vAlign w:val="bottom"/>
            <w:gridSpan w:val="11"/>
          </w:tcPr>
          <w:p>
            <w:pPr>
              <w:ind w:left="444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20" w:type="dxa"/>
            <w:vAlign w:val="bottom"/>
            <w:gridSpan w:val="30"/>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3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22"/>
                <w:szCs w:val="22"/>
                <w:color w:val="auto"/>
              </w:rPr>
            </w:pPr>
          </w:p>
        </w:tc>
        <w:tc>
          <w:tcPr>
            <w:tcW w:w="6600" w:type="dxa"/>
            <w:vAlign w:val="bottom"/>
            <w:gridSpan w:val="36"/>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Second Lease Amendment, dated as of July 11, 2018, by and between Power Solutions</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6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International, Inc. and CenterPoint Properties Trust, in connection with that certain</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gridSpan w:val="36"/>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Industrial Building Lease dated as of February 28, 2012, as further amended by that certain</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56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First Lease Amendment dated June 1, 2012, with respect to that certain premises located at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51">
              <w:r>
                <w:rPr>
                  <w:rFonts w:ascii="Times New Roman" w:cs="Times New Roman" w:eastAsia="Times New Roman" w:hAnsi="Times New Roman"/>
                  <w:sz w:val="18"/>
                  <w:szCs w:val="18"/>
                  <w:color w:val="0000EE"/>
                  <w:w w:val="98"/>
                </w:rPr>
                <w:t>201 Mittel Drive, Wood Dale, Illinois.</w:t>
              </w:r>
            </w:hyperlink>
          </w:p>
        </w:tc>
        <w:tc>
          <w:tcPr>
            <w:tcW w:w="3780" w:type="dxa"/>
            <w:vAlign w:val="bottom"/>
            <w:tcBorders>
              <w:top w:val="single" w:sz="8" w:color="0000EE"/>
            </w:tcBorders>
            <w:gridSpan w:val="26"/>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10.10†††</w:t>
            </w:r>
          </w:p>
        </w:tc>
        <w:tc>
          <w:tcPr>
            <w:tcW w:w="300" w:type="dxa"/>
            <w:vAlign w:val="bottom"/>
          </w:tcPr>
          <w:p>
            <w:pPr>
              <w:spacing w:after="0"/>
              <w:rPr>
                <w:sz w:val="24"/>
                <w:szCs w:val="24"/>
                <w:color w:val="auto"/>
              </w:rPr>
            </w:pPr>
          </w:p>
        </w:tc>
        <w:tc>
          <w:tcPr>
            <w:tcW w:w="64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Addendum dated as of July 31, 2014, to Supply Agreement dated December 11, 2007, by</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and between Power Solutions International, Inc. and Doosan Infracore Co., Ltd., as</w:t>
              </w:r>
            </w:hyperlink>
          </w:p>
        </w:tc>
        <w:tc>
          <w:tcPr>
            <w:tcW w:w="6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2">
              <w:r>
                <w:rPr>
                  <w:rFonts w:ascii="Times New Roman" w:cs="Times New Roman" w:eastAsia="Times New Roman" w:hAnsi="Times New Roman"/>
                  <w:sz w:val="18"/>
                  <w:szCs w:val="18"/>
                  <w:color w:val="0000EE"/>
                  <w:w w:val="97"/>
                </w:rPr>
                <w:t>amended.</w:t>
              </w:r>
            </w:hyperlink>
          </w:p>
        </w:tc>
        <w:tc>
          <w:tcPr>
            <w:tcW w:w="590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300" w:type="dxa"/>
            <w:vAlign w:val="bottom"/>
          </w:tcPr>
          <w:p>
            <w:pPr>
              <w:spacing w:after="0"/>
              <w:rPr>
                <w:sz w:val="24"/>
                <w:szCs w:val="24"/>
                <w:color w:val="auto"/>
              </w:rPr>
            </w:pPr>
          </w:p>
        </w:tc>
        <w:tc>
          <w:tcPr>
            <w:tcW w:w="6600" w:type="dxa"/>
            <w:vAlign w:val="bottom"/>
            <w:gridSpan w:val="36"/>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Asset Purchase Agreement dated as of May 4, 2015, by and among Power Solutions</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5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International, Inc., Powertrain Integration Acquisition, LLC, as the Buyer, and Powertrain</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Integration, LLC and its principals, as the Seller.</w:t>
              </w:r>
            </w:hyperlink>
          </w:p>
        </w:tc>
        <w:tc>
          <w:tcPr>
            <w:tcW w:w="31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00" w:type="dxa"/>
            <w:vAlign w:val="bottom"/>
          </w:tcPr>
          <w:p>
            <w:pPr>
              <w:spacing w:after="0"/>
              <w:rPr>
                <w:sz w:val="24"/>
                <w:szCs w:val="24"/>
                <w:color w:val="auto"/>
              </w:rPr>
            </w:pPr>
          </w:p>
        </w:tc>
        <w:tc>
          <w:tcPr>
            <w:tcW w:w="61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Form of Investor Rights Agreement between Power Solutions International, Inc. and</w:t>
              </w:r>
            </w:hyperlink>
          </w:p>
        </w:tc>
        <w:tc>
          <w:tcPr>
            <w:tcW w:w="5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gridSpan w:val="36"/>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Weichai America Corp.</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300" w:type="dxa"/>
            <w:vAlign w:val="bottom"/>
          </w:tcPr>
          <w:p>
            <w:pPr>
              <w:spacing w:after="0"/>
              <w:rPr>
                <w:sz w:val="24"/>
                <w:szCs w:val="24"/>
                <w:color w:val="auto"/>
              </w:rPr>
            </w:pPr>
          </w:p>
        </w:tc>
        <w:tc>
          <w:tcPr>
            <w:tcW w:w="6600" w:type="dxa"/>
            <w:vAlign w:val="bottom"/>
            <w:gridSpan w:val="36"/>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Shareholders Agreement by and among Power Solutions International, Inc., Weichai</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America Corp. and the Founding Stockholders, dated as of March 20, 2017.</w:t>
              </w:r>
            </w:hyperlink>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10.14†††</w:t>
            </w:r>
          </w:p>
        </w:tc>
        <w:tc>
          <w:tcPr>
            <w:tcW w:w="300" w:type="dxa"/>
            <w:vAlign w:val="bottom"/>
          </w:tcPr>
          <w:p>
            <w:pPr>
              <w:spacing w:after="0"/>
              <w:rPr>
                <w:sz w:val="24"/>
                <w:szCs w:val="24"/>
                <w:color w:val="auto"/>
              </w:rPr>
            </w:pPr>
          </w:p>
        </w:tc>
        <w:tc>
          <w:tcPr>
            <w:tcW w:w="64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Strategic Collaboration Agreement between Weichai Power Co. Ltd. and Power Solutions</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International, Inc., dated March 20, 2017.</w:t>
              </w:r>
            </w:hyperlink>
          </w:p>
        </w:tc>
        <w:tc>
          <w:tcPr>
            <w:tcW w:w="36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00" w:type="dxa"/>
            <w:vAlign w:val="bottom"/>
          </w:tcPr>
          <w:p>
            <w:pPr>
              <w:spacing w:after="0"/>
              <w:rPr>
                <w:sz w:val="24"/>
                <w:szCs w:val="24"/>
                <w:color w:val="auto"/>
              </w:rPr>
            </w:pPr>
          </w:p>
        </w:tc>
        <w:tc>
          <w:tcPr>
            <w:tcW w:w="62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Securities Exchange Agreement, dated as of November 30, 2017, by and among Power</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gridSpan w:val="36"/>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Solutions International, Inc., and Weichai America Corp.</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00" w:type="dxa"/>
            <w:vAlign w:val="bottom"/>
          </w:tcPr>
          <w:p>
            <w:pPr>
              <w:spacing w:after="0"/>
              <w:rPr>
                <w:sz w:val="24"/>
                <w:szCs w:val="24"/>
                <w:color w:val="auto"/>
              </w:rPr>
            </w:pPr>
          </w:p>
        </w:tc>
        <w:tc>
          <w:tcPr>
            <w:tcW w:w="6600" w:type="dxa"/>
            <w:vAlign w:val="bottom"/>
            <w:gridSpan w:val="36"/>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Amendment to the Power Solutions International, Inc. 2012 Incentive Compensation Plan</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(As Amended July 31, 2013).</w:t>
              </w:r>
            </w:hyperlink>
          </w:p>
        </w:tc>
        <w:tc>
          <w:tcPr>
            <w:tcW w:w="4320" w:type="dxa"/>
            <w:vAlign w:val="bottom"/>
            <w:tcBorders>
              <w:top w:val="single" w:sz="8" w:color="0000EE"/>
            </w:tcBorders>
            <w:gridSpan w:val="26"/>
          </w:tcPr>
          <w:p>
            <w:pPr>
              <w:spacing w:after="0"/>
              <w:rPr>
                <w:sz w:val="17"/>
                <w:szCs w:val="17"/>
                <w:color w:val="auto"/>
              </w:rPr>
            </w:pPr>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30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Addendum #10, dated as of September 16, 2019, to Supply Agreement, dated as of</w:t>
              </w:r>
            </w:hyperlink>
          </w:p>
        </w:tc>
        <w:tc>
          <w:tcPr>
            <w:tcW w:w="6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gridSpan w:val="36"/>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December 11, 2007, by and between Power Solutions International, Inc. and Doosan</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Infracore Co., Ltd., as amended.</w:t>
              </w:r>
            </w:hyperlink>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300" w:type="dxa"/>
            <w:vAlign w:val="bottom"/>
          </w:tcPr>
          <w:p>
            <w:pPr>
              <w:spacing w:after="0"/>
              <w:rPr>
                <w:sz w:val="24"/>
                <w:szCs w:val="24"/>
                <w:color w:val="auto"/>
              </w:rPr>
            </w:pPr>
          </w:p>
        </w:tc>
        <w:tc>
          <w:tcPr>
            <w:tcW w:w="6600" w:type="dxa"/>
            <w:vAlign w:val="bottom"/>
            <w:gridSpan w:val="36"/>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First Amendment to Strategic Collaboration Agreement, dated as of March 26, 2020, by</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3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and between the Company and Weichai Power.</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tcBorders>
              <w:right w:val="single" w:sz="8" w:color="0000EE"/>
            </w:tcBorders>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300" w:type="dxa"/>
            <w:vAlign w:val="bottom"/>
          </w:tcPr>
          <w:p>
            <w:pPr>
              <w:spacing w:after="0"/>
              <w:rPr>
                <w:sz w:val="24"/>
                <w:szCs w:val="24"/>
                <w:color w:val="auto"/>
              </w:rPr>
            </w:pPr>
          </w:p>
        </w:tc>
        <w:tc>
          <w:tcPr>
            <w:tcW w:w="6600" w:type="dxa"/>
            <w:vAlign w:val="bottom"/>
            <w:gridSpan w:val="36"/>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Credit Agreement, dated as of March 27, 2020, between the Company and Standard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Chartered Bank, as administrative agent.</w:t>
              </w:r>
            </w:hyperlink>
          </w:p>
        </w:tc>
        <w:tc>
          <w:tcPr>
            <w:tcW w:w="5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300" w:type="dxa"/>
            <w:vAlign w:val="bottom"/>
          </w:tcPr>
          <w:p>
            <w:pPr>
              <w:spacing w:after="0"/>
              <w:rPr>
                <w:sz w:val="24"/>
                <w:szCs w:val="24"/>
                <w:color w:val="auto"/>
              </w:rPr>
            </w:pPr>
          </w:p>
        </w:tc>
        <w:tc>
          <w:tcPr>
            <w:tcW w:w="292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Confidential Consulting Agreement</w:t>
              </w:r>
            </w:hyperlink>
          </w:p>
        </w:tc>
        <w:tc>
          <w:tcPr>
            <w:tcW w:w="3680" w:type="dxa"/>
            <w:vAlign w:val="bottom"/>
            <w:gridSpan w:val="2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tcBorders>
              <w:right w:val="single" w:sz="8" w:color="0000EE"/>
            </w:tcBorders>
            <w:gridSpan w:val="6"/>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300" w:type="dxa"/>
            <w:vAlign w:val="bottom"/>
          </w:tcPr>
          <w:p>
            <w:pPr>
              <w:spacing w:after="0"/>
              <w:rPr>
                <w:sz w:val="24"/>
                <w:szCs w:val="24"/>
                <w:color w:val="auto"/>
              </w:rPr>
            </w:pPr>
          </w:p>
        </w:tc>
        <w:tc>
          <w:tcPr>
            <w:tcW w:w="6600" w:type="dxa"/>
            <w:vAlign w:val="bottom"/>
            <w:gridSpan w:val="36"/>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First Amendment to Credit Agreement and Limited Waiver, dated as of December 28,</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tcBorders>
              <w:right w:val="single" w:sz="8" w:color="0000EE"/>
            </w:tcBorders>
            <w:gridSpan w:val="6"/>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gridSpan w:val="36"/>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2020, among the Company , certain subsidiaries of the Company party thereto, the lenders</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party thereto and Standard Chartered Bank, as administrative agent.</w:t>
              </w:r>
            </w:hyperlink>
          </w:p>
        </w:tc>
        <w:tc>
          <w:tcPr>
            <w:tcW w:w="1620" w:type="dxa"/>
            <w:vAlign w:val="bottom"/>
            <w:tcBorders>
              <w:top w:val="single" w:sz="8" w:color="0000EE"/>
            </w:tcBorders>
            <w:gridSpan w:val="18"/>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300" w:type="dxa"/>
            <w:vAlign w:val="bottom"/>
          </w:tcPr>
          <w:p>
            <w:pPr>
              <w:spacing w:after="0"/>
              <w:rPr>
                <w:sz w:val="24"/>
                <w:szCs w:val="24"/>
                <w:color w:val="auto"/>
              </w:rPr>
            </w:pPr>
          </w:p>
        </w:tc>
        <w:tc>
          <w:tcPr>
            <w:tcW w:w="6600" w:type="dxa"/>
            <w:vAlign w:val="bottom"/>
            <w:gridSpan w:val="36"/>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Shareholder’s Loan Agreement, dated as of December 28, 2020, between the Company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580" w:type="dxa"/>
            <w:vAlign w:val="bottom"/>
            <w:tcBorders>
              <w:top w:val="single" w:sz="8" w:color="0000EE"/>
            </w:tcBorders>
            <w:gridSpan w:val="35"/>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Weichai America Corp.</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300" w:type="dxa"/>
            <w:vAlign w:val="bottom"/>
          </w:tcPr>
          <w:p>
            <w:pPr>
              <w:spacing w:after="0"/>
              <w:rPr>
                <w:sz w:val="24"/>
                <w:szCs w:val="24"/>
                <w:color w:val="auto"/>
              </w:rPr>
            </w:pPr>
          </w:p>
        </w:tc>
        <w:tc>
          <w:tcPr>
            <w:tcW w:w="6600" w:type="dxa"/>
            <w:vAlign w:val="bottom"/>
            <w:gridSpan w:val="36"/>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Shareholder’s Loan Agreement, dated as of December 10, 2021, between the Company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580" w:type="dxa"/>
            <w:vAlign w:val="bottom"/>
            <w:tcBorders>
              <w:top w:val="single" w:sz="8" w:color="0000EE"/>
            </w:tcBorders>
            <w:gridSpan w:val="35"/>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Weichai America Corp.</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300" w:type="dxa"/>
            <w:vAlign w:val="bottom"/>
          </w:tcPr>
          <w:p>
            <w:pPr>
              <w:spacing w:after="0"/>
              <w:rPr>
                <w:sz w:val="24"/>
                <w:szCs w:val="24"/>
                <w:color w:val="auto"/>
              </w:rPr>
            </w:pPr>
          </w:p>
        </w:tc>
        <w:tc>
          <w:tcPr>
            <w:tcW w:w="6600" w:type="dxa"/>
            <w:vAlign w:val="bottom"/>
            <w:gridSpan w:val="36"/>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Second Amended and Restated Uncommitted Revolving Credit Agreement, dated as of</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tcBorders>
              <w:right w:val="single" w:sz="8" w:color="0000EE"/>
            </w:tcBorders>
            <w:gridSpan w:val="6"/>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500" w:type="dxa"/>
            <w:vAlign w:val="bottom"/>
            <w:gridSpan w:val="8"/>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gridSpan w:val="36"/>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March 25, 2022, among the Company, certain subsidiaries of the Company party thereto,</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the lenders party thereto and Standard Chartered Bank, as administrative agent.</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tcBorders>
              <w:right w:val="single" w:sz="8" w:color="0000EE"/>
            </w:tcBorders>
            <w:gridSpan w:val="6"/>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300" w:type="dxa"/>
            <w:vAlign w:val="bottom"/>
          </w:tcPr>
          <w:p>
            <w:pPr>
              <w:spacing w:after="0"/>
              <w:rPr>
                <w:sz w:val="24"/>
                <w:szCs w:val="24"/>
                <w:color w:val="auto"/>
              </w:rPr>
            </w:pPr>
          </w:p>
        </w:tc>
        <w:tc>
          <w:tcPr>
            <w:tcW w:w="62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Second Amended and Restated Shareholder’s Loan Agreement, dated as of March 25,</w:t>
              </w:r>
            </w:hyperlink>
          </w:p>
        </w:tc>
        <w:tc>
          <w:tcPr>
            <w:tcW w:w="4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gridSpan w:val="36"/>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2022, between the Company and Weichai America Corp.</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tcBorders>
              <w:right w:val="single" w:sz="8" w:color="0000EE"/>
            </w:tcBorders>
            <w:gridSpan w:val="6"/>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40" w:type="dxa"/>
            <w:vAlign w:val="bottom"/>
            <w:gridSpan w:val="1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300" w:type="dxa"/>
            <w:vAlign w:val="bottom"/>
          </w:tcPr>
          <w:p>
            <w:pPr>
              <w:spacing w:after="0"/>
              <w:rPr>
                <w:sz w:val="24"/>
                <w:szCs w:val="24"/>
                <w:color w:val="auto"/>
              </w:rPr>
            </w:pPr>
          </w:p>
        </w:tc>
        <w:tc>
          <w:tcPr>
            <w:tcW w:w="6600" w:type="dxa"/>
            <w:vAlign w:val="bottom"/>
            <w:gridSpan w:val="36"/>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First Amended and Restated Shareholder’s Loan Agreement, dated as of March 25, 2022,</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between the Company and Weichai America Corp.</w:t>
              </w:r>
            </w:hyperlink>
          </w:p>
        </w:tc>
        <w:tc>
          <w:tcPr>
            <w:tcW w:w="2780" w:type="dxa"/>
            <w:vAlign w:val="bottom"/>
            <w:tcBorders>
              <w:top w:val="single" w:sz="8" w:color="0000EE"/>
            </w:tcBorders>
            <w:gridSpan w:val="17"/>
          </w:tcPr>
          <w:p>
            <w:pPr>
              <w:spacing w:after="0"/>
              <w:rPr>
                <w:sz w:val="17"/>
                <w:szCs w:val="17"/>
                <w:color w:val="auto"/>
              </w:rPr>
            </w:pPr>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300" w:type="dxa"/>
            <w:vAlign w:val="bottom"/>
          </w:tcPr>
          <w:p>
            <w:pPr>
              <w:spacing w:after="0"/>
              <w:rPr>
                <w:sz w:val="24"/>
                <w:szCs w:val="24"/>
                <w:color w:val="auto"/>
              </w:rPr>
            </w:pPr>
          </w:p>
        </w:tc>
        <w:tc>
          <w:tcPr>
            <w:tcW w:w="6600" w:type="dxa"/>
            <w:vAlign w:val="bottom"/>
            <w:gridSpan w:val="36"/>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Employment Agreement, dated March 15, 2021, by and between Constantine Xykis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3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Power Solutions International, Inc.</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68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2560" w:type="dxa"/>
            <w:vAlign w:val="bottom"/>
            <w:tcBorders>
              <w:top w:val="single" w:sz="8" w:color="0000EE"/>
            </w:tcBorders>
            <w:gridSpan w:val="5"/>
          </w:tcPr>
          <w:p>
            <w:pPr>
              <w:spacing w:after="0"/>
              <w:rPr>
                <w:sz w:val="24"/>
                <w:szCs w:val="24"/>
                <w:color w:val="auto"/>
              </w:rPr>
            </w:pPr>
          </w:p>
        </w:tc>
        <w:tc>
          <w:tcPr>
            <w:tcW w:w="2300" w:type="dxa"/>
            <w:vAlign w:val="bottom"/>
            <w:gridSpan w:val="8"/>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7620</wp:posOffset>
            </wp:positionV>
            <wp:extent cx="20745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6" w:lineRule="exact"/>
        <w:rPr>
          <w:sz w:val="20"/>
          <w:szCs w:val="20"/>
          <w:color w:val="auto"/>
        </w:rPr>
      </w:pPr>
    </w:p>
    <w:p>
      <w:pPr>
        <w:ind w:left="80"/>
        <w:spacing w:after="0"/>
        <w:tabs>
          <w:tab w:leader="none" w:pos="700" w:val="left"/>
          <w:tab w:leader="none" w:pos="1420" w:val="left"/>
          <w:tab w:leader="none" w:pos="254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7620</wp:posOffset>
            </wp:positionV>
            <wp:extent cx="20745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1">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10.2</w:t>
        <w:tab/>
        <w:t>07/18/2018</w:t>
      </w:r>
      <w:r>
        <w:rPr>
          <w:sz w:val="20"/>
          <w:szCs w:val="20"/>
          <w:color w:val="auto"/>
        </w:rPr>
        <w:tab/>
      </w:r>
      <w:r>
        <w:rPr>
          <w:rFonts w:ascii="Times New Roman" w:cs="Times New Roman" w:eastAsia="Times New Roman" w:hAnsi="Times New Roman"/>
          <w:sz w:val="17"/>
          <w:szCs w:val="17"/>
          <w:color w:val="auto"/>
        </w:rPr>
        <w:t>001-35944</w:t>
      </w:r>
    </w:p>
    <w:p>
      <w:pPr>
        <w:spacing w:after="0" w:line="200" w:lineRule="exact"/>
        <w:rPr>
          <w:sz w:val="20"/>
          <w:szCs w:val="20"/>
          <w:color w:val="auto"/>
        </w:rPr>
      </w:pPr>
    </w:p>
    <w:p>
      <w:pPr>
        <w:spacing w:after="0" w:line="349"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08/06/2014</w:t>
      </w:r>
      <w:r>
        <w:rPr>
          <w:sz w:val="20"/>
          <w:szCs w:val="20"/>
          <w:color w:val="auto"/>
        </w:rPr>
        <w:tab/>
      </w:r>
      <w:r>
        <w:rPr>
          <w:rFonts w:ascii="Times New Roman" w:cs="Times New Roman" w:eastAsia="Times New Roman" w:hAnsi="Times New Roman"/>
          <w:sz w:val="17"/>
          <w:szCs w:val="17"/>
          <w:color w:val="auto"/>
        </w:rPr>
        <w:t>001-35944</w:t>
      </w:r>
    </w:p>
    <w:p>
      <w:pPr>
        <w:spacing w:after="0" w:line="200" w:lineRule="exact"/>
        <w:rPr>
          <w:sz w:val="20"/>
          <w:szCs w:val="20"/>
          <w:color w:val="auto"/>
        </w:rPr>
      </w:pPr>
    </w:p>
    <w:p>
      <w:pPr>
        <w:spacing w:after="0" w:line="349"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05/06/2015</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10.3</w:t>
        <w:tab/>
        <w:t>03/27/2017</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10.4</w:t>
        <w:tab/>
        <w:t>03/27/2017</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10.5</w:t>
        <w:tab/>
        <w:t>03/27/2017</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12/05/2017</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180"/>
        <w:spacing w:after="0"/>
        <w:tabs>
          <w:tab w:leader="none" w:pos="76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10-K</w:t>
        <w:tab/>
        <w:t>10.40</w:t>
        <w:tab/>
        <w:t>05/16/2019</w:t>
      </w:r>
      <w:r>
        <w:rPr>
          <w:sz w:val="20"/>
          <w:szCs w:val="20"/>
          <w:color w:val="auto"/>
        </w:rPr>
        <w:tab/>
      </w:r>
      <w:r>
        <w:rPr>
          <w:rFonts w:ascii="Times New Roman" w:cs="Times New Roman" w:eastAsia="Times New Roman" w:hAnsi="Times New Roman"/>
          <w:sz w:val="17"/>
          <w:szCs w:val="17"/>
          <w:color w:val="auto"/>
        </w:rPr>
        <w:t>001-35944</w:t>
      </w:r>
    </w:p>
    <w:p>
      <w:pPr>
        <w:spacing w:after="0" w:line="200" w:lineRule="exact"/>
        <w:rPr>
          <w:sz w:val="20"/>
          <w:szCs w:val="20"/>
          <w:color w:val="auto"/>
        </w:rPr>
      </w:pPr>
    </w:p>
    <w:p>
      <w:pPr>
        <w:spacing w:after="0" w:line="349"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10/02/2019</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04/01/2020</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04/06/2020</w:t>
      </w:r>
      <w:r>
        <w:rPr>
          <w:sz w:val="20"/>
          <w:szCs w:val="20"/>
          <w:color w:val="auto"/>
        </w:rPr>
        <w:tab/>
      </w:r>
      <w:r>
        <w:rPr>
          <w:rFonts w:ascii="Times New Roman" w:cs="Times New Roman" w:eastAsia="Times New Roman" w:hAnsi="Times New Roman"/>
          <w:sz w:val="17"/>
          <w:szCs w:val="17"/>
          <w:color w:val="auto"/>
        </w:rPr>
        <w:t>001-35944</w:t>
      </w:r>
    </w:p>
    <w:p>
      <w:pPr>
        <w:spacing w:after="0" w:line="117" w:lineRule="exact"/>
        <w:rPr>
          <w:sz w:val="20"/>
          <w:szCs w:val="20"/>
          <w:color w:val="auto"/>
        </w:rPr>
      </w:pPr>
    </w:p>
    <w:p>
      <w:pPr>
        <w:ind w:left="1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10.1</w:t>
        <w:tab/>
        <w:t>05/04/2019</w:t>
      </w:r>
      <w:r>
        <w:rPr>
          <w:sz w:val="20"/>
          <w:szCs w:val="20"/>
          <w:color w:val="auto"/>
        </w:rPr>
        <w:tab/>
      </w:r>
      <w:r>
        <w:rPr>
          <w:rFonts w:ascii="Times New Roman" w:cs="Times New Roman" w:eastAsia="Times New Roman" w:hAnsi="Times New Roman"/>
          <w:sz w:val="17"/>
          <w:szCs w:val="17"/>
          <w:color w:val="auto"/>
        </w:rPr>
        <w:t>001-35944</w:t>
      </w:r>
    </w:p>
    <w:p>
      <w:pPr>
        <w:spacing w:after="0" w:line="200" w:lineRule="exact"/>
        <w:rPr>
          <w:sz w:val="20"/>
          <w:szCs w:val="20"/>
          <w:color w:val="auto"/>
        </w:rPr>
      </w:pPr>
    </w:p>
    <w:p>
      <w:pPr>
        <w:spacing w:after="0" w:line="349"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12/31/2020</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10.2</w:t>
        <w:tab/>
        <w:t>12/31/2020</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12/16/2021</w:t>
      </w:r>
      <w:r>
        <w:rPr>
          <w:sz w:val="20"/>
          <w:szCs w:val="20"/>
          <w:color w:val="auto"/>
        </w:rPr>
        <w:tab/>
      </w:r>
      <w:r>
        <w:rPr>
          <w:rFonts w:ascii="Times New Roman" w:cs="Times New Roman" w:eastAsia="Times New Roman" w:hAnsi="Times New Roman"/>
          <w:sz w:val="17"/>
          <w:szCs w:val="17"/>
          <w:color w:val="auto"/>
        </w:rPr>
        <w:t>001-35944</w:t>
      </w:r>
    </w:p>
    <w:p>
      <w:pPr>
        <w:spacing w:after="0" w:line="200" w:lineRule="exact"/>
        <w:rPr>
          <w:sz w:val="20"/>
          <w:szCs w:val="20"/>
          <w:color w:val="auto"/>
        </w:rPr>
      </w:pPr>
    </w:p>
    <w:p>
      <w:pPr>
        <w:spacing w:after="0" w:line="349"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03/28/2022</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10.2</w:t>
        <w:tab/>
        <w:t>03/28/2022</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280"/>
        <w:spacing w:after="0"/>
        <w:tabs>
          <w:tab w:leader="none" w:pos="84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10.3</w:t>
        <w:tab/>
        <w:t>03/28/2022</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spacing w:after="0"/>
        <w:tabs>
          <w:tab w:leader="none" w:pos="760" w:val="left"/>
          <w:tab w:leader="none" w:pos="1380" w:val="left"/>
          <w:tab w:leader="none" w:pos="2420" w:val="left"/>
        </w:tabs>
        <w:rPr>
          <w:sz w:val="20"/>
          <w:szCs w:val="20"/>
          <w:color w:val="auto"/>
        </w:rPr>
      </w:pPr>
      <w:r>
        <w:rPr>
          <w:rFonts w:ascii="Times New Roman" w:cs="Times New Roman" w:eastAsia="Times New Roman" w:hAnsi="Times New Roman"/>
          <w:sz w:val="18"/>
          <w:szCs w:val="18"/>
          <w:color w:val="auto"/>
        </w:rPr>
        <w:t>10-K/A</w:t>
        <w:tab/>
        <w:t>10.32</w:t>
        <w:tab/>
        <w:t>05/02/2022</w:t>
      </w:r>
      <w:r>
        <w:rPr>
          <w:sz w:val="20"/>
          <w:szCs w:val="20"/>
          <w:color w:val="auto"/>
        </w:rPr>
        <w:tab/>
      </w:r>
      <w:r>
        <w:rPr>
          <w:rFonts w:ascii="Times New Roman" w:cs="Times New Roman" w:eastAsia="Times New Roman" w:hAnsi="Times New Roman"/>
          <w:sz w:val="17"/>
          <w:szCs w:val="17"/>
          <w:color w:val="auto"/>
        </w:rPr>
        <w:t>001-35944</w:t>
      </w:r>
    </w:p>
    <w:p>
      <w:pPr>
        <w:sectPr>
          <w:pgSz w:w="11900" w:h="16838" w:orient="portrait"/>
          <w:cols w:equalWidth="0" w:num="2">
            <w:col w:w="7700" w:space="160"/>
            <w:col w:w="3220"/>
          </w:cols>
          <w:pgMar w:left="320" w:top="482"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60" w:type="dxa"/>
            <w:vAlign w:val="bottom"/>
            <w:gridSpan w:val="2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No.</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60" w:type="dxa"/>
            <w:vAlign w:val="bottom"/>
            <w:tcBorders>
              <w:bottom w:val="single" w:sz="8" w:color="auto"/>
            </w:tcBorders>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320" w:type="dxa"/>
            <w:vAlign w:val="bottom"/>
          </w:tcPr>
          <w:p>
            <w:pPr>
              <w:spacing w:after="0"/>
              <w:rPr>
                <w:sz w:val="22"/>
                <w:szCs w:val="22"/>
                <w:color w:val="auto"/>
              </w:rPr>
            </w:pPr>
          </w:p>
        </w:tc>
        <w:tc>
          <w:tcPr>
            <w:tcW w:w="6760" w:type="dxa"/>
            <w:vAlign w:val="bottom"/>
            <w:gridSpan w:val="28"/>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Shareholder’s Loan Agreement, dated April 20, 2022, by and between the Company and</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73">
              <w:r>
                <w:rPr>
                  <w:rFonts w:ascii="Times New Roman" w:cs="Times New Roman" w:eastAsia="Times New Roman" w:hAnsi="Times New Roman"/>
                  <w:sz w:val="18"/>
                  <w:szCs w:val="18"/>
                  <w:color w:val="0000EE"/>
                  <w:w w:val="97"/>
                </w:rPr>
                <w:t>Weichai America Corp.</w:t>
              </w:r>
            </w:hyperlink>
          </w:p>
        </w:tc>
        <w:tc>
          <w:tcPr>
            <w:tcW w:w="4660" w:type="dxa"/>
            <w:vAlign w:val="bottom"/>
            <w:tcBorders>
              <w:top w:val="single" w:sz="8" w:color="0000EE"/>
            </w:tcBorders>
            <w:gridSpan w:val="8"/>
          </w:tcPr>
          <w:p>
            <w:pPr>
              <w:spacing w:after="0"/>
              <w:rPr>
                <w:sz w:val="17"/>
                <w:szCs w:val="17"/>
                <w:color w:val="auto"/>
              </w:rPr>
            </w:pPr>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5"/>
              </w:rPr>
              <w:t>10.29††</w:t>
            </w:r>
          </w:p>
        </w:tc>
        <w:tc>
          <w:tcPr>
            <w:tcW w:w="320" w:type="dxa"/>
            <w:vAlign w:val="bottom"/>
          </w:tcPr>
          <w:p>
            <w:pPr>
              <w:spacing w:after="0"/>
              <w:rPr>
                <w:sz w:val="17"/>
                <w:szCs w:val="17"/>
                <w:color w:val="auto"/>
              </w:rPr>
            </w:pPr>
          </w:p>
        </w:tc>
        <w:tc>
          <w:tcPr>
            <w:tcW w:w="6760" w:type="dxa"/>
            <w:vAlign w:val="bottom"/>
            <w:gridSpan w:val="28"/>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Interim CEO Letter Agreement, dated June 15, 2022, by and between the Company and Dino</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74">
              <w:r>
                <w:rPr>
                  <w:rFonts w:ascii="Times New Roman" w:cs="Times New Roman" w:eastAsia="Times New Roman" w:hAnsi="Times New Roman"/>
                  <w:sz w:val="18"/>
                  <w:szCs w:val="18"/>
                  <w:color w:val="0000EE"/>
                  <w:w w:val="97"/>
                </w:rPr>
                <w:t>Xykis</w:t>
              </w:r>
            </w:hyperlink>
          </w:p>
        </w:tc>
        <w:tc>
          <w:tcPr>
            <w:tcW w:w="6280" w:type="dxa"/>
            <w:vAlign w:val="bottom"/>
            <w:tcBorders>
              <w:top w:val="single" w:sz="8" w:color="0000EE"/>
            </w:tcBorders>
            <w:gridSpan w:val="2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10.30††</w:t>
            </w:r>
          </w:p>
        </w:tc>
        <w:tc>
          <w:tcPr>
            <w:tcW w:w="320" w:type="dxa"/>
            <w:vAlign w:val="bottom"/>
          </w:tcPr>
          <w:p>
            <w:pPr>
              <w:spacing w:after="0"/>
              <w:rPr>
                <w:sz w:val="24"/>
                <w:szCs w:val="24"/>
                <w:color w:val="auto"/>
              </w:rPr>
            </w:pPr>
          </w:p>
        </w:tc>
        <w:tc>
          <w:tcPr>
            <w:tcW w:w="66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Separation Agreement and Release, dated June 26, 2022, by and between the Company and</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60" w:type="dxa"/>
            <w:vAlign w:val="bottom"/>
            <w:gridSpan w:val="28"/>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Lance Arnett</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320" w:type="dxa"/>
            <w:vAlign w:val="bottom"/>
          </w:tcPr>
          <w:p>
            <w:pPr>
              <w:spacing w:after="0"/>
              <w:rPr>
                <w:sz w:val="24"/>
                <w:szCs w:val="24"/>
                <w:color w:val="auto"/>
              </w:rPr>
            </w:pPr>
          </w:p>
        </w:tc>
        <w:tc>
          <w:tcPr>
            <w:tcW w:w="6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Addendum #11, dated as of July 1, 2022, to Supply Agreement, dated as of December 11,</w:t>
              </w:r>
            </w:hyperlink>
          </w:p>
        </w:tc>
        <w:tc>
          <w:tcPr>
            <w:tcW w:w="3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2007, by and between Power Solutions International, Inc. and Doosan Infracore Co., Ltd., as</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76">
              <w:r>
                <w:rPr>
                  <w:rFonts w:ascii="Times New Roman" w:cs="Times New Roman" w:eastAsia="Times New Roman" w:hAnsi="Times New Roman"/>
                  <w:sz w:val="18"/>
                  <w:szCs w:val="18"/>
                  <w:color w:val="0000EE"/>
                  <w:w w:val="97"/>
                </w:rPr>
                <w:t>amended.</w:t>
              </w:r>
            </w:hyperlink>
          </w:p>
        </w:tc>
        <w:tc>
          <w:tcPr>
            <w:tcW w:w="60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10.32††</w:t>
            </w:r>
          </w:p>
        </w:tc>
        <w:tc>
          <w:tcPr>
            <w:tcW w:w="320" w:type="dxa"/>
            <w:vAlign w:val="bottom"/>
          </w:tcPr>
          <w:p>
            <w:pPr>
              <w:spacing w:after="0"/>
              <w:rPr>
                <w:sz w:val="24"/>
                <w:szCs w:val="24"/>
                <w:color w:val="auto"/>
              </w:rPr>
            </w:pPr>
          </w:p>
        </w:tc>
        <w:tc>
          <w:tcPr>
            <w:tcW w:w="67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Employment Agreement, dated August 29, 2022, by and between the Company and Kenneth</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60" w:type="dxa"/>
            <w:vAlign w:val="bottom"/>
            <w:gridSpan w:val="28"/>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Li</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320" w:type="dxa"/>
            <w:vAlign w:val="bottom"/>
          </w:tcPr>
          <w:p>
            <w:pPr>
              <w:spacing w:after="0"/>
              <w:rPr>
                <w:sz w:val="24"/>
                <w:szCs w:val="24"/>
                <w:color w:val="auto"/>
              </w:rPr>
            </w:pPr>
          </w:p>
        </w:tc>
        <w:tc>
          <w:tcPr>
            <w:tcW w:w="65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First Amended and Restated Shareholder’s Loan Agreement, dated November 29, 2022, by</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60" w:type="dxa"/>
            <w:vAlign w:val="bottom"/>
            <w:gridSpan w:val="28"/>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and between the Company and Weichai America Corp.</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80" w:type="dxa"/>
            <w:vAlign w:val="bottom"/>
            <w:gridSpan w:val="7"/>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320" w:type="dxa"/>
            <w:vAlign w:val="bottom"/>
          </w:tcPr>
          <w:p>
            <w:pPr>
              <w:spacing w:after="0"/>
              <w:rPr>
                <w:sz w:val="24"/>
                <w:szCs w:val="24"/>
                <w:color w:val="auto"/>
              </w:rPr>
            </w:pPr>
          </w:p>
        </w:tc>
        <w:tc>
          <w:tcPr>
            <w:tcW w:w="65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Second Amendment to Strategic Collaboration Agreement, dated as of March 22, 2023, by</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60" w:type="dxa"/>
            <w:vAlign w:val="bottom"/>
            <w:gridSpan w:val="28"/>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and between the Company and Weichai Power.</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80" w:type="dxa"/>
            <w:vAlign w:val="bottom"/>
            <w:gridSpan w:val="7"/>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10.35††</w:t>
            </w:r>
          </w:p>
        </w:tc>
        <w:tc>
          <w:tcPr>
            <w:tcW w:w="320" w:type="dxa"/>
            <w:vAlign w:val="bottom"/>
          </w:tcPr>
          <w:p>
            <w:pPr>
              <w:spacing w:after="0"/>
              <w:rPr>
                <w:sz w:val="24"/>
                <w:szCs w:val="24"/>
                <w:color w:val="auto"/>
              </w:rPr>
            </w:pPr>
          </w:p>
        </w:tc>
        <w:tc>
          <w:tcPr>
            <w:tcW w:w="66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Employment Agreement, dated as of April 24, 2023, between the Company and Constantine</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Xykis</w:t>
              </w:r>
            </w:hyperlink>
          </w:p>
        </w:tc>
        <w:tc>
          <w:tcPr>
            <w:tcW w:w="63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10.36††</w:t>
            </w:r>
          </w:p>
        </w:tc>
        <w:tc>
          <w:tcPr>
            <w:tcW w:w="320" w:type="dxa"/>
            <w:vAlign w:val="bottom"/>
          </w:tcPr>
          <w:p>
            <w:pPr>
              <w:spacing w:after="0"/>
              <w:rPr>
                <w:sz w:val="24"/>
                <w:szCs w:val="24"/>
                <w:color w:val="auto"/>
              </w:rPr>
            </w:pPr>
          </w:p>
        </w:tc>
        <w:tc>
          <w:tcPr>
            <w:tcW w:w="29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80">
              <w:r>
                <w:rPr>
                  <w:rFonts w:ascii="Times New Roman" w:cs="Times New Roman" w:eastAsia="Times New Roman" w:hAnsi="Times New Roman"/>
                  <w:sz w:val="18"/>
                  <w:szCs w:val="18"/>
                  <w:color w:val="0000EE"/>
                  <w:w w:val="98"/>
                </w:rPr>
                <w:t>Description of Long-Term Incentive Plan</w:t>
              </w:r>
            </w:hyperlink>
          </w:p>
        </w:tc>
        <w:tc>
          <w:tcPr>
            <w:tcW w:w="37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320" w:type="dxa"/>
            <w:vAlign w:val="bottom"/>
          </w:tcPr>
          <w:p>
            <w:pPr>
              <w:spacing w:after="0"/>
              <w:rPr>
                <w:sz w:val="24"/>
                <w:szCs w:val="24"/>
                <w:color w:val="auto"/>
              </w:rPr>
            </w:pPr>
          </w:p>
        </w:tc>
        <w:tc>
          <w:tcPr>
            <w:tcW w:w="6760" w:type="dxa"/>
            <w:vAlign w:val="bottom"/>
            <w:gridSpan w:val="28"/>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Third Amended and Restated Uncommitted Revolving Credit Agreement, dated as of March</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24, 2023, among the Company , certain subsidiaries of the Company party thereto, the</w:t>
              </w:r>
            </w:hyperlink>
          </w:p>
        </w:tc>
        <w:tc>
          <w:tcPr>
            <w:tcW w:w="440" w:type="dxa"/>
            <w:vAlign w:val="bottom"/>
            <w:tcBorders>
              <w:top w:val="single" w:sz="8" w:color="0000EE"/>
            </w:tcBorders>
            <w:gridSpan w:val="11"/>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60" w:type="dxa"/>
            <w:vAlign w:val="bottom"/>
            <w:gridSpan w:val="28"/>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lenders party thereto and Standard Chartered Bank, as administrative agent.</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60" w:type="dxa"/>
            <w:vAlign w:val="bottom"/>
            <w:gridSpan w:val="9"/>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320" w:type="dxa"/>
            <w:vAlign w:val="bottom"/>
          </w:tcPr>
          <w:p>
            <w:pPr>
              <w:spacing w:after="0"/>
              <w:rPr>
                <w:sz w:val="24"/>
                <w:szCs w:val="24"/>
                <w:color w:val="auto"/>
              </w:rPr>
            </w:pPr>
          </w:p>
        </w:tc>
        <w:tc>
          <w:tcPr>
            <w:tcW w:w="65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Third Amended and Restated Shareholder’s Loan Agreement, dated as of March 24, 2023,</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between the Company and Weichai America Corp.</w:t>
              </w:r>
            </w:hyperlink>
          </w:p>
        </w:tc>
        <w:tc>
          <w:tcPr>
            <w:tcW w:w="31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320" w:type="dxa"/>
            <w:vAlign w:val="bottom"/>
          </w:tcPr>
          <w:p>
            <w:pPr>
              <w:spacing w:after="0"/>
              <w:rPr>
                <w:sz w:val="24"/>
                <w:szCs w:val="24"/>
                <w:color w:val="auto"/>
              </w:rPr>
            </w:pPr>
          </w:p>
        </w:tc>
        <w:tc>
          <w:tcPr>
            <w:tcW w:w="6760" w:type="dxa"/>
            <w:vAlign w:val="bottom"/>
            <w:gridSpan w:val="28"/>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First Amended and Restated Shareholder’s Loan Agreement, dated as of March 24, 2023,</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between the Company and Weichai America Corp.</w:t>
              </w:r>
            </w:hyperlink>
          </w:p>
        </w:tc>
        <w:tc>
          <w:tcPr>
            <w:tcW w:w="2780" w:type="dxa"/>
            <w:vAlign w:val="bottom"/>
            <w:tcBorders>
              <w:top w:val="single" w:sz="8" w:color="0000EE"/>
            </w:tcBorders>
            <w:gridSpan w:val="6"/>
          </w:tcPr>
          <w:p>
            <w:pPr>
              <w:spacing w:after="0"/>
              <w:rPr>
                <w:sz w:val="17"/>
                <w:szCs w:val="17"/>
                <w:color w:val="auto"/>
              </w:rPr>
            </w:pPr>
          </w:p>
        </w:tc>
        <w:tc>
          <w:tcPr>
            <w:tcW w:w="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320" w:type="dxa"/>
            <w:vAlign w:val="bottom"/>
          </w:tcPr>
          <w:p>
            <w:pPr>
              <w:spacing w:after="0"/>
              <w:rPr>
                <w:sz w:val="24"/>
                <w:szCs w:val="24"/>
                <w:color w:val="auto"/>
              </w:rPr>
            </w:pPr>
          </w:p>
        </w:tc>
        <w:tc>
          <w:tcPr>
            <w:tcW w:w="65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Second Amended and Restated Shareholder’s Loan Agreement, dated as of May 12, 2023,</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between the Company and Weichai America Corp.</w:t>
              </w:r>
            </w:hyperlink>
          </w:p>
        </w:tc>
        <w:tc>
          <w:tcPr>
            <w:tcW w:w="31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320" w:type="dxa"/>
            <w:vAlign w:val="bottom"/>
          </w:tcPr>
          <w:p>
            <w:pPr>
              <w:spacing w:after="0"/>
              <w:rPr>
                <w:sz w:val="24"/>
                <w:szCs w:val="24"/>
                <w:color w:val="auto"/>
              </w:rPr>
            </w:pPr>
          </w:p>
        </w:tc>
        <w:tc>
          <w:tcPr>
            <w:tcW w:w="65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Addendum # 12, dated as of June 8, 2023 to Supply Agreement, dated as of December 11,</w:t>
              </w:r>
            </w:hyperlink>
          </w:p>
        </w:tc>
        <w:tc>
          <w:tcPr>
            <w:tcW w:w="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2007, by and between Power Solutions International, Inc. and Doosan Infracore Co., Ltd., as</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85">
              <w:r>
                <w:rPr>
                  <w:rFonts w:ascii="Times New Roman" w:cs="Times New Roman" w:eastAsia="Times New Roman" w:hAnsi="Times New Roman"/>
                  <w:sz w:val="18"/>
                  <w:szCs w:val="18"/>
                  <w:color w:val="0000EE"/>
                  <w:w w:val="97"/>
                </w:rPr>
                <w:t>amended.</w:t>
              </w:r>
            </w:hyperlink>
          </w:p>
        </w:tc>
        <w:tc>
          <w:tcPr>
            <w:tcW w:w="60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320" w:type="dxa"/>
            <w:vAlign w:val="bottom"/>
          </w:tcPr>
          <w:p>
            <w:pPr>
              <w:spacing w:after="0"/>
              <w:rPr>
                <w:sz w:val="24"/>
                <w:szCs w:val="24"/>
                <w:color w:val="auto"/>
              </w:rPr>
            </w:pPr>
          </w:p>
        </w:tc>
        <w:tc>
          <w:tcPr>
            <w:tcW w:w="6760" w:type="dxa"/>
            <w:vAlign w:val="bottom"/>
            <w:gridSpan w:val="28"/>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Second Amended and Restated Shareholder’s Loan Agreement, dated as of November 29,</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2023, between the Company and Weichai America Corp.</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4080" w:type="dxa"/>
            <w:vAlign w:val="bottom"/>
            <w:tcBorders>
              <w:top w:val="single" w:sz="8" w:color="0000EE"/>
            </w:tcBorders>
            <w:gridSpan w:val="10"/>
          </w:tcPr>
          <w:p>
            <w:pPr>
              <w:spacing w:after="0"/>
              <w:rPr>
                <w:sz w:val="24"/>
                <w:szCs w:val="24"/>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7620</wp:posOffset>
            </wp:positionV>
            <wp:extent cx="20231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16" w:lineRule="exact"/>
        <w:rPr>
          <w:sz w:val="20"/>
          <w:szCs w:val="20"/>
          <w:color w:val="auto"/>
        </w:rPr>
      </w:pPr>
    </w:p>
    <w:p>
      <w:pPr>
        <w:ind w:left="20"/>
        <w:spacing w:after="0"/>
        <w:tabs>
          <w:tab w:leader="none" w:pos="600" w:val="left"/>
          <w:tab w:leader="none" w:pos="1320" w:val="left"/>
          <w:tab w:leader="none" w:pos="244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7620</wp:posOffset>
            </wp:positionV>
            <wp:extent cx="20231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8">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98" w:lineRule="exact"/>
        <w:rPr>
          <w:sz w:val="20"/>
          <w:szCs w:val="20"/>
          <w:color w:val="auto"/>
        </w:rPr>
      </w:pPr>
    </w:p>
    <w:p>
      <w:pPr>
        <w:ind w:left="180"/>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04/21/2022</w:t>
      </w:r>
      <w:r>
        <w:rPr>
          <w:sz w:val="20"/>
          <w:szCs w:val="20"/>
          <w:color w:val="auto"/>
        </w:rPr>
        <w:tab/>
      </w:r>
      <w:r>
        <w:rPr>
          <w:rFonts w:ascii="Times New Roman" w:cs="Times New Roman" w:eastAsia="Times New Roman" w:hAnsi="Times New Roman"/>
          <w:sz w:val="17"/>
          <w:szCs w:val="17"/>
          <w:color w:val="auto"/>
        </w:rPr>
        <w:t>001-35944</w:t>
      </w:r>
    </w:p>
    <w:p>
      <w:pPr>
        <w:spacing w:after="0" w:line="225" w:lineRule="exact"/>
        <w:rPr>
          <w:sz w:val="20"/>
          <w:szCs w:val="20"/>
          <w:color w:val="auto"/>
        </w:rPr>
      </w:pPr>
    </w:p>
    <w:p>
      <w:pPr>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8-K/A</w:t>
      </w:r>
      <w:r>
        <w:rPr>
          <w:sz w:val="20"/>
          <w:szCs w:val="20"/>
          <w:color w:val="auto"/>
        </w:rPr>
        <w:tab/>
      </w:r>
      <w:r>
        <w:rPr>
          <w:rFonts w:ascii="Times New Roman" w:cs="Times New Roman" w:eastAsia="Times New Roman" w:hAnsi="Times New Roman"/>
          <w:sz w:val="18"/>
          <w:szCs w:val="18"/>
          <w:color w:val="auto"/>
        </w:rPr>
        <w:t>10.1</w:t>
        <w:tab/>
        <w:t>06/21/2022</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180"/>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06/29/2022</w:t>
      </w:r>
      <w:r>
        <w:rPr>
          <w:sz w:val="20"/>
          <w:szCs w:val="20"/>
          <w:color w:val="auto"/>
        </w:rPr>
        <w:tab/>
      </w:r>
      <w:r>
        <w:rPr>
          <w:rFonts w:ascii="Times New Roman" w:cs="Times New Roman" w:eastAsia="Times New Roman" w:hAnsi="Times New Roman"/>
          <w:sz w:val="17"/>
          <w:szCs w:val="17"/>
          <w:color w:val="auto"/>
        </w:rPr>
        <w:t>001-35944</w:t>
      </w:r>
    </w:p>
    <w:p>
      <w:pPr>
        <w:spacing w:after="0" w:line="200" w:lineRule="exact"/>
        <w:rPr>
          <w:sz w:val="20"/>
          <w:szCs w:val="20"/>
          <w:color w:val="auto"/>
        </w:rPr>
      </w:pPr>
    </w:p>
    <w:p>
      <w:pPr>
        <w:spacing w:after="0" w:line="349" w:lineRule="exact"/>
        <w:rPr>
          <w:sz w:val="20"/>
          <w:szCs w:val="20"/>
          <w:color w:val="auto"/>
        </w:rPr>
      </w:pPr>
    </w:p>
    <w:p>
      <w:pPr>
        <w:ind w:left="180"/>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07/25/2022</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180"/>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08/29/2022</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180"/>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12/02/2022</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180"/>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03/27/2023</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180"/>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04/25/2023</w:t>
      </w:r>
      <w:r>
        <w:rPr>
          <w:sz w:val="20"/>
          <w:szCs w:val="20"/>
          <w:color w:val="auto"/>
        </w:rPr>
        <w:tab/>
      </w:r>
      <w:r>
        <w:rPr>
          <w:rFonts w:ascii="Times New Roman" w:cs="Times New Roman" w:eastAsia="Times New Roman" w:hAnsi="Times New Roman"/>
          <w:sz w:val="17"/>
          <w:szCs w:val="17"/>
          <w:color w:val="auto"/>
        </w:rPr>
        <w:t>001-35944</w:t>
      </w:r>
    </w:p>
    <w:p>
      <w:pPr>
        <w:spacing w:after="0" w:line="117" w:lineRule="exact"/>
        <w:rPr>
          <w:sz w:val="20"/>
          <w:szCs w:val="20"/>
          <w:color w:val="auto"/>
        </w:rPr>
      </w:pPr>
    </w:p>
    <w:p>
      <w:pPr>
        <w:ind w:left="80"/>
        <w:spacing w:after="0"/>
        <w:tabs>
          <w:tab w:leader="none" w:pos="66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10-K</w:t>
        <w:tab/>
        <w:t>10.35</w:t>
        <w:tab/>
        <w:t>03/14/2024</w:t>
      </w:r>
      <w:r>
        <w:rPr>
          <w:sz w:val="20"/>
          <w:szCs w:val="20"/>
          <w:color w:val="auto"/>
        </w:rPr>
        <w:tab/>
      </w:r>
      <w:r>
        <w:rPr>
          <w:rFonts w:ascii="Times New Roman" w:cs="Times New Roman" w:eastAsia="Times New Roman" w:hAnsi="Times New Roman"/>
          <w:sz w:val="17"/>
          <w:szCs w:val="17"/>
          <w:color w:val="auto"/>
        </w:rPr>
        <w:t>001-35944</w:t>
      </w:r>
    </w:p>
    <w:p>
      <w:pPr>
        <w:spacing w:after="0" w:line="200" w:lineRule="exact"/>
        <w:rPr>
          <w:sz w:val="20"/>
          <w:szCs w:val="20"/>
          <w:color w:val="auto"/>
        </w:rPr>
      </w:pPr>
    </w:p>
    <w:p>
      <w:pPr>
        <w:spacing w:after="0" w:line="349" w:lineRule="exact"/>
        <w:rPr>
          <w:sz w:val="20"/>
          <w:szCs w:val="20"/>
          <w:color w:val="auto"/>
        </w:rPr>
      </w:pPr>
    </w:p>
    <w:p>
      <w:pPr>
        <w:ind w:left="180"/>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03/30/2023</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180"/>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10.2</w:t>
        <w:tab/>
        <w:t>03/30/2023</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180"/>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10.3</w:t>
        <w:tab/>
        <w:t>03/30/2023</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180"/>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05/17/2023</w:t>
      </w:r>
      <w:r>
        <w:rPr>
          <w:sz w:val="20"/>
          <w:szCs w:val="20"/>
          <w:color w:val="auto"/>
        </w:rPr>
        <w:tab/>
      </w:r>
      <w:r>
        <w:rPr>
          <w:rFonts w:ascii="Times New Roman" w:cs="Times New Roman" w:eastAsia="Times New Roman" w:hAnsi="Times New Roman"/>
          <w:sz w:val="17"/>
          <w:szCs w:val="17"/>
          <w:color w:val="auto"/>
        </w:rPr>
        <w:t>001-35944</w:t>
      </w:r>
    </w:p>
    <w:p>
      <w:pPr>
        <w:spacing w:after="0" w:line="200" w:lineRule="exact"/>
        <w:rPr>
          <w:sz w:val="20"/>
          <w:szCs w:val="20"/>
          <w:color w:val="auto"/>
        </w:rPr>
      </w:pPr>
    </w:p>
    <w:p>
      <w:pPr>
        <w:spacing w:after="0" w:line="349" w:lineRule="exact"/>
        <w:rPr>
          <w:sz w:val="20"/>
          <w:szCs w:val="20"/>
          <w:color w:val="auto"/>
        </w:rPr>
      </w:pPr>
    </w:p>
    <w:p>
      <w:pPr>
        <w:ind w:left="180"/>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06/13/2023</w:t>
      </w:r>
      <w:r>
        <w:rPr>
          <w:sz w:val="20"/>
          <w:szCs w:val="20"/>
          <w:color w:val="auto"/>
        </w:rPr>
        <w:tab/>
      </w:r>
      <w:r>
        <w:rPr>
          <w:rFonts w:ascii="Times New Roman" w:cs="Times New Roman" w:eastAsia="Times New Roman" w:hAnsi="Times New Roman"/>
          <w:sz w:val="17"/>
          <w:szCs w:val="17"/>
          <w:color w:val="auto"/>
        </w:rPr>
        <w:t>001-35944</w:t>
      </w:r>
    </w:p>
    <w:p>
      <w:pPr>
        <w:spacing w:after="0" w:line="333" w:lineRule="exact"/>
        <w:rPr>
          <w:sz w:val="20"/>
          <w:szCs w:val="20"/>
          <w:color w:val="auto"/>
        </w:rPr>
      </w:pPr>
    </w:p>
    <w:p>
      <w:pPr>
        <w:ind w:left="180"/>
        <w:spacing w:after="0"/>
        <w:tabs>
          <w:tab w:leader="none" w:pos="740" w:val="left"/>
          <w:tab w:leader="none" w:pos="1280" w:val="left"/>
          <w:tab w:leader="none" w:pos="2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tab/>
        <w:t>12/06/2023</w:t>
      </w:r>
      <w:r>
        <w:rPr>
          <w:sz w:val="20"/>
          <w:szCs w:val="20"/>
          <w:color w:val="auto"/>
        </w:rPr>
        <w:tab/>
      </w:r>
      <w:r>
        <w:rPr>
          <w:rFonts w:ascii="Times New Roman" w:cs="Times New Roman" w:eastAsia="Times New Roman" w:hAnsi="Times New Roman"/>
          <w:sz w:val="17"/>
          <w:szCs w:val="17"/>
          <w:color w:val="auto"/>
        </w:rPr>
        <w:t>001-35944</w:t>
      </w:r>
    </w:p>
    <w:p>
      <w:pPr>
        <w:sectPr>
          <w:pgSz w:w="11900" w:h="16838" w:orient="portrait"/>
          <w:cols w:equalWidth="0" w:num="2">
            <w:col w:w="7780" w:space="180"/>
            <w:col w:w="3120"/>
          </w:cols>
          <w:pgMar w:left="320" w:top="482"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60" w:type="dxa"/>
            <w:vAlign w:val="bottom"/>
            <w:gridSpan w:val="21"/>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vMerge w:val="restart"/>
          </w:tcPr>
          <w:p>
            <w:pPr>
              <w:spacing w:after="0"/>
              <w:rPr>
                <w:sz w:val="9"/>
                <w:szCs w:val="9"/>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9"/>
                <w:szCs w:val="9"/>
                <w:color w:val="auto"/>
              </w:rPr>
            </w:pPr>
          </w:p>
        </w:tc>
        <w:tc>
          <w:tcPr>
            <w:tcW w:w="8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60" w:type="dxa"/>
            <w:vAlign w:val="bottom"/>
            <w:vMerge w:val="restart"/>
          </w:tcPr>
          <w:p>
            <w:pPr>
              <w:spacing w:after="0"/>
              <w:rPr>
                <w:sz w:val="9"/>
                <w:szCs w:val="9"/>
                <w:color w:val="auto"/>
              </w:rPr>
            </w:pPr>
          </w:p>
        </w:tc>
        <w:tc>
          <w:tcPr>
            <w:tcW w:w="8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gridSpan w:val="21"/>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Pr>
          <w:p>
            <w:pPr>
              <w:spacing w:after="0"/>
              <w:rPr>
                <w:sz w:val="22"/>
                <w:szCs w:val="22"/>
                <w:color w:val="auto"/>
              </w:rPr>
            </w:pPr>
          </w:p>
        </w:tc>
        <w:tc>
          <w:tcPr>
            <w:tcW w:w="59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Employment Agreement, dated March 4, 2024, by and between the Company and</w:t>
              </w:r>
            </w:hyperlink>
          </w:p>
        </w:tc>
        <w:tc>
          <w:tcPr>
            <w:tcW w:w="400" w:type="dxa"/>
            <w:vAlign w:val="bottom"/>
            <w:gridSpan w:val="6"/>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90">
              <w:r>
                <w:rPr>
                  <w:rFonts w:ascii="Times New Roman" w:cs="Times New Roman" w:eastAsia="Times New Roman" w:hAnsi="Times New Roman"/>
                  <w:sz w:val="18"/>
                  <w:szCs w:val="18"/>
                  <w:color w:val="0000EE"/>
                  <w:w w:val="98"/>
                </w:rPr>
                <w:t>Randall Lehner.</w:t>
              </w:r>
            </w:hyperlink>
          </w:p>
        </w:tc>
        <w:tc>
          <w:tcPr>
            <w:tcW w:w="5140" w:type="dxa"/>
            <w:vAlign w:val="bottom"/>
            <w:gridSpan w:val="25"/>
          </w:tcPr>
          <w:p>
            <w:pPr>
              <w:spacing w:after="0"/>
              <w:rPr>
                <w:sz w:val="17"/>
                <w:szCs w:val="17"/>
                <w:color w:val="auto"/>
              </w:rPr>
            </w:pPr>
          </w:p>
        </w:tc>
        <w:tc>
          <w:tcPr>
            <w:tcW w:w="8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03/01/2024</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tcPr>
          <w:p>
            <w:pPr>
              <w:spacing w:after="0"/>
              <w:rPr>
                <w:sz w:val="24"/>
                <w:szCs w:val="24"/>
                <w:color w:val="auto"/>
              </w:rPr>
            </w:pPr>
          </w:p>
        </w:tc>
        <w:tc>
          <w:tcPr>
            <w:tcW w:w="6300" w:type="dxa"/>
            <w:vAlign w:val="bottom"/>
            <w:gridSpan w:val="26"/>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Fourth Amended and Restated Credit Agreement, dated March 22, 2024, by and</w:t>
              </w:r>
            </w:hyperlink>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between the Company and Standard Chartered Bank.</w:t>
              </w:r>
            </w:hyperlink>
          </w:p>
        </w:tc>
        <w:tc>
          <w:tcPr>
            <w:tcW w:w="520" w:type="dxa"/>
            <w:vAlign w:val="bottom"/>
            <w:gridSpan w:val="9"/>
          </w:tcPr>
          <w:p>
            <w:pPr>
              <w:spacing w:after="0"/>
              <w:rPr>
                <w:sz w:val="17"/>
                <w:szCs w:val="17"/>
                <w:color w:val="auto"/>
              </w:rPr>
            </w:pPr>
          </w:p>
        </w:tc>
        <w:tc>
          <w:tcPr>
            <w:tcW w:w="8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03/28/2024</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tcPr>
          <w:p>
            <w:pPr>
              <w:spacing w:after="0"/>
              <w:rPr>
                <w:sz w:val="24"/>
                <w:szCs w:val="24"/>
                <w:color w:val="auto"/>
              </w:rPr>
            </w:pPr>
          </w:p>
        </w:tc>
        <w:tc>
          <w:tcPr>
            <w:tcW w:w="6300" w:type="dxa"/>
            <w:vAlign w:val="bottom"/>
            <w:gridSpan w:val="26"/>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30 Million Second Amended and Restated Shareholder’s Loan Agreement, dated as</w:t>
              </w:r>
            </w:hyperlink>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of March 22, 2024, by and between the Company and Weichai America Corp.</w:t>
              </w:r>
            </w:hyperlink>
          </w:p>
        </w:tc>
        <w:tc>
          <w:tcPr>
            <w:tcW w:w="180" w:type="dxa"/>
            <w:vAlign w:val="bottom"/>
            <w:gridSpan w:val="2"/>
          </w:tcPr>
          <w:p>
            <w:pPr>
              <w:spacing w:after="0"/>
              <w:rPr>
                <w:sz w:val="17"/>
                <w:szCs w:val="17"/>
                <w:color w:val="auto"/>
              </w:rPr>
            </w:pPr>
          </w:p>
        </w:tc>
        <w:tc>
          <w:tcPr>
            <w:tcW w:w="8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03/28/2024</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tcPr>
          <w:p>
            <w:pPr>
              <w:spacing w:after="0"/>
              <w:rPr>
                <w:sz w:val="24"/>
                <w:szCs w:val="24"/>
                <w:color w:val="auto"/>
              </w:rPr>
            </w:pPr>
          </w:p>
        </w:tc>
        <w:tc>
          <w:tcPr>
            <w:tcW w:w="6300" w:type="dxa"/>
            <w:vAlign w:val="bottom"/>
            <w:gridSpan w:val="26"/>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Power Solutions International, Inc. 2012 Incentive Compensation Plan, (as amended</w:t>
              </w:r>
            </w:hyperlink>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and restated May 26, 2022).</w:t>
              </w:r>
            </w:hyperlink>
          </w:p>
        </w:tc>
        <w:tc>
          <w:tcPr>
            <w:tcW w:w="220" w:type="dxa"/>
            <w:vAlign w:val="bottom"/>
            <w:gridSpan w:val="3"/>
          </w:tcPr>
          <w:p>
            <w:pPr>
              <w:spacing w:after="0"/>
              <w:rPr>
                <w:sz w:val="17"/>
                <w:szCs w:val="17"/>
                <w:color w:val="auto"/>
              </w:rPr>
            </w:pPr>
          </w:p>
        </w:tc>
        <w:tc>
          <w:tcPr>
            <w:tcW w:w="8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DEF 14A</w:t>
            </w:r>
          </w:p>
        </w:tc>
        <w:tc>
          <w:tcPr>
            <w:tcW w:w="80" w:type="dxa"/>
            <w:vAlign w:val="bottom"/>
          </w:tcPr>
          <w:p>
            <w:pPr>
              <w:spacing w:after="0"/>
              <w:rPr>
                <w:sz w:val="17"/>
                <w:szCs w:val="17"/>
                <w:color w:val="auto"/>
              </w:rPr>
            </w:pPr>
          </w:p>
        </w:tc>
        <w:tc>
          <w:tcPr>
            <w:tcW w:w="110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Appendix A</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05/31/2022</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tcPr>
          <w:p>
            <w:pPr>
              <w:spacing w:after="0"/>
              <w:rPr>
                <w:sz w:val="24"/>
                <w:szCs w:val="24"/>
                <w:color w:val="auto"/>
              </w:rPr>
            </w:pPr>
          </w:p>
        </w:tc>
        <w:tc>
          <w:tcPr>
            <w:tcW w:w="6300" w:type="dxa"/>
            <w:vAlign w:val="bottom"/>
            <w:gridSpan w:val="26"/>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Confidential Mutual Separation and General Release Agreement between Power</w:t>
              </w:r>
            </w:hyperlink>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Solutions International, Inc. and Randall Lehner as of April 24, 2025.</w:t>
              </w:r>
            </w:hyperlink>
          </w:p>
        </w:tc>
        <w:tc>
          <w:tcPr>
            <w:tcW w:w="780" w:type="dxa"/>
            <w:vAlign w:val="bottom"/>
            <w:tcBorders>
              <w:top w:val="single" w:sz="8" w:color="0000EE"/>
            </w:tcBorders>
            <w:gridSpan w:val="7"/>
          </w:tcPr>
          <w:p>
            <w:pPr>
              <w:spacing w:after="0"/>
              <w:rPr>
                <w:sz w:val="17"/>
                <w:szCs w:val="17"/>
                <w:color w:val="auto"/>
              </w:rPr>
            </w:pPr>
          </w:p>
        </w:tc>
        <w:tc>
          <w:tcPr>
            <w:tcW w:w="500" w:type="dxa"/>
            <w:vAlign w:val="bottom"/>
            <w:gridSpan w:val="8"/>
          </w:tcPr>
          <w:p>
            <w:pPr>
              <w:spacing w:after="0"/>
              <w:rPr>
                <w:sz w:val="17"/>
                <w:szCs w:val="17"/>
                <w:color w:val="auto"/>
              </w:rPr>
            </w:pPr>
          </w:p>
        </w:tc>
        <w:tc>
          <w:tcPr>
            <w:tcW w:w="8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04/29/25</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Pr>
          <w:p>
            <w:pPr>
              <w:spacing w:after="0"/>
              <w:rPr>
                <w:sz w:val="24"/>
                <w:szCs w:val="24"/>
                <w:color w:val="auto"/>
              </w:rPr>
            </w:pPr>
          </w:p>
        </w:tc>
        <w:tc>
          <w:tcPr>
            <w:tcW w:w="60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Employment Agreement, dated August 14, 2025, by and between the Company and</w:t>
              </w:r>
            </w:hyperlink>
          </w:p>
        </w:tc>
        <w:tc>
          <w:tcPr>
            <w:tcW w:w="26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6"/>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Zhaoying (Dorothy) Du.</w:t>
              </w:r>
            </w:hyperlink>
          </w:p>
        </w:tc>
        <w:tc>
          <w:tcPr>
            <w:tcW w:w="8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09/18/2025</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Pr>
          <w:p>
            <w:pPr>
              <w:spacing w:after="0"/>
              <w:rPr>
                <w:sz w:val="24"/>
                <w:szCs w:val="24"/>
                <w:color w:val="auto"/>
              </w:rPr>
            </w:pPr>
          </w:p>
        </w:tc>
        <w:tc>
          <w:tcPr>
            <w:tcW w:w="6300" w:type="dxa"/>
            <w:vAlign w:val="bottom"/>
            <w:gridSpan w:val="26"/>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Power Solutions International, Inc. 2026 Phantom Unit Plan.</w:t>
              </w:r>
            </w:hyperlink>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03/10/2026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24"/>
                <w:szCs w:val="24"/>
                <w:color w:val="auto"/>
              </w:rPr>
            </w:pPr>
          </w:p>
        </w:tc>
        <w:tc>
          <w:tcPr>
            <w:tcW w:w="43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Phantom Unit Award Agreement</w:t>
              </w:r>
            </w:hyperlink>
          </w:p>
        </w:tc>
        <w:tc>
          <w:tcPr>
            <w:tcW w:w="1920" w:type="dxa"/>
            <w:vAlign w:val="bottom"/>
            <w:gridSpan w:val="18"/>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03/10/2026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4"/>
                <w:szCs w:val="24"/>
                <w:color w:val="auto"/>
              </w:rPr>
            </w:pPr>
          </w:p>
        </w:tc>
        <w:tc>
          <w:tcPr>
            <w:tcW w:w="6300" w:type="dxa"/>
            <w:vAlign w:val="bottom"/>
            <w:gridSpan w:val="26"/>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Power Solutions International, Inc. Insider Trading Compliance Policy.</w:t>
              </w:r>
            </w:hyperlink>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03/02/2026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4"/>
                <w:szCs w:val="24"/>
                <w:color w:val="auto"/>
              </w:rPr>
            </w:pPr>
          </w:p>
        </w:tc>
        <w:tc>
          <w:tcPr>
            <w:tcW w:w="36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Subsidiaries of Power Solutions International, Inc.</w:t>
              </w:r>
            </w:hyperlink>
          </w:p>
        </w:tc>
        <w:tc>
          <w:tcPr>
            <w:tcW w:w="1480" w:type="dxa"/>
            <w:vAlign w:val="bottom"/>
            <w:tcBorders>
              <w:top w:val="single" w:sz="8" w:color="0000EE"/>
            </w:tcBorders>
            <w:gridSpan w:val="6"/>
          </w:tcPr>
          <w:p>
            <w:pPr>
              <w:spacing w:after="0"/>
              <w:rPr>
                <w:sz w:val="24"/>
                <w:szCs w:val="24"/>
                <w:color w:val="auto"/>
              </w:rPr>
            </w:pPr>
          </w:p>
        </w:tc>
        <w:tc>
          <w:tcPr>
            <w:tcW w:w="1180" w:type="dxa"/>
            <w:vAlign w:val="bottom"/>
            <w:gridSpan w:val="14"/>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03/02/2026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4"/>
                <w:szCs w:val="24"/>
                <w:color w:val="auto"/>
              </w:rPr>
            </w:pPr>
          </w:p>
        </w:tc>
        <w:tc>
          <w:tcPr>
            <w:tcW w:w="20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Consent of BDO USA, P.C.</w:t>
              </w:r>
            </w:hyperlink>
          </w:p>
        </w:tc>
        <w:tc>
          <w:tcPr>
            <w:tcW w:w="4280" w:type="dxa"/>
            <w:vAlign w:val="bottom"/>
            <w:gridSpan w:val="23"/>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03/02/2026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59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Certification of Chief Executive Officer, as adopted pursuant to Section 302 of the</w:t>
              </w:r>
            </w:hyperlink>
          </w:p>
        </w:tc>
        <w:tc>
          <w:tcPr>
            <w:tcW w:w="36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6"/>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Sarbanes- Oxley Act of 2002.</w:t>
              </w:r>
            </w:hyperlink>
          </w:p>
        </w:tc>
        <w:tc>
          <w:tcPr>
            <w:tcW w:w="8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03/02/2026</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57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Certificate of Chief Financial Officer, as adopted pursuant to Section 302 of the</w:t>
              </w:r>
            </w:hyperlink>
          </w:p>
        </w:tc>
        <w:tc>
          <w:tcPr>
            <w:tcW w:w="560" w:type="dxa"/>
            <w:vAlign w:val="bottom"/>
            <w:gridSpan w:val="11"/>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6"/>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Sarbanes- Oxley Act of 2002.</w:t>
              </w:r>
            </w:hyperlink>
          </w:p>
        </w:tc>
        <w:tc>
          <w:tcPr>
            <w:tcW w:w="8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03/02/2026</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24"/>
                <w:szCs w:val="24"/>
                <w:color w:val="auto"/>
              </w:rPr>
            </w:pPr>
          </w:p>
        </w:tc>
        <w:tc>
          <w:tcPr>
            <w:tcW w:w="59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as adopted pursuant to Section 302 of the</w:t>
            </w:r>
          </w:p>
        </w:tc>
        <w:tc>
          <w:tcPr>
            <w:tcW w:w="36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Sarbanes- Oxley Act of 2002.</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24"/>
                <w:szCs w:val="24"/>
                <w:color w:val="auto"/>
              </w:rPr>
            </w:pPr>
          </w:p>
        </w:tc>
        <w:tc>
          <w:tcPr>
            <w:tcW w:w="63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as adopted pursuant to Section 302 of the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Sarbanes- Oxley Act of 2002.</w:t>
            </w:r>
          </w:p>
        </w:tc>
        <w:tc>
          <w:tcPr>
            <w:tcW w:w="42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57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Certification of Chief Executive Officer, pursuant to 18 U.S.C. Section 1350, as</w:t>
              </w:r>
            </w:hyperlink>
          </w:p>
        </w:tc>
        <w:tc>
          <w:tcPr>
            <w:tcW w:w="540" w:type="dxa"/>
            <w:vAlign w:val="bottom"/>
            <w:gridSpan w:val="10"/>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adopted pursuant to Section 906 of the Sarbanes-Oxley Act of 2002.</w:t>
              </w:r>
            </w:hyperlink>
          </w:p>
        </w:tc>
        <w:tc>
          <w:tcPr>
            <w:tcW w:w="1360" w:type="dxa"/>
            <w:vAlign w:val="bottom"/>
            <w:gridSpan w:val="16"/>
          </w:tcPr>
          <w:p>
            <w:pPr>
              <w:spacing w:after="0"/>
              <w:rPr>
                <w:sz w:val="17"/>
                <w:szCs w:val="17"/>
                <w:color w:val="auto"/>
              </w:rPr>
            </w:pPr>
          </w:p>
        </w:tc>
        <w:tc>
          <w:tcPr>
            <w:tcW w:w="8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03/02/2026</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6300" w:type="dxa"/>
            <w:vAlign w:val="bottom"/>
            <w:gridSpan w:val="26"/>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Certification of Chief Financial Officer, pursuant to 18 U.S.C. Section 1350, as</w:t>
              </w:r>
            </w:hyperlink>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adopted pursuant to Section 906 of the Sarbanes-Oxley Act of 2002.</w:t>
              </w:r>
            </w:hyperlink>
          </w:p>
        </w:tc>
        <w:tc>
          <w:tcPr>
            <w:tcW w:w="600" w:type="dxa"/>
            <w:vAlign w:val="bottom"/>
            <w:gridSpan w:val="12"/>
          </w:tcPr>
          <w:p>
            <w:pPr>
              <w:spacing w:after="0"/>
              <w:rPr>
                <w:sz w:val="17"/>
                <w:szCs w:val="17"/>
                <w:color w:val="auto"/>
              </w:rPr>
            </w:pPr>
          </w:p>
        </w:tc>
        <w:tc>
          <w:tcPr>
            <w:tcW w:w="8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03/02/2026</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24"/>
                <w:szCs w:val="24"/>
                <w:color w:val="auto"/>
              </w:rPr>
            </w:pPr>
          </w:p>
        </w:tc>
        <w:tc>
          <w:tcPr>
            <w:tcW w:w="492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Power Solutions International, Inc. Clawback Policy</w:t>
              </w:r>
            </w:hyperlink>
          </w:p>
        </w:tc>
        <w:tc>
          <w:tcPr>
            <w:tcW w:w="1380" w:type="dxa"/>
            <w:vAlign w:val="bottom"/>
            <w:gridSpan w:val="17"/>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97.1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03/02/2026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0" w:type="dxa"/>
            <w:vAlign w:val="bottom"/>
          </w:tcPr>
          <w:p>
            <w:pPr>
              <w:spacing w:after="0"/>
              <w:rPr>
                <w:sz w:val="24"/>
                <w:szCs w:val="24"/>
                <w:color w:val="auto"/>
              </w:rPr>
            </w:pPr>
          </w:p>
        </w:tc>
        <w:tc>
          <w:tcPr>
            <w:tcW w:w="38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480" w:type="dxa"/>
            <w:vAlign w:val="bottom"/>
            <w:gridSpan w:val="19"/>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10-K</w:t>
            </w:r>
          </w:p>
        </w:tc>
        <w:tc>
          <w:tcPr>
            <w:tcW w:w="80" w:type="dxa"/>
            <w:vAlign w:val="bottom"/>
          </w:tcPr>
          <w:p>
            <w:pPr>
              <w:spacing w:after="0"/>
              <w:rPr>
                <w:sz w:val="24"/>
                <w:szCs w:val="24"/>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101.INS   03/02/2026   001-35944</w:t>
            </w:r>
          </w:p>
        </w:tc>
        <w:tc>
          <w:tcPr>
            <w:tcW w:w="0" w:type="dxa"/>
            <w:vAlign w:val="bottom"/>
          </w:tcPr>
          <w:p>
            <w:pPr>
              <w:spacing w:after="0"/>
              <w:rPr>
                <w:sz w:val="1"/>
                <w:szCs w:val="1"/>
                <w:color w:val="auto"/>
              </w:rPr>
            </w:pPr>
          </w:p>
        </w:tc>
      </w:tr>
      <w:tr>
        <w:trPr>
          <w:trHeight w:val="32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80" w:type="dxa"/>
            <w:vAlign w:val="bottom"/>
          </w:tcPr>
          <w:p>
            <w:pPr>
              <w:spacing w:after="0"/>
              <w:rPr>
                <w:sz w:val="24"/>
                <w:szCs w:val="24"/>
                <w:color w:val="auto"/>
              </w:rPr>
            </w:pPr>
          </w:p>
        </w:tc>
        <w:tc>
          <w:tcPr>
            <w:tcW w:w="6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10-K</w:t>
            </w:r>
          </w:p>
        </w:tc>
        <w:tc>
          <w:tcPr>
            <w:tcW w:w="80" w:type="dxa"/>
            <w:vAlign w:val="bottom"/>
          </w:tcPr>
          <w:p>
            <w:pPr>
              <w:spacing w:after="0"/>
              <w:rPr>
                <w:sz w:val="24"/>
                <w:szCs w:val="24"/>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101.SCH   03/02/2026   001-35944</w:t>
            </w:r>
          </w:p>
        </w:tc>
        <w:tc>
          <w:tcPr>
            <w:tcW w:w="0" w:type="dxa"/>
            <w:vAlign w:val="bottom"/>
          </w:tcPr>
          <w:p>
            <w:pPr>
              <w:spacing w:after="0"/>
              <w:rPr>
                <w:sz w:val="1"/>
                <w:szCs w:val="1"/>
                <w:color w:val="auto"/>
              </w:rPr>
            </w:pPr>
          </w:p>
        </w:tc>
      </w:tr>
      <w:tr>
        <w:trPr>
          <w:trHeight w:val="32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80" w:type="dxa"/>
            <w:vAlign w:val="bottom"/>
          </w:tcPr>
          <w:p>
            <w:pPr>
              <w:spacing w:after="0"/>
              <w:rPr>
                <w:sz w:val="24"/>
                <w:szCs w:val="24"/>
                <w:color w:val="auto"/>
              </w:rPr>
            </w:pPr>
          </w:p>
        </w:tc>
        <w:tc>
          <w:tcPr>
            <w:tcW w:w="6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10-K</w:t>
            </w:r>
          </w:p>
        </w:tc>
        <w:tc>
          <w:tcPr>
            <w:tcW w:w="80" w:type="dxa"/>
            <w:vAlign w:val="bottom"/>
          </w:tcPr>
          <w:p>
            <w:pPr>
              <w:spacing w:after="0"/>
              <w:rPr>
                <w:sz w:val="24"/>
                <w:szCs w:val="24"/>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101.CAL   03/02/2026   001-35944</w:t>
            </w:r>
          </w:p>
        </w:tc>
        <w:tc>
          <w:tcPr>
            <w:tcW w:w="0" w:type="dxa"/>
            <w:vAlign w:val="bottom"/>
          </w:tcPr>
          <w:p>
            <w:pPr>
              <w:spacing w:after="0"/>
              <w:rPr>
                <w:sz w:val="1"/>
                <w:szCs w:val="1"/>
                <w:color w:val="auto"/>
              </w:rPr>
            </w:pPr>
          </w:p>
        </w:tc>
      </w:tr>
      <w:tr>
        <w:trPr>
          <w:trHeight w:val="32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80" w:type="dxa"/>
            <w:vAlign w:val="bottom"/>
          </w:tcPr>
          <w:p>
            <w:pPr>
              <w:spacing w:after="0"/>
              <w:rPr>
                <w:sz w:val="24"/>
                <w:szCs w:val="24"/>
                <w:color w:val="auto"/>
              </w:rPr>
            </w:pPr>
          </w:p>
        </w:tc>
        <w:tc>
          <w:tcPr>
            <w:tcW w:w="6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10-K</w:t>
            </w:r>
          </w:p>
        </w:tc>
        <w:tc>
          <w:tcPr>
            <w:tcW w:w="80" w:type="dxa"/>
            <w:vAlign w:val="bottom"/>
          </w:tcPr>
          <w:p>
            <w:pPr>
              <w:spacing w:after="0"/>
              <w:rPr>
                <w:sz w:val="24"/>
                <w:szCs w:val="24"/>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101.LAB   03/02/2026   001-35944</w:t>
            </w:r>
          </w:p>
        </w:tc>
        <w:tc>
          <w:tcPr>
            <w:tcW w:w="0" w:type="dxa"/>
            <w:vAlign w:val="bottom"/>
          </w:tcPr>
          <w:p>
            <w:pPr>
              <w:spacing w:after="0"/>
              <w:rPr>
                <w:sz w:val="1"/>
                <w:szCs w:val="1"/>
                <w:color w:val="auto"/>
              </w:rPr>
            </w:pPr>
          </w:p>
        </w:tc>
      </w:tr>
      <w:tr>
        <w:trPr>
          <w:trHeight w:val="32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80" w:type="dxa"/>
            <w:vAlign w:val="bottom"/>
          </w:tcPr>
          <w:p>
            <w:pPr>
              <w:spacing w:after="0"/>
              <w:rPr>
                <w:sz w:val="24"/>
                <w:szCs w:val="24"/>
                <w:color w:val="auto"/>
              </w:rPr>
            </w:pPr>
          </w:p>
        </w:tc>
        <w:tc>
          <w:tcPr>
            <w:tcW w:w="6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10-K</w:t>
            </w:r>
          </w:p>
        </w:tc>
        <w:tc>
          <w:tcPr>
            <w:tcW w:w="80" w:type="dxa"/>
            <w:vAlign w:val="bottom"/>
          </w:tcPr>
          <w:p>
            <w:pPr>
              <w:spacing w:after="0"/>
              <w:rPr>
                <w:sz w:val="24"/>
                <w:szCs w:val="24"/>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101.PRE   03/02/2026   001-35944</w:t>
            </w:r>
          </w:p>
        </w:tc>
        <w:tc>
          <w:tcPr>
            <w:tcW w:w="0" w:type="dxa"/>
            <w:vAlign w:val="bottom"/>
          </w:tcPr>
          <w:p>
            <w:pPr>
              <w:spacing w:after="0"/>
              <w:rPr>
                <w:sz w:val="1"/>
                <w:szCs w:val="1"/>
                <w:color w:val="auto"/>
              </w:rPr>
            </w:pPr>
          </w:p>
        </w:tc>
      </w:tr>
      <w:tr>
        <w:trPr>
          <w:trHeight w:val="32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80" w:type="dxa"/>
            <w:vAlign w:val="bottom"/>
          </w:tcPr>
          <w:p>
            <w:pPr>
              <w:spacing w:after="0"/>
              <w:rPr>
                <w:sz w:val="24"/>
                <w:szCs w:val="24"/>
                <w:color w:val="auto"/>
              </w:rPr>
            </w:pPr>
          </w:p>
        </w:tc>
        <w:tc>
          <w:tcPr>
            <w:tcW w:w="6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10-K</w:t>
            </w:r>
          </w:p>
        </w:tc>
        <w:tc>
          <w:tcPr>
            <w:tcW w:w="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101.DEF</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03/02/2026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001-35944</w:t>
            </w:r>
          </w:p>
        </w:tc>
        <w:tc>
          <w:tcPr>
            <w:tcW w:w="0" w:type="dxa"/>
            <w:vAlign w:val="bottom"/>
          </w:tcPr>
          <w:p>
            <w:pPr>
              <w:spacing w:after="0"/>
              <w:rPr>
                <w:sz w:val="1"/>
                <w:szCs w:val="1"/>
                <w:color w:val="auto"/>
              </w:rPr>
            </w:pP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6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The Cover page of this Annual Report on Form 10-K/A (Amendment No. 1) for the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fiscal year ended December 31, 2025, formatted in Inline XBRL.</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7" w:lineRule="exact"/>
        <w:rPr>
          <w:sz w:val="20"/>
          <w:szCs w:val="20"/>
          <w:color w:val="auto"/>
        </w:rPr>
      </w:pPr>
    </w:p>
    <w:p>
      <w:pPr>
        <w:ind w:left="540" w:right="60" w:hanging="424"/>
        <w:spacing w:after="0" w:line="25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Exchange Act, or otherwise subject to the liability of that Section. Such exhibit shall not be deemed incorporated into any filing under the Securities Act of 1933, as amended, or the Exchange Act.</w:t>
      </w:r>
    </w:p>
    <w:p>
      <w:pPr>
        <w:spacing w:after="0" w:line="1"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omitted pursuant to Item 601(a)(5) of Regulation S-K. The registrant agrees to furnish a supplemental copy of an omitted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exhibit or schedule to the SEC upon request.</w:t>
      </w:r>
    </w:p>
    <w:p>
      <w:pPr>
        <w:spacing w:after="0" w:line="9"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sz w:val="20"/>
          <w:szCs w:val="20"/>
          <w:color w:val="auto"/>
        </w:rPr>
      </w:pPr>
    </w:p>
    <w:p>
      <w:pPr>
        <w:ind w:left="540" w:right="320" w:hanging="424"/>
        <w:spacing w:after="0" w:line="26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with respect to certain portions of this exhibit. Omitted portions have been separately filed with the SEC.</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82"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Form 10-K Summary.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0"/>
        <w:spacing w:after="0" w:line="29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April 2026.</w:t>
      </w:r>
    </w:p>
    <w:p>
      <w:pPr>
        <w:spacing w:after="0" w:line="4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Xun Li</w:t>
      </w:r>
    </w:p>
    <w:p>
      <w:pPr>
        <w:spacing w:after="0" w:line="31"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3" w:lineRule="exact"/>
        <w:rPr>
          <w:sz w:val="20"/>
          <w:szCs w:val="20"/>
          <w:color w:val="auto"/>
        </w:rPr>
      </w:pPr>
    </w:p>
    <w:p>
      <w:pPr>
        <w:ind w:left="120" w:right="520"/>
        <w:spacing w:after="0" w:line="29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April 2026.</w:t>
      </w:r>
    </w:p>
    <w:p>
      <w:pPr>
        <w:spacing w:after="0" w:line="4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780" w:type="dxa"/>
            <w:vAlign w:val="bottom"/>
          </w:tcPr>
          <w:p>
            <w:pPr>
              <w:spacing w:after="0"/>
              <w:rPr>
                <w:sz w:val="16"/>
                <w:szCs w:val="16"/>
                <w:color w:val="auto"/>
              </w:rPr>
            </w:pP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12"/>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 Dino Xykis</w:t>
            </w:r>
          </w:p>
        </w:tc>
        <w:tc>
          <w:tcPr>
            <w:tcW w:w="78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2"/>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 Dino Xykis</w:t>
            </w:r>
          </w:p>
        </w:tc>
        <w:tc>
          <w:tcPr>
            <w:tcW w:w="7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23"/>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Xun Li</w:t>
            </w:r>
          </w:p>
        </w:tc>
        <w:tc>
          <w:tcPr>
            <w:tcW w:w="78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2"/>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Xun Li</w:t>
            </w:r>
          </w:p>
        </w:tc>
        <w:tc>
          <w:tcPr>
            <w:tcW w:w="7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r>
        <w:trPr>
          <w:trHeight w:val="423"/>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Jiwen Zhang</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32"/>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Jiwen Zhang</w:t>
            </w:r>
          </w:p>
        </w:tc>
        <w:tc>
          <w:tcPr>
            <w:tcW w:w="7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r>
      <w:tr>
        <w:trPr>
          <w:trHeight w:val="423"/>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Courtney Shea</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32"/>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Courtney Shea</w:t>
            </w:r>
          </w:p>
        </w:tc>
        <w:tc>
          <w:tcPr>
            <w:tcW w:w="7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3"/>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Xuesen Yang</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32"/>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Xuesen Yang</w:t>
            </w:r>
          </w:p>
        </w:tc>
        <w:tc>
          <w:tcPr>
            <w:tcW w:w="7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3"/>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Zhao Jin</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32"/>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Zhao Jin</w:t>
            </w:r>
          </w:p>
        </w:tc>
        <w:tc>
          <w:tcPr>
            <w:tcW w:w="7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3"/>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Frank P. Simpkins</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32"/>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Frank P. Simpkins</w:t>
            </w:r>
          </w:p>
        </w:tc>
        <w:tc>
          <w:tcPr>
            <w:tcW w:w="7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3"/>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Hong He</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32"/>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Hong He</w:t>
            </w:r>
          </w:p>
        </w:tc>
        <w:tc>
          <w:tcPr>
            <w:tcW w:w="7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3"/>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Fuzhang Yu</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32"/>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Fuzhang Yu</w:t>
            </w:r>
          </w:p>
        </w:tc>
        <w:tc>
          <w:tcPr>
            <w:tcW w:w="7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356"/>
        </w:trPr>
        <w:tc>
          <w:tcPr>
            <w:tcW w:w="5160" w:type="dxa"/>
            <w:vAlign w:val="bottom"/>
          </w:tcPr>
          <w:p>
            <w:pPr>
              <w:spacing w:after="0"/>
              <w:rPr>
                <w:sz w:val="24"/>
                <w:szCs w:val="24"/>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w:t>
            </w: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17 CFR 240.13a-14 PROMULGATED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 OF 2002</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C. (Dino) Xykis, certify that:</w:t>
      </w:r>
    </w:p>
    <w:p>
      <w:pPr>
        <w:spacing w:after="0" w:line="131"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Power Solutions International,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 Dino Xykis</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 Dino Xykis</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4"/>
          </w:cols>
          <w:pgMar w:left="436" w:top="117" w:right="4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17 CFR 240.13a-14 PROMULGATED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 OF 2002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Xun Li certify that:</w:t>
      </w:r>
    </w:p>
    <w:p>
      <w:pPr>
        <w:spacing w:after="0" w:line="131"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Power Solutions International,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Xun Li</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Xun Li</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Roman"/>
      <w:start w:val="2"/>
    </w:lvl>
  </w:abstractNum>
  <w:abstractNum w:abstractNumId="7">
    <w:nsid w:val="6B68079A"/>
    <w:multiLevelType w:val="hybridMultilevel"/>
    <w:lvl w:ilvl="0">
      <w:lvlJc w:val="left"/>
      <w:lvlText w:val="(%1)"/>
      <w:numFmt w:val="lowerRoman"/>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50" Type="http://schemas.openxmlformats.org/officeDocument/2006/relationships/image" Target="media/image28.png"/><Relationship Id="rId70" Type="http://schemas.openxmlformats.org/officeDocument/2006/relationships/image" Target="media/image29.png"/><Relationship Id="rId71" Type="http://schemas.openxmlformats.org/officeDocument/2006/relationships/image" Target="media/image30.png"/><Relationship Id="rId72" Type="http://schemas.openxmlformats.org/officeDocument/2006/relationships/image" Target="media/image31.png"/><Relationship Id="rId87" Type="http://schemas.openxmlformats.org/officeDocument/2006/relationships/image" Target="media/image32.png"/><Relationship Id="rId88" Type="http://schemas.openxmlformats.org/officeDocument/2006/relationships/image" Target="media/image33.png"/><Relationship Id="rId89" Type="http://schemas.openxmlformats.org/officeDocument/2006/relationships/image" Target="media/image34.png"/><Relationship Id="rId106" Type="http://schemas.openxmlformats.org/officeDocument/2006/relationships/image" Target="media/image35.png"/><Relationship Id="rId107" Type="http://schemas.openxmlformats.org/officeDocument/2006/relationships/image" Target="media/image36.png"/><Relationship Id="rId35" Type="http://schemas.openxmlformats.org/officeDocument/2006/relationships/hyperlink" Target="http://www.sec.gov/Archives/edgar/data/1137091/000119312511128632/dex21.htm" TargetMode="External"/><Relationship Id="rId36" Type="http://schemas.openxmlformats.org/officeDocument/2006/relationships/hyperlink" Target="http://www.sec.gov/Archives/edgar/data/1137091/000119312514128261/d704943dex101.htm" TargetMode="External"/><Relationship Id="rId37" Type="http://schemas.openxmlformats.org/officeDocument/2006/relationships/hyperlink" Target="http://www.sec.gov/Archives/edgar/data/1137091/000119312511226865/dex34.htm" TargetMode="External"/><Relationship Id="rId38" Type="http://schemas.openxmlformats.org/officeDocument/2006/relationships/hyperlink" Target="http://www.sec.gov/Archives/edgar/data/1137091/000119312515294386/d94117dex31.htm" TargetMode="External"/><Relationship Id="rId39" Type="http://schemas.openxmlformats.org/officeDocument/2006/relationships/hyperlink" Target="http://www.sec.gov/Archives/edgar/data/1137091/000119312517097594/d355374dex31.htm" TargetMode="External"/><Relationship Id="rId40" Type="http://schemas.openxmlformats.org/officeDocument/2006/relationships/hyperlink" Target="http://www.sec.gov/Archives/edgar/data/1137091/000119312520330594/d57841dex31.htm" TargetMode="External"/><Relationship Id="rId41" Type="http://schemas.openxmlformats.org/officeDocument/2006/relationships/hyperlink" Target="http://www.sec.gov/Archives/edgar/data/1137091/000162828020006265/exhibit411-descriptionofca.htm" TargetMode="External"/><Relationship Id="rId42" Type="http://schemas.openxmlformats.org/officeDocument/2006/relationships/hyperlink" Target="http://www.sec.gov/Archives/edgar/data/1137091/000119312512263511/d362809dex103.htm" TargetMode="External"/><Relationship Id="rId43" Type="http://schemas.openxmlformats.org/officeDocument/2006/relationships/hyperlink" Target="http://www.sec.gov/Archives/edgar/data/1137091/000119312513315776/d570073ddef14a.htm" TargetMode="External"/><Relationship Id="rId44" Type="http://schemas.openxmlformats.org/officeDocument/2006/relationships/hyperlink" Target="http://www.sec.gov/Archives/edgar/data/1137091/000119312513265712/d556492dex101.htm" TargetMode="External"/><Relationship Id="rId45" Type="http://schemas.openxmlformats.org/officeDocument/2006/relationships/hyperlink" Target="http://www.sec.gov/Archives/edgar/data/1137091/000119312514006509/d655873dex101.htm" TargetMode="External"/><Relationship Id="rId46" Type="http://schemas.openxmlformats.org/officeDocument/2006/relationships/hyperlink" Target="http://www.sec.gov/Archives/edgar/data/1137091/000119312514128261/d704943dex102.htm" TargetMode="External"/><Relationship Id="rId47" Type="http://schemas.openxmlformats.org/officeDocument/2006/relationships/hyperlink" Target="http://www.sec.gov/Archives/edgar/data/1137091/000119312514361019/d792787dex102.htm" TargetMode="External"/><Relationship Id="rId48" Type="http://schemas.openxmlformats.org/officeDocument/2006/relationships/hyperlink" Target="http://www.sec.gov/Archives/edgar/data/1137091/000113709119000016/exhibit1026-hamiltonlease.htm" TargetMode="External"/><Relationship Id="rId49" Type="http://schemas.openxmlformats.org/officeDocument/2006/relationships/hyperlink" Target="http://www.sec.gov/Archives/edgar/data/1137091/000162828018009328/psi1stleaseamendment.htm" TargetMode="External"/><Relationship Id="rId51" Type="http://schemas.openxmlformats.org/officeDocument/2006/relationships/hyperlink" Target="http://www.sec.gov/Archives/edgar/data/1137091/000162828018009328/psi2ndleaseamendment.htm" TargetMode="External"/><Relationship Id="rId52" Type="http://schemas.openxmlformats.org/officeDocument/2006/relationships/hyperlink" Target="http://www.sec.gov/Archives/edgar/data/1137091/000119312514298157/d772081dex101.htm" TargetMode="External"/><Relationship Id="rId53" Type="http://schemas.openxmlformats.org/officeDocument/2006/relationships/hyperlink" Target="http://www.sec.gov/Archives/edgar/data/1137091/000119312515172599/d920394dex101.htm" TargetMode="External"/><Relationship Id="rId54" Type="http://schemas.openxmlformats.org/officeDocument/2006/relationships/hyperlink" Target="http://www.sec.gov/Archives/edgar/data/1137091/000119312517097594/d355374dex103.htm" TargetMode="External"/><Relationship Id="rId55" Type="http://schemas.openxmlformats.org/officeDocument/2006/relationships/hyperlink" Target="http://www.sec.gov/Archives/edgar/data/1137091/000119312517097594/d355374dex104.htm" TargetMode="External"/><Relationship Id="rId56" Type="http://schemas.openxmlformats.org/officeDocument/2006/relationships/hyperlink" Target="http://www.sec.gov/Archives/edgar/data/1137091/000119312517097594/d355374dex105.htm" TargetMode="External"/><Relationship Id="rId57" Type="http://schemas.openxmlformats.org/officeDocument/2006/relationships/hyperlink" Target="http://www.sec.gov/Archives/edgar/data/1137091/000119312517361772/d502538dex101.htm" TargetMode="External"/><Relationship Id="rId58" Type="http://schemas.openxmlformats.org/officeDocument/2006/relationships/hyperlink" Target="http://www.sec.gov/Archives/edgar/data/1137091/000113709119000016/exhibit1040-amendmentto201.htm" TargetMode="External"/><Relationship Id="rId59" Type="http://schemas.openxmlformats.org/officeDocument/2006/relationships/hyperlink" Target="http://www.sec.gov/Archives/edgar/data/1137091/000119312519260350/d813946dex101.htm" TargetMode="External"/><Relationship Id="rId60" Type="http://schemas.openxmlformats.org/officeDocument/2006/relationships/hyperlink" Target="http://www.sec.gov/Archives/edgar/data/1137091/000119312520094740/d865498dex101.htm" TargetMode="External"/><Relationship Id="rId61" Type="http://schemas.openxmlformats.org/officeDocument/2006/relationships/hyperlink" Target="http://www.sec.gov/Archives/edgar/data/1137091/000119312520099556/d904460dex101.htm" TargetMode="External"/><Relationship Id="rId62" Type="http://schemas.openxmlformats.org/officeDocument/2006/relationships/hyperlink" Target="http://www.sec.gov/Archives/edgar/data/1137091/000162828020006263/exhibiit101-confidentialco.htm" TargetMode="External"/><Relationship Id="rId63" Type="http://schemas.openxmlformats.org/officeDocument/2006/relationships/hyperlink" Target="http://www.sec.gov/Archives/edgar/data/1137091/000119312520330594/d57841dex101.htm" TargetMode="External"/><Relationship Id="rId64" Type="http://schemas.openxmlformats.org/officeDocument/2006/relationships/hyperlink" Target="http://www.sec.gov/Archives/edgar/data/1137091/000119312520330594/d57841dex102.htm" TargetMode="External"/><Relationship Id="rId65" Type="http://schemas.openxmlformats.org/officeDocument/2006/relationships/hyperlink" Target="http://www.sec.gov/Archives/edgar/data/1137091/000119312521359155/d242357dex101.htm" TargetMode="External"/><Relationship Id="rId66" Type="http://schemas.openxmlformats.org/officeDocument/2006/relationships/hyperlink" Target="http://www.sec.gov/Archives/edgar/data/1137091/000119312522085948/d314331dex101.htm" TargetMode="External"/><Relationship Id="rId67" Type="http://schemas.openxmlformats.org/officeDocument/2006/relationships/hyperlink" Target="http://www.sec.gov/Archives/edgar/data/1137091/000119312522085948/d314331dex102.htm" TargetMode="External"/><Relationship Id="rId68" Type="http://schemas.openxmlformats.org/officeDocument/2006/relationships/hyperlink" Target="http://www.sec.gov/Archives/edgar/data/1137091/000119312522085948/d314331dex103.htm" TargetMode="External"/><Relationship Id="rId69" Type="http://schemas.openxmlformats.org/officeDocument/2006/relationships/hyperlink" Target="http://www.sec.gov/Archives/edgar/data/1137091/000119312522137049/d231143dex1032.htm" TargetMode="External"/><Relationship Id="rId73" Type="http://schemas.openxmlformats.org/officeDocument/2006/relationships/hyperlink" Target="http://www.sec.gov/Archives/edgar/data/1137091/000119312522113198/d352371dex101.htm" TargetMode="External"/><Relationship Id="rId74" Type="http://schemas.openxmlformats.org/officeDocument/2006/relationships/hyperlink" Target="http://www.sec.gov/Archives/edgar/data/1137091/000119312522177629/d354569dex101.htm" TargetMode="External"/><Relationship Id="rId75" Type="http://schemas.openxmlformats.org/officeDocument/2006/relationships/hyperlink" Target="http://www.sec.gov/Archives/edgar/data/1137091/000119312522185050/d354725dex101.htm" TargetMode="External"/><Relationship Id="rId76" Type="http://schemas.openxmlformats.org/officeDocument/2006/relationships/hyperlink" Target="http://www.sec.gov/Archives/edgar/data/1137091/000119312522200900/d382551dex101.htm" TargetMode="External"/><Relationship Id="rId77" Type="http://schemas.openxmlformats.org/officeDocument/2006/relationships/hyperlink" Target="http://www.sec.gov/Archives/edgar/data/1137091/000119312522297566/d431204dex101.htm" TargetMode="External"/><Relationship Id="rId78" Type="http://schemas.openxmlformats.org/officeDocument/2006/relationships/hyperlink" Target="http://www.sec.gov/Archives/edgar/data/1137091/000119312523080430/d307726dex101.htm" TargetMode="External"/><Relationship Id="rId79" Type="http://schemas.openxmlformats.org/officeDocument/2006/relationships/hyperlink" Target="http://www.sec.gov/Archives/edgar/data/1137091/000119312523115481/d494148dex101.htm" TargetMode="External"/><Relationship Id="rId80" Type="http://schemas.openxmlformats.org/officeDocument/2006/relationships/hyperlink" Target="http://www.sec.gov/Archives/edgar/data/1137091/000113709124000007/exhibit1035ltip.htm" TargetMode="External"/><Relationship Id="rId81" Type="http://schemas.openxmlformats.org/officeDocument/2006/relationships/hyperlink" Target="http://www.sec.gov/Archives/edgar/data/1137091/000119312523083872/d482026dex101.htm" TargetMode="External"/><Relationship Id="rId82" Type="http://schemas.openxmlformats.org/officeDocument/2006/relationships/hyperlink" Target="http://www.sec.gov/Archives/edgar/data/1137091/000119312523083872/d482026dex102.htm" TargetMode="External"/><Relationship Id="rId83" Type="http://schemas.openxmlformats.org/officeDocument/2006/relationships/hyperlink" Target="http://www.sec.gov/Archives/edgar/data/1137091/000119312523083872/d482026dex103.htm" TargetMode="External"/><Relationship Id="rId84" Type="http://schemas.openxmlformats.org/officeDocument/2006/relationships/hyperlink" Target="http://www.sec.gov/Archives/edgar/data/1137091/000119312523146976/d501463dex101.htm" TargetMode="External"/><Relationship Id="rId85" Type="http://schemas.openxmlformats.org/officeDocument/2006/relationships/hyperlink" Target="http://www.sec.gov/Archives/edgar/data/1137091/000119312523165466/d474513dex101.htm" TargetMode="External"/><Relationship Id="rId86" Type="http://schemas.openxmlformats.org/officeDocument/2006/relationships/hyperlink" Target="http://www.sec.gov/Archives/edgar/data/1137091/000119312523289287/d634577dex101.htm" TargetMode="External"/><Relationship Id="rId90" Type="http://schemas.openxmlformats.org/officeDocument/2006/relationships/hyperlink" Target="http://www.sec.gov/Archives/edgar/data/1137091/000119312524055900/d797136dex101.htm" TargetMode="External"/><Relationship Id="rId91" Type="http://schemas.openxmlformats.org/officeDocument/2006/relationships/hyperlink" Target="http://www.sec.gov/Archives/edgar/data/1137091/000119312524080563/d811155dex101.htm" TargetMode="External"/><Relationship Id="rId92" Type="http://schemas.openxmlformats.org/officeDocument/2006/relationships/hyperlink" Target="http://www.sec.gov/Archives/edgar/data/1137091/000119312524080563/d811155dex102.htm" TargetMode="External"/><Relationship Id="rId93" Type="http://schemas.openxmlformats.org/officeDocument/2006/relationships/hyperlink" Target="http://www.sec.gov/Archives/edgar/data/1137091/000119312522163183/d364450ddef14a.htm" TargetMode="External"/><Relationship Id="rId94" Type="http://schemas.openxmlformats.org/officeDocument/2006/relationships/hyperlink" Target="http://www.sec.gov/Archives/edgar/data/1137091/000119312525106337/d98452dex101.htm" TargetMode="External"/><Relationship Id="rId95" Type="http://schemas.openxmlformats.org/officeDocument/2006/relationships/hyperlink" Target="http://www.sec.gov/Archives/edgar/data/1137091/000119312525207384/d85780dex101.htm" TargetMode="External"/><Relationship Id="rId96" Type="http://schemas.openxmlformats.org/officeDocument/2006/relationships/hyperlink" Target="http://www.sec.gov/Archives/edgar/data/1137091/000119312526100834/d114678dex101.htm" TargetMode="External"/><Relationship Id="rId97" Type="http://schemas.openxmlformats.org/officeDocument/2006/relationships/hyperlink" Target="http://www.sec.gov/Archives/edgar/data/1137091/000119312526100834/d114678dex102.htm" TargetMode="External"/><Relationship Id="rId98" Type="http://schemas.openxmlformats.org/officeDocument/2006/relationships/hyperlink" Target="http://www.sec.gov/Archives/edgar/data/1137091/000113709125000005/exhibit191-psixinsidertrad.htm" TargetMode="External"/><Relationship Id="rId99" Type="http://schemas.openxmlformats.org/officeDocument/2006/relationships/hyperlink" Target="http://www.sec.gov/Archives/edgar/data/1137091/000113709125000005/exhibit211-psiandconsolida.htm" TargetMode="External"/><Relationship Id="rId100" Type="http://schemas.openxmlformats.org/officeDocument/2006/relationships/hyperlink" Target="http://www.sec.gov/Archives/edgar/data/1137091/000162828026013207/exhibit231-bdoconsent31.htm" TargetMode="External"/><Relationship Id="rId101" Type="http://schemas.openxmlformats.org/officeDocument/2006/relationships/hyperlink" Target="http://www.sec.gov/Archives/edgar/data/1137091/000113709125000005/exhibit311-ceocertificatio.htm" TargetMode="External"/><Relationship Id="rId102" Type="http://schemas.openxmlformats.org/officeDocument/2006/relationships/hyperlink" Target="http://www.sec.gov/Archives/edgar/data/1137091/000113709125000005/exhibit312-cfocertificatio.htm" TargetMode="External"/><Relationship Id="rId103" Type="http://schemas.openxmlformats.org/officeDocument/2006/relationships/hyperlink" Target="http://www.sec.gov/Archives/edgar/data/1137091/000113709125000005/exhibit321-ceocertificatio.htm" TargetMode="External"/><Relationship Id="rId104" Type="http://schemas.openxmlformats.org/officeDocument/2006/relationships/hyperlink" Target="http://www.sec.gov/Archives/edgar/data/1137091/000113709125000005/exhibit322-cfocertificatio.htm" TargetMode="External"/><Relationship Id="rId105" Type="http://schemas.openxmlformats.org/officeDocument/2006/relationships/hyperlink" Target="http://www.sec.gov/Archives/edgar/data/1137091/000113709125000005/exhibit971-psiclawbackpol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2026-04-30T14:38:17Z</dcterms:created>
  <dcterms:modified xsi:type="dcterms:W3CDTF">2026-04-30T14:38:17Z</dcterms:modified>
</cp:coreProperties>
</file>