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11,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Power Solutions International,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6147" w:type="dxa"/>
        <w:jc w:val="left"/>
        <w:tblInd w:w="0" w:type="dxa"/>
        <w:tblLayout w:type="fixed"/>
        <w:tblCellMar>
          <w:top w:w="28" w:type="dxa"/>
          <w:left w:w="28" w:type="dxa"/>
          <w:bottom w:w="28" w:type="dxa"/>
          <w:right w:w="28" w:type="dxa"/>
        </w:tblCellMar>
      </w:tblPr>
      <w:tblGrid>
        <w:gridCol w:w="869"/>
        <w:gridCol w:w="764"/>
        <w:gridCol w:w="766"/>
        <w:gridCol w:w="729"/>
        <w:gridCol w:w="729"/>
        <w:gridCol w:w="731"/>
        <w:gridCol w:w="456"/>
        <w:gridCol w:w="456"/>
        <w:gridCol w:w="647"/>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(State or other jurisdiction of </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incorporation)</w:t>
            </w:r>
          </w:p>
        </w:tc>
        <w:tc>
          <w:tcPr>
            <w:tcW w:w="218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001-35944</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w:t>
            </w:r>
          </w:p>
        </w:tc>
        <w:tc>
          <w:tcPr>
            <w:tcW w:w="155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33-0963637</w:t>
            </w:r>
          </w:p>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 xml:space="preserve">(I.R.S. Employer </w:t>
            </w:r>
          </w:p>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Identification No.)</w:t>
            </w:r>
          </w:p>
        </w:tc>
      </w:tr>
      <w:tr>
        <w:trPr/>
        <w:tc>
          <w:tcPr>
            <w:tcW w:w="6147"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201 Mittel Drive</w:t>
            </w:r>
            <w:r>
              <w:rPr>
                <w:color w:val="3051F2"/>
              </w:rPr>
              <w:t xml:space="preserve"> </w:t>
            </w:r>
            <w:r>
              <w:rPr>
                <w:rFonts w:ascii="Times New Roman;serif" w:hAnsi="Times New Roman;serif"/>
                <w:b/>
                <w:color w:val="000000"/>
                <w:sz w:val="20"/>
              </w:rPr>
              <w:t>Wood Dale, Illinois 60191</w:t>
            </w:r>
          </w:p>
        </w:tc>
      </w:tr>
      <w:tr>
        <w:trPr/>
        <w:tc>
          <w:tcPr>
            <w:tcW w:w="614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614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(630) 350-9400</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10021" w:type="dxa"/>
        <w:jc w:val="left"/>
        <w:tblInd w:w="0" w:type="dxa"/>
        <w:tblLayout w:type="fixed"/>
        <w:tblCellMar>
          <w:top w:w="28" w:type="dxa"/>
          <w:left w:w="28" w:type="dxa"/>
          <w:bottom w:w="28" w:type="dxa"/>
          <w:right w:w="28" w:type="dxa"/>
        </w:tblCellMar>
      </w:tblPr>
      <w:tblGrid>
        <w:gridCol w:w="1366"/>
        <w:gridCol w:w="1199"/>
        <w:gridCol w:w="1199"/>
        <w:gridCol w:w="308"/>
        <w:gridCol w:w="308"/>
        <w:gridCol w:w="308"/>
        <w:gridCol w:w="744"/>
        <w:gridCol w:w="744"/>
        <w:gridCol w:w="746"/>
        <w:gridCol w:w="308"/>
        <w:gridCol w:w="308"/>
        <w:gridCol w:w="308"/>
        <w:gridCol w:w="637"/>
        <w:gridCol w:w="637"/>
        <w:gridCol w:w="901"/>
      </w:tblGrid>
      <w:tr>
        <w:trPr/>
        <w:tc>
          <w:tcPr>
            <w:tcW w:w="136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0021" w:type="dxa"/>
            <w:gridSpan w:val="15"/>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w:t>
            </w:r>
            <w:r>
              <w:rPr>
                <w:rFonts w:ascii="Times New Roman;serif" w:hAnsi="Times New Roman;serif"/>
                <w:b/>
                <w:color w:val="000000"/>
                <w:sz w:val="20"/>
              </w:rPr>
              <w:t>Trading Symbol(s)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Name of each exchange </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on which registered</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PSIX</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Nasdaq Stock Market</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8"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Emerging growth company    ☐</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Item 7.01 - Regulation FD Disclosure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May 11, 2026, Power Solutions International, Inc. (the “Company”) issued a press release announcing first quarter 2026 financial results and containing its outlook for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contained under Item 2.02 in this Current Report on Form 8-K, including Exhibit 99.1, is being furnished and shall not be deemed to be “filed” for purposes of Section 18 of the Securities Exchange Act of 1934, as amended (the “Exchange Act”), or otherwise subject to the liabilities of that section, and will not be incorporated by reference into any registration statement or other document filed under the Securities Act of 1933, as amended, or the Exchange Act, except as expressly set forth by specific reference in such filing.</w:t>
      </w:r>
    </w:p>
    <w:p>
      <w:pPr>
        <w:pStyle w:val="TextBody"/>
        <w:bidi w:val="0"/>
        <w:spacing w:lineRule="auto" w:line="288" w:before="108" w:after="283"/>
        <w:jc w:val="left"/>
        <w:rPr>
          <w:rFonts w:ascii="Times New Roman;serif" w:hAnsi="Times New Roman;serif"/>
          <w:b/>
          <w:color w:val="000000"/>
          <w:sz w:val="22"/>
        </w:rPr>
      </w:pPr>
      <w:r>
        <w:rPr>
          <w:rFonts w:ascii="Times New Roman;serif" w:hAnsi="Times New Roman;serif"/>
          <w:b/>
          <w:color w:val="000000"/>
          <w:sz w:val="22"/>
        </w:rPr>
        <w:t>Item 9.01 - Financial Statements and Exhibits.</w:t>
      </w:r>
    </w:p>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(d): The following exhibits are being filed herewith:</w:t>
      </w:r>
    </w:p>
    <w:p>
      <w:pPr>
        <w:pStyle w:val="TextBody"/>
        <w:bidi w:val="0"/>
        <w:spacing w:before="0" w:after="0"/>
        <w:jc w:val="left"/>
        <w:rPr/>
      </w:pPr>
      <w:r>
        <w:rPr/>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28"/>
        <w:gridCol w:w="1928"/>
        <w:gridCol w:w="274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psiearningsrelease-march31.htm">
              <w:r>
                <w:rPr>
                  <w:rStyle w:val="InternetLink"/>
                  <w:rFonts w:ascii="Times New Roman;serif" w:hAnsi="Times New Roman;serif"/>
                  <w:b w:val="false"/>
                  <w:color w:val="0000FF"/>
                  <w:sz w:val="20"/>
                  <w:u w:val="single"/>
                </w:rPr>
                <w:t>Press Release of Power Solutions International, Inc., dated May 11,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108" w:after="283"/>
        <w:jc w:val="left"/>
        <w:rPr/>
      </w:pPr>
      <w:r>
        <w:rPr/>
      </w:r>
    </w:p>
    <w:p>
      <w:pPr>
        <w:pStyle w:val="TextBody"/>
        <w:bidi w:val="0"/>
        <w:spacing w:before="0" w:after="2"/>
        <w:jc w:val="left"/>
        <w:rPr/>
      </w:pPr>
      <w:r>
        <w:rPr/>
      </w:r>
    </w:p>
    <w:p>
      <w:pPr>
        <w:pStyle w:val="TextBody"/>
        <w:bidi w:val="0"/>
        <w:spacing w:before="120" w:after="283"/>
        <w:jc w:val="center"/>
        <w:rPr/>
      </w:pPr>
      <w:r>
        <w:rPr/>
      </w:r>
    </w:p>
    <w:p>
      <w:pPr>
        <w:pStyle w:val="TextBody"/>
        <w:bidi w:val="0"/>
        <w:spacing w:before="0" w:after="2"/>
        <w:jc w:val="center"/>
        <w:rPr/>
      </w:pPr>
      <w:r>
        <w:rPr/>
      </w:r>
    </w:p>
    <w:p>
      <w:pPr>
        <w:pStyle w:val="TextBody"/>
        <w:bidi w:val="0"/>
        <w:spacing w:before="0" w:after="2"/>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 on this 11th day of May, 2026.</w:t>
      </w:r>
    </w:p>
    <w:p>
      <w:pPr>
        <w:pStyle w:val="TextBody"/>
        <w:bidi w:val="0"/>
        <w:spacing w:before="0" w:after="0"/>
        <w:jc w:val="left"/>
        <w:rPr/>
      </w:pPr>
      <w:r>
        <w:rPr/>
      </w:r>
    </w:p>
    <w:p>
      <w:pPr>
        <w:pStyle w:val="TextBody"/>
        <w:bidi w:val="0"/>
        <w:spacing w:before="0" w:after="0"/>
        <w:jc w:val="left"/>
        <w:rPr/>
      </w:pPr>
      <w:r>
        <w:rPr/>
      </w:r>
    </w:p>
    <w:tbl>
      <w:tblPr>
        <w:tblW w:w="4710" w:type="dxa"/>
        <w:jc w:val="right"/>
        <w:tblInd w:w="0" w:type="dxa"/>
        <w:tblLayout w:type="fixed"/>
        <w:tblCellMar>
          <w:top w:w="28" w:type="dxa"/>
          <w:left w:w="28" w:type="dxa"/>
          <w:bottom w:w="28" w:type="dxa"/>
          <w:right w:w="28" w:type="dxa"/>
        </w:tblCellMar>
      </w:tblPr>
      <w:tblGrid>
        <w:gridCol w:w="818"/>
        <w:gridCol w:w="717"/>
        <w:gridCol w:w="717"/>
        <w:gridCol w:w="717"/>
        <w:gridCol w:w="717"/>
        <w:gridCol w:w="1024"/>
      </w:tblGrid>
      <w:tr>
        <w:trPr/>
        <w:tc>
          <w:tcPr>
            <w:tcW w:w="81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r>
      <w:tr>
        <w:trPr/>
        <w:tc>
          <w:tcPr>
            <w:tcW w:w="4710"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POWER SOLUTIONS INTERNATIONAL, INC.</w:t>
            </w:r>
          </w:p>
        </w:tc>
      </w:tr>
      <w:tr>
        <w:trP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5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/s/ Xun Li</w:t>
            </w:r>
          </w:p>
        </w:tc>
      </w:tr>
      <w:tr>
        <w:trP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Xun Li</w:t>
            </w:r>
          </w:p>
        </w:tc>
      </w:tr>
      <w:tr>
        <w:trP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drawing>
          <wp:inline distT="0" distB="0" distL="0" distR="0">
            <wp:extent cx="1419225" cy="3048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419225" cy="304800"/>
                    </a:xfrm>
                    <a:prstGeom prst="rect">
                      <a:avLst/>
                    </a:prstGeom>
                  </pic:spPr>
                </pic:pic>
              </a:graphicData>
            </a:graphic>
          </wp:inline>
        </w:drawing>
      </w:r>
      <w:r>
        <w:rPr>
          <w:color w:val="000000"/>
        </w:rPr>
        <w:t xml:space="preserve"> </w:t>
      </w: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15.6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before="0" w:after="0"/>
        <w:jc w:val="left"/>
        <w:rPr/>
      </w:pPr>
      <w:r>
        <w:rPr/>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Power Solutions International Announces First Quarter 2026 Financial Results</w:t>
      </w:r>
    </w:p>
    <w:p>
      <w:pPr>
        <w:pStyle w:val="TextBody"/>
        <w:bidi w:val="0"/>
        <w:spacing w:lineRule="auto" w:line="360" w:before="0" w:after="0"/>
        <w:jc w:val="center"/>
        <w:rPr/>
      </w:pPr>
      <w:r>
        <w:rPr>
          <w:rFonts w:ascii="Times New Roman;serif" w:hAnsi="Times New Roman;serif"/>
          <w:b/>
          <w:i/>
          <w:color w:val="000000"/>
          <w:sz w:val="24"/>
        </w:rPr>
        <w:t xml:space="preserve">First Quarter Net Sales of </w:t>
      </w:r>
      <w:r>
        <w:rPr>
          <w:rFonts w:ascii="Times New Roman;serif" w:hAnsi="Times New Roman;serif"/>
          <w:b/>
          <w:i/>
          <w:color w:val="000000"/>
          <w:sz w:val="24"/>
          <w:shd w:fill="FFFFFF" w:val="clear"/>
        </w:rPr>
        <w:t>$128.6 million</w:t>
      </w:r>
    </w:p>
    <w:p>
      <w:pPr>
        <w:pStyle w:val="TextBody"/>
        <w:bidi w:val="0"/>
        <w:spacing w:lineRule="auto" w:line="360" w:before="0" w:after="0"/>
        <w:jc w:val="center"/>
        <w:rPr/>
      </w:pPr>
      <w:r>
        <w:rPr>
          <w:rFonts w:ascii="Times New Roman;serif" w:hAnsi="Times New Roman;serif"/>
          <w:b/>
          <w:i/>
          <w:color w:val="000000"/>
          <w:sz w:val="24"/>
        </w:rPr>
        <w:t xml:space="preserve">First Quarter Net Income of </w:t>
      </w:r>
      <w:r>
        <w:rPr>
          <w:rFonts w:ascii="Times New Roman;serif" w:hAnsi="Times New Roman;serif"/>
          <w:b/>
          <w:i/>
          <w:color w:val="000000"/>
          <w:sz w:val="24"/>
          <w:shd w:fill="FFFFFF" w:val="clear"/>
        </w:rPr>
        <w:t>$7.3 million</w:t>
      </w:r>
    </w:p>
    <w:p>
      <w:pPr>
        <w:pStyle w:val="TextBody"/>
        <w:bidi w:val="0"/>
        <w:spacing w:lineRule="auto" w:line="360" w:before="0" w:after="0"/>
        <w:jc w:val="center"/>
        <w:rPr/>
      </w:pPr>
      <w:r>
        <w:rPr>
          <w:rFonts w:ascii="Times New Roman;serif" w:hAnsi="Times New Roman;serif"/>
          <w:b/>
          <w:i/>
          <w:color w:val="000000"/>
          <w:sz w:val="24"/>
        </w:rPr>
        <w:t xml:space="preserve">Diluted EPS of </w:t>
      </w:r>
      <w:r>
        <w:rPr>
          <w:rFonts w:ascii="Times New Roman;serif" w:hAnsi="Times New Roman;serif"/>
          <w:b/>
          <w:i/>
          <w:color w:val="000000"/>
          <w:sz w:val="24"/>
          <w:shd w:fill="FFFFFF" w:val="clear"/>
        </w:rPr>
        <w:t>$0.32</w:t>
      </w:r>
      <w:r>
        <w:rPr>
          <w:color w:val="000000"/>
        </w:rPr>
        <w:t xml:space="preserve"> </w:t>
      </w:r>
      <w:r>
        <w:rPr>
          <w:rFonts w:ascii="Times New Roman;serif" w:hAnsi="Times New Roman;serif"/>
          <w:b/>
          <w:i/>
          <w:color w:val="000000"/>
          <w:sz w:val="24"/>
        </w:rPr>
        <w:t>for the Quarter</w:t>
      </w:r>
    </w:p>
    <w:p>
      <w:pPr>
        <w:pStyle w:val="TextBody"/>
        <w:bidi w:val="0"/>
        <w:spacing w:before="0" w:after="0"/>
        <w:jc w:val="center"/>
        <w:rPr/>
      </w:pPr>
      <w:r>
        <w:rPr/>
      </w:r>
    </w:p>
    <w:p>
      <w:pPr>
        <w:pStyle w:val="TextBody"/>
        <w:bidi w:val="0"/>
        <w:spacing w:lineRule="auto" w:line="256" w:before="0" w:after="0"/>
        <w:jc w:val="both"/>
        <w:rPr/>
      </w:pPr>
      <w:r>
        <w:rPr>
          <w:rFonts w:ascii="Times New Roman;serif" w:hAnsi="Times New Roman;serif"/>
          <w:b w:val="false"/>
          <w:color w:val="000000"/>
          <w:sz w:val="24"/>
        </w:rPr>
        <w:t xml:space="preserve">WOOD DALE, Ill., May 11, 2026 </w:t>
      </w:r>
      <w:r>
        <w:rPr>
          <w:color w:val="000000"/>
        </w:rPr>
        <w:t xml:space="preserve">– </w:t>
      </w:r>
      <w:r>
        <w:rPr>
          <w:rFonts w:ascii="Times New Roman;serif" w:hAnsi="Times New Roman;serif"/>
          <w:b w:val="false"/>
          <w:color w:val="000000"/>
          <w:sz w:val="24"/>
        </w:rPr>
        <w:t>Power Solutions International, Inc. (the “Company” or “PSI”) (Nasdaq: PSIX), a leader in the design, engineering and manufacture of emission-certified engines and power systems, today announced its financial results for the first quarter of 2026.</w:t>
      </w:r>
    </w:p>
    <w:p>
      <w:pPr>
        <w:pStyle w:val="TextBody"/>
        <w:bidi w:val="0"/>
        <w:spacing w:lineRule="auto" w:line="288" w:before="120" w:after="120"/>
        <w:jc w:val="left"/>
        <w:rPr>
          <w:rFonts w:ascii="Times New Roman;serif" w:hAnsi="Times New Roman;serif"/>
          <w:b/>
          <w:color w:val="000000"/>
          <w:sz w:val="24"/>
          <w:u w:val="single"/>
        </w:rPr>
      </w:pPr>
      <w:r>
        <w:rPr>
          <w:rFonts w:ascii="Times New Roman;serif" w:hAnsi="Times New Roman;serif"/>
          <w:b/>
          <w:color w:val="000000"/>
          <w:sz w:val="24"/>
          <w:u w:val="single"/>
        </w:rPr>
        <w:t>Financial Highlights</w:t>
      </w:r>
    </w:p>
    <w:tbl>
      <w:tblPr>
        <w:tblW w:w="7079" w:type="dxa"/>
        <w:jc w:val="left"/>
        <w:tblInd w:w="0" w:type="dxa"/>
        <w:tblLayout w:type="fixed"/>
        <w:tblCellMar>
          <w:top w:w="28" w:type="dxa"/>
          <w:left w:w="28" w:type="dxa"/>
          <w:bottom w:w="28" w:type="dxa"/>
          <w:right w:w="28" w:type="dxa"/>
        </w:tblCellMar>
      </w:tblPr>
      <w:tblGrid>
        <w:gridCol w:w="1231"/>
        <w:gridCol w:w="1085"/>
        <w:gridCol w:w="1089"/>
        <w:gridCol w:w="479"/>
        <w:gridCol w:w="479"/>
        <w:gridCol w:w="481"/>
        <w:gridCol w:w="479"/>
        <w:gridCol w:w="479"/>
        <w:gridCol w:w="481"/>
        <w:gridCol w:w="233"/>
        <w:gridCol w:w="233"/>
        <w:gridCol w:w="330"/>
      </w:tblGrid>
      <w:tr>
        <w:trPr/>
        <w:tc>
          <w:tcPr>
            <w:tcW w:w="123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 except per share amounts)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$128.6</w:t>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$135.4</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$29.4</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$40.3</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$0.32</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$0.83</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$(0.51)</w:t>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4"/>
        </w:rPr>
        <w:t xml:space="preserve">Dino Xykis, Chief Executive Officer, said: </w:t>
      </w:r>
      <w:r>
        <w:rPr>
          <w:color w:val="000000"/>
          <w:shd w:fill="FFFFFF" w:val="clear"/>
        </w:rPr>
        <w:t>“</w:t>
      </w:r>
      <w:r>
        <w:rPr>
          <w:rFonts w:ascii="Times New Roman;serif" w:hAnsi="Times New Roman;serif"/>
          <w:b w:val="false"/>
          <w:color w:val="000000"/>
          <w:sz w:val="24"/>
        </w:rPr>
        <w:t>Our first quarter results were below the strong prior-year period, which had benefited from significant growth in our Power Systems business. The year-over-year declines in sales and profitability primarily reflected softer oil and gas demand, the timing of certain Power Systems shipments, and elevated production costs associated with the capacity ramp-up in our Wisconsin operations.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At the same time, demand related to data center applications remains solid. Gross margin improved sequentially from the fourth quarter of 2025, partially offset by unfavorable product mix.”</w:t>
      </w:r>
    </w:p>
    <w:p>
      <w:pPr>
        <w:pStyle w:val="TextBody"/>
        <w:bidi w:val="0"/>
        <w:spacing w:lineRule="auto" w:line="288" w:before="120" w:after="120"/>
        <w:jc w:val="left"/>
        <w:rPr>
          <w:rFonts w:ascii="Times New Roman;serif" w:hAnsi="Times New Roman;serif"/>
          <w:b/>
          <w:color w:val="000000"/>
          <w:sz w:val="24"/>
          <w:u w:val="single"/>
        </w:rPr>
      </w:pPr>
      <w:r>
        <w:rPr>
          <w:rFonts w:ascii="Times New Roman;serif" w:hAnsi="Times New Roman;serif"/>
          <w:b/>
          <w:color w:val="000000"/>
          <w:sz w:val="24"/>
          <w:u w:val="single"/>
        </w:rPr>
        <w:t>First Quarter 2026 Results</w:t>
      </w:r>
    </w:p>
    <w:p>
      <w:pPr>
        <w:pStyle w:val="TextBody"/>
        <w:bidi w:val="0"/>
        <w:spacing w:lineRule="auto" w:line="288" w:before="120" w:after="120"/>
        <w:jc w:val="both"/>
        <w:rPr/>
      </w:pPr>
      <w:r>
        <w:rPr>
          <w:rFonts w:ascii="Times New Roman;serif" w:hAnsi="Times New Roman;serif"/>
          <w:b w:val="false"/>
          <w:color w:val="000000"/>
          <w:sz w:val="24"/>
          <w:shd w:fill="FFFFFF" w:val="clear"/>
        </w:rPr>
        <w:t xml:space="preserve">Net sales for the first quarter of 2026 were $128.6 million, a decrease of $6.9 million, or 5%, compared to the first quarter of 2025. </w:t>
      </w:r>
      <w:r>
        <w:rPr>
          <w:rFonts w:ascii="Times New Roman;serif" w:hAnsi="Times New Roman;serif"/>
          <w:b w:val="false"/>
          <w:color w:val="000000"/>
          <w:sz w:val="24"/>
        </w:rPr>
        <w:t xml:space="preserve">The decrease reflected lower sales in the power systems end market of </w:t>
      </w:r>
      <w:r>
        <w:rPr>
          <w:rFonts w:ascii="Times New Roman;serif" w:hAnsi="Times New Roman;serif"/>
          <w:b w:val="false"/>
          <w:color w:val="000000"/>
          <w:sz w:val="24"/>
          <w:shd w:fill="FFFFFF" w:val="clear"/>
        </w:rPr>
        <w:t>$10.2 million</w:t>
      </w:r>
      <w:r>
        <w:rPr>
          <w:rFonts w:ascii="Times New Roman;serif" w:hAnsi="Times New Roman;serif"/>
          <w:b w:val="false"/>
          <w:color w:val="000000"/>
          <w:sz w:val="24"/>
        </w:rPr>
        <w:t>, partially offset by increases of</w:t>
      </w:r>
      <w:r>
        <w:rPr>
          <w:color w:val="000000"/>
          <w:shd w:fill="FFFFFF" w:val="clear"/>
        </w:rPr>
        <w:t xml:space="preserve"> </w:t>
      </w:r>
      <w:r>
        <w:rPr>
          <w:rFonts w:ascii="Times New Roman;serif" w:hAnsi="Times New Roman;serif"/>
          <w:b w:val="false"/>
          <w:color w:val="000000"/>
          <w:sz w:val="24"/>
          <w:shd w:fill="FFFFFF" w:val="clear"/>
        </w:rPr>
        <w:t xml:space="preserve">$3.0 million and $0.3 million </w:t>
      </w:r>
      <w:r>
        <w:rPr>
          <w:rFonts w:ascii="Times New Roman;serif" w:hAnsi="Times New Roman;serif"/>
          <w:b w:val="false"/>
          <w:color w:val="000000"/>
          <w:sz w:val="24"/>
        </w:rPr>
        <w:t>in the industrial and transportation end markets, respectively. Sales in the power systems end market declined primarily due to softness in oil and gas markets, together with uneven order patterns and shipment timing for data center-related products. The Company continues to see strong demand for data center power solutions, and expects sales to increase in the second half of 2026. However, the timing and ultimate volume of related shipments remain subject to customer scheduling, manufacturing throughput, supply-chain factors, and other variables, and the Company is not predicting any specific level of data center revenue in any future period.</w:t>
      </w:r>
    </w:p>
    <w:p>
      <w:pPr>
        <w:pStyle w:val="TextBody"/>
        <w:bidi w:val="0"/>
        <w:spacing w:lineRule="auto" w:line="288" w:before="120" w:after="120"/>
        <w:jc w:val="both"/>
        <w:rPr/>
      </w:pPr>
      <w:r>
        <w:rPr>
          <w:rFonts w:ascii="Times New Roman;serif" w:hAnsi="Times New Roman;serif"/>
          <w:b w:val="false"/>
          <w:color w:val="000000"/>
          <w:sz w:val="24"/>
          <w:shd w:fill="FFFFFF" w:val="clear"/>
        </w:rPr>
        <w:t xml:space="preserve">Gross profit for the first quarter of 2026 was $29.4 million, a </w:t>
      </w:r>
      <w:r>
        <w:rPr>
          <w:rFonts w:ascii="Times New Roman;serif" w:hAnsi="Times New Roman;serif"/>
          <w:b w:val="false"/>
          <w:color w:val="000000"/>
          <w:sz w:val="24"/>
        </w:rPr>
        <w:t>decrease</w:t>
      </w:r>
      <w:r>
        <w:rPr>
          <w:color w:val="000000"/>
          <w:shd w:fill="FFFFFF" w:val="clear"/>
        </w:rPr>
        <w:t xml:space="preserve"> </w:t>
      </w:r>
      <w:r>
        <w:rPr>
          <w:rFonts w:ascii="Times New Roman;serif" w:hAnsi="Times New Roman;serif"/>
          <w:b w:val="false"/>
          <w:color w:val="000000"/>
          <w:sz w:val="24"/>
          <w:shd w:fill="FFFFFF" w:val="clear"/>
        </w:rPr>
        <w:t xml:space="preserve">of $10.9 million, or 27%, compared to the first quarter of 2025. Gross margin in the first quarter of 2026 was 22.9%, compared to 29.7% in the same period last year. </w:t>
      </w:r>
      <w:r>
        <w:rPr>
          <w:rFonts w:ascii="Times New Roman;serif" w:hAnsi="Times New Roman;serif"/>
          <w:b w:val="false"/>
          <w:color w:val="000000"/>
          <w:sz w:val="24"/>
        </w:rPr>
        <w:t>Gross margin reflected a lower mix of oil and gas products, together with elevated production costs associated with capacity ramp-up activities supporting data center-related applications at the Company’s Wisconsin operations. On a sequential basis, gross margin improved by approximately 100 basis points compared to the fourth quarter of 2025, owing in part to the Company’s efforts to improve operational efficiency in Wisconsin, but was partially offset by an unfavorable product mix in the first quarter. The Company’s capacity ramp-up activities at its Wisconsin operations are continuing, and the Company expects related production costs to persist; the trajectory of any further sequential improvement remains subject to product mix, throughput and other operational factors.</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color w:val="000000"/>
          <w:sz w:val="24"/>
          <w:shd w:fill="FFFFFF" w:val="clear"/>
        </w:rPr>
        <w:t xml:space="preserve">Research and development expenses during the three months ended March 31, 2026 and 2025 were $4.8 million and $4.2 million, respectively. </w:t>
      </w:r>
      <w:r>
        <w:rPr>
          <w:rFonts w:ascii="Times New Roman;serif" w:hAnsi="Times New Roman;serif"/>
          <w:b w:val="false"/>
          <w:color w:val="000000"/>
          <w:sz w:val="24"/>
        </w:rPr>
        <w:t xml:space="preserve">The increase was primarily driven by higher R&amp;D program expenditures to support new programs in </w:t>
      </w:r>
      <w:r>
        <w:rPr>
          <w:rFonts w:ascii="Times New Roman;serif" w:hAnsi="Times New Roman;serif"/>
          <w:b w:val="false"/>
          <w:color w:val="000000"/>
          <w:sz w:val="24"/>
          <w:shd w:fill="FFFFFF" w:val="clear"/>
        </w:rPr>
        <w:t xml:space="preserve">2026 </w:t>
      </w:r>
      <w:r>
        <w:rPr>
          <w:rFonts w:ascii="Times New Roman;serif" w:hAnsi="Times New Roman;serif"/>
          <w:b w:val="false"/>
          <w:color w:val="000000"/>
          <w:sz w:val="24"/>
        </w:rPr>
        <w:t xml:space="preserve">and the recovery of R&amp;D costs from certain customers in </w:t>
      </w:r>
      <w:r>
        <w:rPr>
          <w:rFonts w:ascii="Times New Roman;serif" w:hAnsi="Times New Roman;serif"/>
          <w:b w:val="false"/>
          <w:color w:val="000000"/>
          <w:sz w:val="24"/>
          <w:shd w:fill="FFFFFF" w:val="clear"/>
        </w:rPr>
        <w:t>2025.</w:t>
      </w:r>
    </w:p>
    <w:p>
      <w:pPr>
        <w:pStyle w:val="TextBody"/>
        <w:bidi w:val="0"/>
        <w:spacing w:lineRule="auto" w:line="288" w:before="120" w:after="120"/>
        <w:jc w:val="both"/>
        <w:rPr/>
      </w:pPr>
      <w:r>
        <w:rPr>
          <w:rFonts w:ascii="Times New Roman;serif" w:hAnsi="Times New Roman;serif"/>
          <w:b w:val="false"/>
          <w:color w:val="000000"/>
          <w:sz w:val="24"/>
          <w:shd w:fill="FFFFFF" w:val="clear"/>
        </w:rPr>
        <w:t>Selling, general and administrative expenses were $13.0 million</w:t>
      </w:r>
      <w:r>
        <w:rPr>
          <w:color w:val="000000"/>
          <w:shd w:fill="FFFFFF" w:val="clear"/>
        </w:rPr>
        <w:t xml:space="preserve"> </w:t>
      </w:r>
      <w:r>
        <w:rPr>
          <w:rFonts w:ascii="Times New Roman;serif" w:hAnsi="Times New Roman;serif"/>
          <w:b w:val="false"/>
          <w:color w:val="000000"/>
          <w:sz w:val="24"/>
          <w:shd w:fill="FFFFFF" w:val="clear"/>
        </w:rPr>
        <w:t xml:space="preserve">during the first quarter of 2026, an </w:t>
      </w:r>
      <w:r>
        <w:rPr>
          <w:rFonts w:ascii="Times New Roman;serif" w:hAnsi="Times New Roman;serif"/>
          <w:b w:val="false"/>
          <w:color w:val="000000"/>
          <w:sz w:val="24"/>
        </w:rPr>
        <w:t>increase</w:t>
      </w:r>
      <w:r>
        <w:rPr>
          <w:color w:val="000000"/>
          <w:shd w:fill="FFFFFF" w:val="clear"/>
        </w:rPr>
        <w:t xml:space="preserve"> </w:t>
      </w:r>
      <w:r>
        <w:rPr>
          <w:rFonts w:ascii="Times New Roman;serif" w:hAnsi="Times New Roman;serif"/>
          <w:b w:val="false"/>
          <w:color w:val="000000"/>
          <w:sz w:val="24"/>
          <w:shd w:fill="FFFFFF" w:val="clear"/>
        </w:rPr>
        <w:t xml:space="preserve">of </w:t>
      </w:r>
      <w:r>
        <w:rPr>
          <w:rFonts w:ascii="Times New Roman;serif" w:hAnsi="Times New Roman;serif"/>
          <w:b w:val="false"/>
          <w:color w:val="000000"/>
          <w:sz w:val="24"/>
        </w:rPr>
        <w:t>$1.9 million, or 17%</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rPr>
        <w:t>compared to the same period in the prior year. The variance primarily reflects higher compensation expense related to the revaluation of previously awarded SARs, incremental selling and administrative expenses associated with MTL Manufacturing and Equipment, and other administrative and management expenses supporting the business in 2026.</w:t>
      </w:r>
    </w:p>
    <w:p>
      <w:pPr>
        <w:pStyle w:val="TextBody"/>
        <w:bidi w:val="0"/>
        <w:spacing w:lineRule="auto" w:line="288" w:before="120" w:after="1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Interest expense was $1.7 million in the first quarter of 2026, compared to $1.8 million in the same period in the prior year, primarily due to lower overall effective interest rates.</w:t>
      </w:r>
    </w:p>
    <w:p>
      <w:pPr>
        <w:pStyle w:val="TextBody"/>
        <w:bidi w:val="0"/>
        <w:spacing w:lineRule="auto" w:line="288" w:before="120" w:after="1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Income tax expense was $2.4 million in the first quarter of 2026, compared to $3.8 million in the same period of the prior year. The decrease was primarily driven by lower pre-tax income in 2026, partially offset by a higher effective tax rate.</w:t>
      </w:r>
    </w:p>
    <w:p>
      <w:pPr>
        <w:pStyle w:val="TextBody"/>
        <w:bidi w:val="0"/>
        <w:spacing w:lineRule="auto" w:line="288" w:before="180" w:after="120"/>
        <w:jc w:val="left"/>
        <w:rPr>
          <w:rFonts w:ascii="Times New Roman;serif" w:hAnsi="Times New Roman;serif"/>
          <w:b/>
          <w:color w:val="000000"/>
          <w:sz w:val="24"/>
          <w:u w:val="single"/>
        </w:rPr>
      </w:pPr>
      <w:r>
        <w:rPr>
          <w:rFonts w:ascii="Times New Roman;serif" w:hAnsi="Times New Roman;serif"/>
          <w:b/>
          <w:color w:val="000000"/>
          <w:sz w:val="24"/>
          <w:u w:val="single"/>
        </w:rPr>
        <w:t>Balance Sheet Update</w:t>
      </w:r>
    </w:p>
    <w:p>
      <w:pPr>
        <w:pStyle w:val="TextBody"/>
        <w:bidi w:val="0"/>
        <w:spacing w:lineRule="auto" w:line="288" w:before="120" w:after="1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The Company’s cash and cash equivalents were approximately $45.1 million, and total debt was approximately $103.4 million, as of March 31, 2026. This compares to cash and cash equivalents of approximately $41.3 million and total debt of approximately $96.8 million as of December 31, 2025. Total debt as of March 31, 2026 included borrowings of $95.0 million under the Company’s Revolving Credit Agreement. </w:t>
      </w:r>
    </w:p>
    <w:p>
      <w:pPr>
        <w:pStyle w:val="TextBody"/>
        <w:bidi w:val="0"/>
        <w:spacing w:lineRule="auto" w:line="288" w:before="120" w:after="120"/>
        <w:jc w:val="both"/>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Outlook for 2026</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Given ongoing variability in order timing and market conditions, the Company is not providing formal full-year guidance at this time. Based on current visibility, the Company currently expects second-quarter 2026 revenue to be generally consistent with the first quarter on a sequential basis. The Company anticipates stronger sales growth in the second half of 2026, approximately in line with sales in the second half of 2025, as larger Power Systems orders move into production and are recognized as revenue. However, the timing and ultimate volume of those shipments remain subject to customer scheduling, manufacturing throughput, supply chain factors and other variables. There can be no assurance that those orders will translate to a uniformly stronger second half. Continued softness in the oil and gas end market is expected to weigh on quarterly revenue trends, and capacity ramp-up activities at the Company’s Wisconsin operations and their related cost effects on gross margin are expected to continue.</w:t>
      </w:r>
    </w:p>
    <w:p>
      <w:pPr>
        <w:pStyle w:val="TextBody"/>
        <w:bidi w:val="0"/>
        <w:spacing w:lineRule="auto" w:line="288" w:before="120" w:after="120"/>
        <w:jc w:val="left"/>
        <w:rPr/>
      </w:pPr>
      <w:r>
        <w:rPr>
          <w:rFonts w:ascii="Times New Roman;serif" w:hAnsi="Times New Roman;serif"/>
          <w:b/>
          <w:color w:val="000000"/>
          <w:sz w:val="24"/>
          <w:u w:val="single"/>
          <w:shd w:fill="FFFFFF" w:val="clear"/>
        </w:rPr>
        <w:t>About Power Solutions International, Inc.</w:t>
      </w:r>
      <w:r>
        <w:rPr>
          <w:color w:val="000000"/>
        </w:rPr>
        <w:t>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Power Solutions International, Inc. (PSI) is a leader in the design, engineering and manufacture of a broad range of advanced, emission-certified engines and power systems. PSI provides integrated turnkey solutions to leading global original equipment manufacturers and end-user customers within the power systems, industrial and transportation end markets. The Company’s in-house design, prototyping, engineering and testing capabilities allow PSI to customize high-performance engines using a fuel-agnostic strategy to run on a wide variety of fuels, including natural gas, propane, gasoline, diesel and biofuels.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PSI develops and delivers complete power systems that are used worldwide in stationary and mobile power generation applications supporting standby, prime, demand response, and microgrid solutions, as well as products and packages supporting the growing data center markets. PSI’s industrial end market provides engine and battery powertrain solutions to serve applications such as forklifts, agricultural and turf, arbor care, industrial sweepers, aerial lifts, irrigation pumps, ground support, and construction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color w:val="000000"/>
          <w:sz w:val="24"/>
        </w:rPr>
        <w:t xml:space="preserve">equipment. PSI’s transportation end market provides engine powertrain solutions to specialized applications such as terminal tractors, port equipment, military vehicles, and other non-road vocational vehicles. For more information on PSI, visit </w:t>
      </w:r>
      <w:r>
        <w:rPr>
          <w:rFonts w:ascii="Times New Roman;serif" w:hAnsi="Times New Roman;serif"/>
          <w:b w:val="false"/>
          <w:color w:val="0000FF"/>
          <w:sz w:val="24"/>
          <w:u w:val="single"/>
        </w:rPr>
        <w:t>www.psiengines.com</w:t>
      </w:r>
      <w:r>
        <w:rPr>
          <w:rFonts w:ascii="Times New Roman;serif" w:hAnsi="Times New Roman;serif"/>
          <w:b w:val="false"/>
          <w:color w:val="000000"/>
          <w:sz w:val="24"/>
        </w:rPr>
        <w:t>.</w:t>
      </w:r>
    </w:p>
    <w:p>
      <w:pPr>
        <w:pStyle w:val="TextBody"/>
        <w:bidi w:val="0"/>
        <w:spacing w:lineRule="auto" w:line="288" w:before="120" w:after="140"/>
        <w:jc w:val="left"/>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Cautionary Note Regarding Forward-Looking Statements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This press release contains forward-looking statements within the meaning of the Private Securities Litigation Reform Act of 1995 and Section 21E of the Securities Exchange Act of 1934, as amended. These forward-looking statements reflect the Company’s current expectations and assumptions regarding future events. Words such as “anticipate,” “believe,” “budget,” “contemplate,” “continue,” “estimate,” “expect,” “forecast,” “guidance,” “intend,” “may,” “outlook,” “plan,” “position,” “project,” “prospect,” “should,” “target,” “will,” “would” and similar expressions are intended to identify forward-looking statements, although not all forward-looking statements contain such identifying words. Forward-looking statements are not guarantees of future performance and are subject to risks, uncertainties and assumptions that could cause actual results to differ materially from those expressed in or implied by such statements.</w:t>
      </w:r>
    </w:p>
    <w:p>
      <w:pPr>
        <w:pStyle w:val="TextBody"/>
        <w:bidi w:val="0"/>
        <w:spacing w:lineRule="auto" w:line="288" w:before="120" w:after="120"/>
        <w:jc w:val="both"/>
        <w:rPr/>
      </w:pPr>
      <w:r>
        <w:rPr>
          <w:rFonts w:ascii="Times New Roman;serif" w:hAnsi="Times New Roman;serif"/>
          <w:b w:val="false"/>
          <w:color w:val="000000"/>
          <w:sz w:val="24"/>
        </w:rPr>
        <w:t xml:space="preserve">Important factors that could cause actual results to differ materially include, without limitation: </w:t>
      </w:r>
      <w:r>
        <w:rPr>
          <w:rFonts w:ascii="Times New Roman;serif" w:hAnsi="Times New Roman;serif"/>
          <w:b w:val="false"/>
          <w:i/>
          <w:color w:val="000000"/>
          <w:sz w:val="24"/>
        </w:rPr>
        <w:t>the timing and ultimate conversion of Power Systems orders into revenue, including data-center-related orders, and the volume and timing of related shipments;</w:t>
      </w:r>
      <w:r>
        <w:rPr>
          <w:color w:val="000000"/>
        </w:rPr>
        <w:t xml:space="preserve"> </w:t>
      </w:r>
      <w:r>
        <w:rPr>
          <w:rFonts w:ascii="Times New Roman;serif" w:hAnsi="Times New Roman;serif"/>
          <w:b w:val="false"/>
          <w:i/>
          <w:color w:val="000000"/>
          <w:sz w:val="24"/>
        </w:rPr>
        <w:t>quarterly variability in product mix and the corresponding effect on gross profit and gross margin;</w:t>
      </w:r>
      <w:r>
        <w:rPr>
          <w:color w:val="000000"/>
        </w:rPr>
        <w:t xml:space="preserve"> </w:t>
      </w:r>
      <w:r>
        <w:rPr>
          <w:rFonts w:ascii="Times New Roman;serif" w:hAnsi="Times New Roman;serif"/>
          <w:b w:val="false"/>
          <w:i/>
          <w:color w:val="000000"/>
          <w:sz w:val="24"/>
        </w:rPr>
        <w:t>the cost, pace, throughput and operational outcomes of capacity ramp-up activities at the Company’s Wisconsin operations, including the duration and magnitude of related production costs;</w:t>
      </w:r>
      <w:r>
        <w:rPr>
          <w:color w:val="000000"/>
        </w:rPr>
        <w:t xml:space="preserve"> </w:t>
      </w:r>
      <w:r>
        <w:rPr>
          <w:rFonts w:ascii="Times New Roman;serif" w:hAnsi="Times New Roman;serif"/>
          <w:b w:val="false"/>
          <w:i/>
          <w:color w:val="000000"/>
          <w:sz w:val="24"/>
        </w:rPr>
        <w:t>the level and persistence of customer demand in the power systems, industrial and transportation end markets;</w:t>
      </w:r>
      <w:r>
        <w:rPr>
          <w:color w:val="000000"/>
        </w:rPr>
        <w:t xml:space="preserve"> </w:t>
      </w:r>
      <w:r>
        <w:rPr>
          <w:rFonts w:ascii="Times New Roman;serif" w:hAnsi="Times New Roman;serif"/>
          <w:b w:val="false"/>
          <w:i/>
          <w:color w:val="000000"/>
          <w:sz w:val="24"/>
        </w:rPr>
        <w:t>volatility in oil and gas prices and corresponding demand for related products; supply-chain disruptions, component availability and supplier performance;</w:t>
      </w:r>
      <w:r>
        <w:rPr>
          <w:color w:val="000000"/>
        </w:rPr>
        <w:t xml:space="preserve"> </w:t>
      </w:r>
      <w:r>
        <w:rPr>
          <w:rFonts w:ascii="Times New Roman;serif" w:hAnsi="Times New Roman;serif"/>
          <w:b w:val="false"/>
          <w:i/>
          <w:color w:val="000000"/>
          <w:sz w:val="24"/>
        </w:rPr>
        <w:t>macroeconomic, regulatory and trade conditions, including U.S. tariffs and trade restrictions;</w:t>
      </w:r>
      <w:r>
        <w:rPr>
          <w:color w:val="000000"/>
        </w:rPr>
        <w:t xml:space="preserve"> </w:t>
      </w:r>
      <w:r>
        <w:rPr>
          <w:rFonts w:ascii="Times New Roman;serif" w:hAnsi="Times New Roman;serif"/>
          <w:b w:val="false"/>
          <w:i/>
          <w:color w:val="000000"/>
          <w:sz w:val="24"/>
        </w:rPr>
        <w:t>integration of recent and future acquisitions, including the acquisition of MTL Manufacturing and Equipment;</w:t>
      </w:r>
      <w:r>
        <w:rPr>
          <w:color w:val="000000"/>
        </w:rPr>
        <w:t xml:space="preserve"> </w:t>
      </w:r>
      <w:r>
        <w:rPr>
          <w:rFonts w:ascii="Times New Roman;serif" w:hAnsi="Times New Roman;serif"/>
          <w:b w:val="false"/>
          <w:i/>
          <w:color w:val="000000"/>
          <w:sz w:val="24"/>
        </w:rPr>
        <w:t>the outcome of pending or threatened litigation and regulatory inquiries, including the previously disclosed putative federal securities class action;</w:t>
      </w:r>
      <w:r>
        <w:rPr>
          <w:color w:val="000000"/>
        </w:rPr>
        <w:t xml:space="preserve"> </w:t>
      </w:r>
      <w:r>
        <w:rPr>
          <w:rFonts w:ascii="Times New Roman;serif" w:hAnsi="Times New Roman;serif"/>
          <w:b w:val="false"/>
          <w:i/>
          <w:color w:val="000000"/>
          <w:sz w:val="24"/>
        </w:rPr>
        <w:t>changes in management or other personnel, including the timing of any related disclosures;</w:t>
      </w:r>
      <w:r>
        <w:rPr>
          <w:color w:val="000000"/>
        </w:rPr>
        <w:t xml:space="preserve"> </w:t>
      </w:r>
      <w:r>
        <w:rPr>
          <w:rFonts w:ascii="Times New Roman;serif" w:hAnsi="Times New Roman;serif"/>
          <w:b w:val="false"/>
          <w:i/>
          <w:color w:val="000000"/>
          <w:sz w:val="24"/>
        </w:rPr>
        <w:t>the ability to recruit and retain key employees;</w:t>
      </w:r>
      <w:r>
        <w:rPr>
          <w:color w:val="000000"/>
        </w:rPr>
        <w:t xml:space="preserve"> </w:t>
      </w:r>
      <w:r>
        <w:rPr>
          <w:rFonts w:ascii="Times New Roman;serif" w:hAnsi="Times New Roman;serif"/>
          <w:b w:val="false"/>
          <w:i/>
          <w:color w:val="000000"/>
          <w:sz w:val="24"/>
        </w:rPr>
        <w:t>the impact of changes in our effective tax rate or applicable tax legislation;</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i/>
          <w:color w:val="000000"/>
          <w:sz w:val="24"/>
        </w:rPr>
        <w:t>the other risks and uncertainties described in the Company’s Annual Report on Form 10-K for the fiscal year ended December 31, 2025 and in the Company’s subsequent filings with the U.S. Securities and Exchange Commission, all of which are incorporated by reference into this press release.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Company’s forward-looking statements speak only as of the date of this filing. Except as required by law, the Company expressly disclaims any intention or obligation to revise or update any forward-looking statement, whether as a result of new information, future events or otherwise. Investors are cautioned not to place undue reliance on any forward-looking statements.</w:t>
      </w:r>
    </w:p>
    <w:p>
      <w:pPr>
        <w:pStyle w:val="TextBody"/>
        <w:bidi w:val="0"/>
        <w:spacing w:lineRule="auto" w:line="288" w:before="120" w:after="140"/>
        <w:jc w:val="left"/>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Contact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Power Solutions International,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Kenneth Li</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630-284-9719</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kli@psiengines.com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Results of operations for the three months ended March 31, 2026 compared with the three months ended March 31, 2025 (UNAUDITED): </w:t>
      </w:r>
    </w:p>
    <w:tbl>
      <w:tblPr>
        <w:tblW w:w="10205" w:type="dxa"/>
        <w:jc w:val="left"/>
        <w:tblInd w:w="0" w:type="dxa"/>
        <w:tblLayout w:type="fixed"/>
        <w:tblCellMar>
          <w:top w:w="28" w:type="dxa"/>
          <w:left w:w="28" w:type="dxa"/>
          <w:bottom w:w="28" w:type="dxa"/>
          <w:right w:w="28" w:type="dxa"/>
        </w:tblCellMar>
      </w:tblPr>
      <w:tblGrid>
        <w:gridCol w:w="1534"/>
        <w:gridCol w:w="1154"/>
        <w:gridCol w:w="1161"/>
        <w:gridCol w:w="109"/>
        <w:gridCol w:w="109"/>
        <w:gridCol w:w="109"/>
        <w:gridCol w:w="221"/>
        <w:gridCol w:w="869"/>
        <w:gridCol w:w="285"/>
        <w:gridCol w:w="114"/>
        <w:gridCol w:w="114"/>
        <w:gridCol w:w="114"/>
        <w:gridCol w:w="221"/>
        <w:gridCol w:w="869"/>
        <w:gridCol w:w="285"/>
        <w:gridCol w:w="109"/>
        <w:gridCol w:w="109"/>
        <w:gridCol w:w="109"/>
        <w:gridCol w:w="211"/>
        <w:gridCol w:w="754"/>
        <w:gridCol w:w="271"/>
        <w:gridCol w:w="109"/>
        <w:gridCol w:w="109"/>
        <w:gridCol w:w="109"/>
        <w:gridCol w:w="213"/>
        <w:gridCol w:w="213"/>
        <w:gridCol w:w="621"/>
      </w:tblGrid>
      <w:tr>
        <w:trPr/>
        <w:tc>
          <w:tcPr>
            <w:tcW w:w="153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thousands, except per share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shd w:fill="FFFFFF" w:val="clear"/>
              </w:rPr>
            </w:pPr>
            <w:r>
              <w:rPr>
                <w:color w:val="000000"/>
                <w:shd w:fill="FFFFFF" w:val="clear"/>
              </w:rPr>
              <w:t> </w:t>
            </w:r>
          </w:p>
        </w:tc>
        <w:tc>
          <w:tcPr>
            <w:tcW w:w="13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2026</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Change</w:t>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sales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 related parties $9 and $464 for the three months ended March 31, 2026 and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128,592 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135,446 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Cost of sales</w:t>
            </w:r>
          </w:p>
          <w:p>
            <w:pPr>
              <w:pStyle w:val="TableContents"/>
              <w:bidi w:val="0"/>
              <w:spacing w:lineRule="auto" w:line="24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(derived from related party net sales $5 and $316 for the three months ended March 31, 2026 and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99,168 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95,152 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4,016 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4 </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29,424 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40,294 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Gross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22.9 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29.7 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(6.8)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4,805 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4,244 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13 </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 as a %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3.7 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3.1 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12,977 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11,109 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1,868 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17 </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 as a %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10.1 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8.2 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249 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307 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(19)</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18,031 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15,660 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shd w:fill="FFFFFF" w:val="clear"/>
              </w:rPr>
            </w:pPr>
            <w:r>
              <w:rPr>
                <w:color w:val="000000"/>
                <w:shd w:fill="FFFFFF" w:val="clear"/>
              </w:rPr>
              <w:t> </w:t>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11,393 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24,634 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(13,241)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(54)</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Interest expense (from related parties $0 and $415 for the three months ended March 31, 2026 and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shd w:fill="FFFFFF" w:val="clear"/>
              </w:rPr>
            </w:pPr>
            <w:r>
              <w:rPr>
                <w:color w:val="000000"/>
                <w:shd w:fill="FFFFFF" w:val="clea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1,745 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1,766 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1,660 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1,766 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9,733 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22,868 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shd w:fill="FFFFFF" w:val="clear"/>
              </w:rPr>
            </w:pPr>
            <w:r>
              <w:rPr>
                <w:color w:val="000000"/>
                <w:shd w:fill="FFFFFF" w:val="clear"/>
              </w:rPr>
              <w:t> </w:t>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2,433 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3,786 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(1,353)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(36)</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7,300 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19,082 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shd w:fill="FFFFFF" w:val="clear"/>
              </w:rPr>
            </w:pPr>
            <w:r>
              <w:rPr>
                <w:color w:val="000000"/>
                <w:shd w:fill="FFFFFF" w:val="clear"/>
              </w:rPr>
              <w:t> </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0.32 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0.83 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(0.51)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(61)</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Financial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Adjusted 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8,005 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19,235 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(11,230)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(58)</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EBITDA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13,170 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25,916 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(12,746)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(49)</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 xml:space="preserve">NM    Not meaningful </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    See reconciliation of non-GAAP financial measures to GAAP results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bl>
      <w:tblPr>
        <w:tblW w:w="10205" w:type="dxa"/>
        <w:jc w:val="left"/>
        <w:tblInd w:w="0" w:type="dxa"/>
        <w:tblLayout w:type="fixed"/>
        <w:tblCellMar>
          <w:top w:w="28" w:type="dxa"/>
          <w:left w:w="28" w:type="dxa"/>
          <w:bottom w:w="28" w:type="dxa"/>
          <w:right w:w="28" w:type="dxa"/>
        </w:tblCellMar>
      </w:tblPr>
      <w:tblGrid>
        <w:gridCol w:w="2683"/>
        <w:gridCol w:w="1851"/>
        <w:gridCol w:w="1861"/>
        <w:gridCol w:w="109"/>
        <w:gridCol w:w="109"/>
        <w:gridCol w:w="109"/>
        <w:gridCol w:w="305"/>
        <w:gridCol w:w="1196"/>
        <w:gridCol w:w="157"/>
        <w:gridCol w:w="109"/>
        <w:gridCol w:w="109"/>
        <w:gridCol w:w="109"/>
        <w:gridCol w:w="264"/>
        <w:gridCol w:w="1037"/>
        <w:gridCol w:w="197"/>
      </w:tblGrid>
      <w:tr>
        <w:trPr/>
        <w:tc>
          <w:tcPr>
            <w:tcW w:w="2683"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6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par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March 31,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$1,399 and $967 as of March 31, 2026 and December 31, 2025, respectively; (from related parties $200 and $415 as of March 31,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90,446 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127,363 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274,830 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290,920 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23,014 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Customs-related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430,682 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424,745 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(to related parties $3,300 and $4,126 as of March 31,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liability,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accrued liabilities (to related parties $88 and $60 as of March 31,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80,373 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92,278 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6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liability,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244,905 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246,136 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6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6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6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6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6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$0.001 par value; 50,000 shares authorized; 23,117 shares issued; 23,051 and 23,041 shares outstanding at March 31,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157,602 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66 and 76 shares at March 31,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185,777 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178,609 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430,682 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424,745 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POWER SOLUTIONS INTERNATIONAL, INC.</w:t>
      </w:r>
    </w:p>
    <w:p>
      <w:pPr>
        <w:pStyle w:val="TextBody"/>
        <w:bidi w:val="0"/>
        <w:spacing w:lineRule="auto" w:line="288" w:before="6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CASH FLOWS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376"/>
        <w:gridCol w:w="2060"/>
        <w:gridCol w:w="2070"/>
        <w:gridCol w:w="109"/>
        <w:gridCol w:w="109"/>
        <w:gridCol w:w="109"/>
        <w:gridCol w:w="289"/>
        <w:gridCol w:w="990"/>
        <w:gridCol w:w="149"/>
        <w:gridCol w:w="149"/>
        <w:gridCol w:w="149"/>
        <w:gridCol w:w="149"/>
        <w:gridCol w:w="289"/>
        <w:gridCol w:w="990"/>
        <w:gridCol w:w="218"/>
      </w:tblGrid>
      <w:tr>
        <w:trPr/>
        <w:tc>
          <w:tcPr>
            <w:tcW w:w="2376"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6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w:t>
            </w:r>
          </w:p>
        </w:tc>
      </w:tr>
      <w:tr>
        <w:trPr/>
        <w:tc>
          <w:tcPr>
            <w:tcW w:w="6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Cash flows from operating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(credit) for losses in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allowance for inventory obsolescence,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business combinations: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Cash flows from investing activities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(13,801)</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Cash from financing activities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long-term debt and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short-term financings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6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to settle tax withholding obligations for stock-based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(10,240)</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58,491 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49,537 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53,659 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120"/>
        <w:jc w:val="both"/>
        <w:rPr/>
      </w:pPr>
      <w:r>
        <w:rPr>
          <w:rFonts w:ascii="Times New Roman;serif" w:hAnsi="Times New Roman;serif"/>
          <w:b w:val="false"/>
          <w:color w:val="000000"/>
          <w:sz w:val="20"/>
        </w:rPr>
        <w:t xml:space="preserve">In addition to the results provided in accordance with U.S. GAAP above, this report also includes non-GAAP (adjusted) financial measures. Non-GAAP financial measures provide insight into selected financial information and should be evaluated in the context in which they are presented. These non-GAAP financial measures have limitations as analytical tools and should not be considered in isolation from, or as a substitute for, financial information presented in compliance with U.S. GAAP, and non-GAAP financial measures as reported by the Company may not be comparable to similarly titled amounts reported by other companies. The non-GAAP financial measures should be considered in conjunction with the consolidated financial statements, including the related notes, and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included in this report. Management does not use these non-GAAP financial measures for any purpose other than the reasons stated below.</w:t>
      </w:r>
    </w:p>
    <w:tbl>
      <w:tblPr>
        <w:tblW w:w="6778" w:type="dxa"/>
        <w:jc w:val="left"/>
        <w:tblInd w:w="0" w:type="dxa"/>
        <w:tblLayout w:type="fixed"/>
        <w:tblCellMar>
          <w:top w:w="28" w:type="dxa"/>
          <w:left w:w="28" w:type="dxa"/>
          <w:bottom w:w="28" w:type="dxa"/>
          <w:right w:w="28" w:type="dxa"/>
        </w:tblCellMar>
      </w:tblPr>
      <w:tblGrid>
        <w:gridCol w:w="1211"/>
        <w:gridCol w:w="1063"/>
        <w:gridCol w:w="1070"/>
        <w:gridCol w:w="1005"/>
        <w:gridCol w:w="1005"/>
        <w:gridCol w:w="1424"/>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Financial Measure</w:t>
            </w:r>
          </w:p>
        </w:tc>
        <w:tc>
          <w:tcPr>
            <w:tcW w:w="34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Comparable GAAP Financial Measure</w:t>
            </w:r>
          </w:p>
        </w:tc>
      </w:tr>
      <w:tr>
        <w:trPr/>
        <w:tc>
          <w:tcPr>
            <w:tcW w:w="3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per share – diluted</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diluted</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believes that Adjusted net income, Adjusted net income per share – diluted, EBITDA, and Adjusted EBITDA provide relevant and useful information, which is widely used by analysts, investors and competitors in its industry as well as by the Company’s management in assessing the performance of the Company. Adjusted net income is defined as net income as adjusted for certain items that the Company believes are not indicative of its ongoing operating performance. Adjusted net income per share – diluted is a measure of the Company’s diluted earnings per common share adjusted for the impact of special items. EBITDA provides the Company with an understanding of earnings before the impact of investing and financing charges and income taxes. Adjusted EBITDA further excludes the effects of other non-cash charges and certain other items that do not reflect the ordinary earnings of the Company’s operations.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Adjusted net income, Adjusted net income per share – diluted, EBITDA, and Adjusted EBITDA are used by management for various purposes, including as a measure of performance of the Company’s operations and as a basis for strategic planning and forecasting. Adjusted net income, Adjusted net income per share – diluted, and Adjusted EBITDA may be useful to an investor because these measures are widely used to evaluate companies’ operating performance without regard to items excluded from the calculation of such measures, which can vary substantially from company to company depending on the accounting methods, the book value of assets, the capital structure and the method by which the assets were acquired, among other factors. They are not, however, intended as alternative measures of operating results or cash flow from operations as determined in accordance with U.S. GAAP.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from Net income to Adjusted net income for the three months ended March 31, 2026 and 2025:</w:t>
      </w:r>
    </w:p>
    <w:tbl>
      <w:tblPr>
        <w:tblW w:w="6671" w:type="dxa"/>
        <w:jc w:val="left"/>
        <w:tblInd w:w="0" w:type="dxa"/>
        <w:tblLayout w:type="fixed"/>
        <w:tblCellMar>
          <w:top w:w="28" w:type="dxa"/>
          <w:left w:w="28" w:type="dxa"/>
          <w:bottom w:w="28" w:type="dxa"/>
          <w:right w:w="28" w:type="dxa"/>
        </w:tblCellMar>
      </w:tblPr>
      <w:tblGrid>
        <w:gridCol w:w="873"/>
        <w:gridCol w:w="769"/>
        <w:gridCol w:w="773"/>
        <w:gridCol w:w="109"/>
        <w:gridCol w:w="109"/>
        <w:gridCol w:w="109"/>
        <w:gridCol w:w="316"/>
        <w:gridCol w:w="922"/>
        <w:gridCol w:w="163"/>
        <w:gridCol w:w="163"/>
        <w:gridCol w:w="163"/>
        <w:gridCol w:w="163"/>
        <w:gridCol w:w="316"/>
        <w:gridCol w:w="1079"/>
        <w:gridCol w:w="163"/>
        <w:gridCol w:w="109"/>
        <w:gridCol w:w="109"/>
        <w:gridCol w:w="109"/>
        <w:gridCol w:w="154"/>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Severance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legal matters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from Net income per share – diluted to Adjusted net income per share – diluted for the three months ended March 31, 2026 and 2025:</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692" w:type="dxa"/>
        <w:jc w:val="left"/>
        <w:tblInd w:w="0" w:type="dxa"/>
        <w:tblLayout w:type="fixed"/>
        <w:tblCellMar>
          <w:top w:w="28" w:type="dxa"/>
          <w:left w:w="28" w:type="dxa"/>
          <w:bottom w:w="28" w:type="dxa"/>
          <w:right w:w="28" w:type="dxa"/>
        </w:tblCellMar>
      </w:tblPr>
      <w:tblGrid>
        <w:gridCol w:w="1245"/>
        <w:gridCol w:w="1091"/>
        <w:gridCol w:w="1099"/>
        <w:gridCol w:w="109"/>
        <w:gridCol w:w="109"/>
        <w:gridCol w:w="109"/>
        <w:gridCol w:w="366"/>
        <w:gridCol w:w="886"/>
        <w:gridCol w:w="189"/>
        <w:gridCol w:w="189"/>
        <w:gridCol w:w="189"/>
        <w:gridCol w:w="189"/>
        <w:gridCol w:w="366"/>
        <w:gridCol w:w="886"/>
        <w:gridCol w:w="189"/>
        <w:gridCol w:w="109"/>
        <w:gridCol w:w="109"/>
        <w:gridCol w:w="109"/>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Severance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legal matters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shares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23,063</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0"/>
        </w:rPr>
        <w:t xml:space="preserve">The following table presents a reconciliation from </w:t>
      </w:r>
      <w:r>
        <w:rPr>
          <w:rFonts w:ascii="Times New Roman;serif" w:hAnsi="Times New Roman;serif"/>
          <w:b w:val="false"/>
          <w:color w:val="000000"/>
          <w:sz w:val="20"/>
          <w:shd w:fill="FFFFFF" w:val="clear"/>
        </w:rPr>
        <w:t>Net income</w:t>
      </w:r>
      <w:r>
        <w:rPr>
          <w:color w:val="000000"/>
        </w:rPr>
        <w:t xml:space="preserve"> </w:t>
      </w:r>
      <w:r>
        <w:rPr>
          <w:rFonts w:ascii="Times New Roman;serif" w:hAnsi="Times New Roman;serif"/>
          <w:b w:val="false"/>
          <w:color w:val="000000"/>
          <w:sz w:val="20"/>
        </w:rPr>
        <w:t>to EBITDA and Adjusted EBITDA for the three months ended March 31, 2026 and 2025:</w:t>
      </w:r>
    </w:p>
    <w:tbl>
      <w:tblPr>
        <w:tblW w:w="7061" w:type="dxa"/>
        <w:jc w:val="left"/>
        <w:tblInd w:w="0" w:type="dxa"/>
        <w:tblLayout w:type="fixed"/>
        <w:tblCellMar>
          <w:top w:w="28" w:type="dxa"/>
          <w:left w:w="28" w:type="dxa"/>
          <w:bottom w:w="28" w:type="dxa"/>
          <w:right w:w="28" w:type="dxa"/>
        </w:tblCellMar>
      </w:tblPr>
      <w:tblGrid>
        <w:gridCol w:w="1014"/>
        <w:gridCol w:w="893"/>
        <w:gridCol w:w="898"/>
        <w:gridCol w:w="109"/>
        <w:gridCol w:w="109"/>
        <w:gridCol w:w="109"/>
        <w:gridCol w:w="302"/>
        <w:gridCol w:w="1032"/>
        <w:gridCol w:w="156"/>
        <w:gridCol w:w="156"/>
        <w:gridCol w:w="156"/>
        <w:gridCol w:w="156"/>
        <w:gridCol w:w="302"/>
        <w:gridCol w:w="1032"/>
        <w:gridCol w:w="156"/>
        <w:gridCol w:w="109"/>
        <w:gridCol w:w="109"/>
        <w:gridCol w:w="109"/>
        <w:gridCol w:w="154"/>
      </w:tblGrid>
      <w:tr>
        <w:trPr/>
        <w:tc>
          <w:tcPr>
            <w:tcW w:w="101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Severance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legal matters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erif" w:hAnsi="Times New Roman;serif"/>
          <w:b w:val="false"/>
          <w:color w:val="000000"/>
          <w:sz w:val="16"/>
          <w:shd w:fill="FFFFFF" w:val="clear"/>
        </w:rPr>
        <w:t>1.</w:t>
      </w:r>
      <w:r>
        <w:rPr>
          <w:rFonts w:ascii="Times New Roman;serif" w:hAnsi="Times New Roman;serif"/>
          <w:b w:val="false"/>
          <w:color w:val="000000"/>
          <w:sz w:val="16"/>
        </w:rPr>
        <w:t>Amounts reflect non-cash</w:t>
      </w:r>
      <w:r>
        <w:rPr>
          <w:color w:val="000000"/>
        </w:rPr>
        <w:t xml:space="preserve"> </w:t>
      </w:r>
      <w:r>
        <w:rPr>
          <w:rFonts w:ascii="Times New Roman;serif" w:hAnsi="Times New Roman;serif"/>
          <w:b w:val="false"/>
          <w:color w:val="000000"/>
          <w:sz w:val="16"/>
        </w:rPr>
        <w:t>stock-based compensation expense</w:t>
      </w:r>
      <w:r>
        <w:rPr>
          <w:color w:val="000000"/>
          <w:shd w:fill="FFFFFF" w:val="clear"/>
        </w:rPr>
        <w:t xml:space="preserve"> </w:t>
      </w:r>
      <w:r>
        <w:rPr>
          <w:rFonts w:ascii="Times New Roman;serif" w:hAnsi="Times New Roman;serif"/>
          <w:b w:val="false"/>
          <w:color w:val="000000"/>
          <w:sz w:val="16"/>
          <w:shd w:fill="FFFFFF" w:val="clear"/>
        </w:rPr>
        <w:t>for the</w:t>
      </w:r>
      <w:r>
        <w:rPr>
          <w:color w:val="000000"/>
        </w:rPr>
        <w:t xml:space="preserve"> </w:t>
      </w:r>
      <w:r>
        <w:rPr>
          <w:rFonts w:ascii="Times New Roman;serif" w:hAnsi="Times New Roman;serif"/>
          <w:b w:val="false"/>
          <w:color w:val="000000"/>
          <w:sz w:val="16"/>
        </w:rPr>
        <w:t>three months ended March 31, 2026 and 2025.</w:t>
      </w:r>
    </w:p>
    <w:p>
      <w:pPr>
        <w:pStyle w:val="TextBody"/>
        <w:bidi w:val="0"/>
        <w:spacing w:lineRule="auto" w:line="288" w:before="0" w:after="0"/>
        <w:ind w:left="0" w:right="0" w:hanging="720"/>
        <w:jc w:val="left"/>
        <w:rPr/>
      </w:pPr>
      <w:r>
        <w:rPr>
          <w:rFonts w:ascii="Times New Roman;serif" w:hAnsi="Times New Roman;serif"/>
          <w:b w:val="false"/>
          <w:color w:val="000000"/>
          <w:sz w:val="16"/>
          <w:shd w:fill="FFFFFF" w:val="clear"/>
        </w:rPr>
        <w:t>2.Amounts include severance expense</w:t>
      </w:r>
      <w:r>
        <w:rPr>
          <w:color w:val="000000"/>
        </w:rPr>
        <w:t xml:space="preserve"> </w:t>
      </w:r>
      <w:r>
        <w:rPr>
          <w:rFonts w:ascii="Times New Roman;serif" w:hAnsi="Times New Roman;serif"/>
          <w:b w:val="false"/>
          <w:color w:val="000000"/>
          <w:sz w:val="16"/>
        </w:rPr>
        <w:t>for the three months ended March 31, 2026.</w:t>
      </w:r>
    </w:p>
    <w:p>
      <w:pPr>
        <w:pStyle w:val="TextBody"/>
        <w:bidi w:val="0"/>
        <w:spacing w:lineRule="auto" w:line="288" w:before="0" w:after="0"/>
        <w:ind w:left="0" w:right="0" w:hanging="720"/>
        <w:jc w:val="left"/>
        <w:rPr/>
      </w:pPr>
      <w:r>
        <w:rPr>
          <w:rFonts w:ascii="Times New Roman;serif" w:hAnsi="Times New Roman;serif"/>
          <w:b w:val="false"/>
          <w:color w:val="000000"/>
          <w:sz w:val="16"/>
          <w:shd w:fill="FFFFFF" w:val="clear"/>
        </w:rPr>
        <w:t>3.Amounts include legal settlements f</w:t>
      </w:r>
      <w:r>
        <w:rPr>
          <w:rFonts w:ascii="Times New Roman;serif" w:hAnsi="Times New Roman;serif"/>
          <w:b w:val="false"/>
          <w:color w:val="000000"/>
          <w:sz w:val="16"/>
        </w:rPr>
        <w:t>or the three months ended March 31, 2026.</w:t>
      </w:r>
    </w:p>
    <w:p>
      <w:pPr>
        <w:pStyle w:val="TextBody"/>
        <w:bidi w:val="0"/>
        <w:spacing w:before="0" w:after="0"/>
        <w:ind w:left="0" w:right="0" w:hanging="360"/>
        <w:jc w:val="left"/>
        <w:rPr/>
      </w:pPr>
      <w:r>
        <w:rPr/>
      </w:r>
    </w:p>
    <w:p>
      <w:pPr>
        <w:pStyle w:val="TextBody"/>
        <w:bidi w:val="0"/>
        <w:ind w:left="0" w:right="0" w:hanging="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3701</Words>
  <Characters>21017</Characters>
  <CharactersWithSpaces>24358</CharactersWithSpaces>
  <Paragraphs>655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