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2880360</wp:posOffset>
            </wp:positionH>
            <wp:positionV relativeFrom="paragraph">
              <wp:posOffset>544195</wp:posOffset>
            </wp:positionV>
            <wp:extent cx="1234440" cy="3003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30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tabs>
          <w:tab w:leader="none" w:pos="2064" w:val="left"/>
          <w:tab w:leader="none" w:pos="2244" w:val="left"/>
          <w:tab w:leader="none" w:pos="2424" w:val="left"/>
          <w:tab w:leader="none" w:pos="2604" w:val="left"/>
          <w:tab w:leader="none" w:pos="2784" w:val="left"/>
          <w:tab w:leader="none" w:pos="2964" w:val="left"/>
          <w:tab w:leader="none" w:pos="314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  <w:tab/>
        <w:t> </w:t>
        <w:tab/>
        <w:t> </w:t>
        <w:tab/>
        <w:t> </w:t>
        <w:tab/>
        <w:t> </w:t>
        <w:tab/>
        <w:t> </w:t>
        <w:tab/>
        <w:t>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Rule 14a-11(c) or Rule 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20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POWER SOLUTIONS INTERNATIONAL, INC.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591820</wp:posOffset>
            </wp:positionV>
            <wp:extent cx="699516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20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65493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654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6549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654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2026-06-09T09:08:56Z</dcterms:created>
  <dcterms:modified xsi:type="dcterms:W3CDTF">2026-06-09T09:08:56Z</dcterms:modified>
</cp:coreProperties>
</file>