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Power Solutions International,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001-35944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33-0963637</w:t>
      </w:r>
    </w:p>
    <w:p>
      <w:pPr>
        <w:spacing w:after="0" w:line="24" w:lineRule="exact"/>
        <w:rPr>
          <w:sz w:val="24"/>
          <w:szCs w:val="24"/>
          <w:color w:val="auto"/>
        </w:rPr>
      </w:pPr>
    </w:p>
    <w:p>
      <w:pPr>
        <w:sectPr>
          <w:pgSz w:w="11900" w:h="16838" w:orient="portrait"/>
          <w:cols w:equalWidth="0" w:num="3">
            <w:col w:w="4504" w:space="720"/>
            <w:col w:w="2880" w:space="720"/>
            <w:col w:w="1920"/>
          </w:cols>
          <w:pgMar w:left="436" w:top="376" w:right="7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060"/>
          </w:cols>
          <w:pgMar w:left="436" w:top="376" w:right="719" w:bottom="1440" w:gutter="0" w:footer="0" w:header="0"/>
          <w:type w:val="continuous"/>
        </w:sectPr>
      </w:pPr>
    </w:p>
    <w:p>
      <w:pPr>
        <w:jc w:val="center"/>
        <w:ind w:right="-263"/>
        <w:spacing w:after="0"/>
        <w:rPr>
          <w:sz w:val="20"/>
          <w:szCs w:val="20"/>
          <w:color w:val="auto"/>
        </w:rPr>
      </w:pPr>
      <w:r>
        <w:rPr>
          <w:rFonts w:ascii="Times New Roman" w:cs="Times New Roman" w:eastAsia="Times New Roman" w:hAnsi="Times New Roman"/>
          <w:sz w:val="17"/>
          <w:szCs w:val="17"/>
          <w:b w:val="1"/>
          <w:bCs w:val="1"/>
          <w:color w:val="auto"/>
        </w:rPr>
        <w:t>201 Mittel Drive, Wood Dale, Illinois 60191</w:t>
      </w:r>
    </w:p>
    <w:p>
      <w:pPr>
        <w:spacing w:after="0" w:line="36"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744"/>
          </w:cols>
          <w:pgMar w:left="436" w:top="376" w:right="719" w:bottom="1440" w:gutter="0" w:footer="0" w:header="0"/>
          <w:type w:val="continuous"/>
        </w:sectPr>
      </w:pP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Bill Shen, VP of Operations/Purchasing/Supply Chain (630) 350-9400</w:t>
      </w:r>
    </w:p>
    <w:p>
      <w:pPr>
        <w:spacing w:after="0" w:line="25"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90" w:lineRule="exact"/>
        <w:rPr>
          <w:sz w:val="24"/>
          <w:szCs w:val="24"/>
          <w:color w:val="auto"/>
        </w:rPr>
      </w:pPr>
    </w:p>
    <w:p>
      <w:pPr>
        <w:ind w:left="4"/>
        <w:spacing w:after="0" w:line="207" w:lineRule="exact"/>
        <w:tabs>
          <w:tab w:leader="none" w:pos="404" w:val="left"/>
          <w:tab w:leader="none" w:pos="776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Rule 13q-1 under the Securities Exchange Act (17 CFR 240.13q-1) for fiscal year ended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17780</wp:posOffset>
            </wp:positionV>
            <wp:extent cx="600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Power Solutions International, Inc. (the “Company”) is filing this Specialized Disclosure Report (“Form SD”), including the Conflict Minerals Report attached as Exhibit 1.01 hereto, for the calendar year ended December 31, 2025 to comply with Rule 13p-1 of the Securities and Exchange Act of 1934, as amended (the “Exchange Act”).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 copy of this Form SD and the Conflict Minerals Report attached as an exhibit hereto are available on the investor relations section of the Company’s website at </w:t>
      </w:r>
      <w:r>
        <w:rPr>
          <w:rFonts w:ascii="Times New Roman" w:cs="Times New Roman" w:eastAsia="Times New Roman" w:hAnsi="Times New Roman"/>
          <w:sz w:val="18"/>
          <w:szCs w:val="18"/>
          <w:u w:val="single" w:color="auto"/>
          <w:color w:val="auto"/>
        </w:rPr>
        <w:t>www.psiengines.com</w:t>
      </w:r>
      <w:r>
        <w:rPr>
          <w:rFonts w:ascii="Times New Roman" w:cs="Times New Roman" w:eastAsia="Times New Roman" w:hAnsi="Times New Roman"/>
          <w:sz w:val="18"/>
          <w:szCs w:val="18"/>
          <w:color w:val="auto"/>
        </w:rPr>
        <w:t>. The Company’s website and information accessible through it are not incorporated into this Form SD and are not deemed filed with the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2025 is included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3.01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Conflict Minerals Report includes information that constitutes forward-looking statements. These forward-looking statements are entitled to the safe-harbor provisions of Section 21E of the Exchange Act. The Company has tried to identify these forward-looking statements by using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the Company’s products, product sourcing and markets and conflict minerals due diligence and compliance and mitigation plans. These statements are subject to a number of risks, uncertainties, and assumptions that may cause actual results, performance or achievements to be materially different from those expressed in, or implied by, such statements.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cautions that the risks, uncertainties and other factors that could cause its actual results to differ materially from those expressed in, or implied by, the forward-looking statement, include, without limitation: management’s ability to obtain cooperation from suppliers and successfully carry out conflict minerals compliance and mitigation plans.</w:t>
      </w:r>
    </w:p>
    <w:p>
      <w:pPr>
        <w:spacing w:after="0" w:line="176"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Solutions International, Inc.</w:t>
            </w:r>
          </w:p>
        </w:tc>
        <w:tc>
          <w:tcPr>
            <w:tcW w:w="4840" w:type="dxa"/>
            <w:vAlign w:val="bottom"/>
          </w:tcPr>
          <w:p>
            <w:pPr>
              <w:spacing w:after="0"/>
              <w:rPr>
                <w:sz w:val="20"/>
                <w:szCs w:val="20"/>
                <w:color w:val="auto"/>
              </w:rPr>
            </w:pPr>
          </w:p>
        </w:tc>
      </w:tr>
      <w:tr>
        <w:trPr>
          <w:trHeight w:val="43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Kenneth Li</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20, 2026</w:t>
            </w:r>
          </w:p>
        </w:tc>
      </w:tr>
      <w:tr>
        <w:trPr>
          <w:trHeight w:val="228"/>
        </w:trPr>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 Kenneth Li, Interim Chief Executive Officer and Chief Financial Officer</w:t>
            </w:r>
          </w:p>
        </w:tc>
        <w:tc>
          <w:tcPr>
            <w:tcW w:w="560" w:type="dxa"/>
            <w:vAlign w:val="bottom"/>
          </w:tcPr>
          <w:p>
            <w:pPr>
              <w:spacing w:after="0"/>
              <w:rPr>
                <w:sz w:val="19"/>
                <w:szCs w:val="19"/>
                <w:color w:val="auto"/>
              </w:rPr>
            </w:pPr>
          </w:p>
        </w:tc>
        <w:tc>
          <w:tcPr>
            <w:tcW w:w="4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report is provided by Power Solutions International, Inc. (herein referred to as “PSI” or the “Company”) for the calendar year ended December 31, 2025 and is presented to comply with Rule 13p-1 under the Securities Exchange Act of 1934, as amended (“Rule 13p-1”). Rule 13p-1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which are necessary to the functionality or production of their products. Conflict Minerals are defined as (a) columbite-tantalite, also known as coltan (the metal ore from which tantalum is extracted); cassiterite (the metal ore from which tin is extracted); gold; wolframite (the metal ore from which tungsten is extracted); or their derivatives, which are currently limited to tantalum, tin and tungsten (“3TGs”) (collectively the “Covered Minerals,” or (b) any other mineral or its derivatives determined by the Secretary of State to be financing conflict in the Democratic Republic of the Congo or an adjoining country (the Republic of the Congo, the Central African Republic, South Sudan, Uganda, Rwanda, Burundi, Tanzania, Zambia and Angola) (“Covered Countries”). These requirements apply to registrants whatever the geographic origin of the conflict minerals and whether or not they fund armed conflict.</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a registrant can establish that the conflict minerals originated from sources other than the Covered Countries or from recycled and scrap sources, they must submit a Form SD which describes the reasonable country of origin inquiry completed.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The registrant must annually submit a report, a Conflict Minerals Report (“CMR”), to the SEC that includes a description of those due diligence measures.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was not required to obtain, and did not obtain, an independent private sector audit of this Conflict Minerals Report in reliance on SEC staff guidance regarding Rule 13p-1.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Overview</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report has been prepared by the management of PSI. The information includes the activities of all majority-owned subsidiaries and variable interest entities, if any, that are required to be consolidated as of December 31, 2025. It does not include the activities of variable interest entities, if any, that are not required to be consolidated.</w:t>
      </w:r>
    </w:p>
    <w:p>
      <w:pPr>
        <w:sectPr>
          <w:pgSz w:w="11900" w:h="16838" w:orient="portrait"/>
          <w:cols w:equalWidth="0" w:num="1">
            <w:col w:w="11020"/>
          </w:cols>
          <w:pgMar w:left="440"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Darien, Wisconsin, Beloit, Wisconsin and Waterford, Michigan. The Company operates as one business and geographic operating segment.</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utility power and data center standby power.</w:t>
      </w:r>
    </w:p>
    <w:p>
      <w:pPr>
        <w:spacing w:after="0" w:line="18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Company provides highly engineered, comprehensive solutions designed to meet specific customer application requirements and technical specifications, including those imposed by environmental regulatory bodies, such as the U.S. Environmental Protection Agency (“EPA”) and the California Air Resources Board (“CARB”).</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Company’s products include both sourced and internally designed and manufactured engines that are engineered and integrated with associated components. These comprehensive power systems are tested and validated to meet quality, safety, durability and global environmental standards and regulations.</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Through advanced research and development (“R&amp;D”) and engineering capabilities, the Company is able to provide its customers with highly optimized, efficient, durable and emissions-compliant products that enhance their competitive position.</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business is diversified across end markets and applications and also includes extensive aftermarket and service parts programs. These programs consist of (i) internal aftermarket service parts programs with worldwide sales and distribution capabilities and (ii) internal OEM-developed service parts programs for components and products supplied by the Company. Aftermarket components are simply resold and are not contracted by the Company to be remanufactured. Aftermarket components were not included in the Conflict Minerals Survey.</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Supply Chain and Supply Chain Survey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2025, PSI did not directly source 3TGs. PSI procures engine and enclosure components from global suppliers and integrates them into assemblies which it manufactures, tests, and sells at facilities in suburban Chicago, Illinois, Beloit and Darien, Wisconsin. These components can be stand-alone items or sub-assembled components of the engine depending on the part. Due to the variety of parts purchased from suppliers and the complexity of the manufacturing process for these subcomponents, PSI determined the best approach for surveying the supply base would be to contact every production supplier and ask them about the Conflict Minerals content of the component supplied to PSI.</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 identify recipients of the survey, PSI agreed upon the scope of the survey as is applicable to section 1502 of the Dodd-Frank Act. PSI created the following criteria for issuing its 2025 Conflict Minerals Survey: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from PSI 2025 Conflict Minerals Survey</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Materials (i.e., materials used in maintenance, repair, and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Auto Part Retailer or Large Retailer which provided production parts to PSI, but PSI did not have direct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PSI 2025 Conflict Minerals Survey</w:t>
      </w:r>
    </w:p>
    <w:p>
      <w:pPr>
        <w:spacing w:after="0" w:line="131" w:lineRule="exact"/>
        <w:rPr>
          <w:sz w:val="20"/>
          <w:szCs w:val="20"/>
          <w:color w:val="auto"/>
        </w:rPr>
      </w:pPr>
    </w:p>
    <w:p>
      <w:pPr>
        <w:ind w:left="960" w:right="3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every production supplier that provided one or more production parts to PSI between the dates of January 1, 2025 and December 31, 2025.</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 did not exclude any commodity or subcomponent in its 2025 Conflict Minerals Survey.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4, 2026, PSI distributed its 2025 Conflict Minerals Survey to the 713 suppliers for PSI that met the criteria identified above.</w:t>
      </w:r>
    </w:p>
    <w:p>
      <w:pPr>
        <w:spacing w:after="0" w:line="22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 summary of the responses received is provided herein. Overall, 51% of suppliers responded to the survey. As part of the due diligence in complying with the Rule, PSI will continue to follow up with the suppliers that did not respond to try and improve the participation rate of this survey.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assessed its industry as well as others and confirmed that this risk-based approach is consistent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how many peer companies are approaching Rule 13p-1. Given the response rate to the 2025 Conflict Minerals Survey, PSI is unable to determine at this time the origin of the 3TGs in PSI’s products and therefore cannot exclude the possibility that some may have originated in the Covered Countries. For that reason, the Company is required under Rule 13p-1 to submit to the SEC a Conflict Minerals Report as an Exhibit to Form SD. This report must include:</w:t>
      </w:r>
    </w:p>
    <w:p>
      <w:pPr>
        <w:spacing w:after="0" w:line="8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measures PSI took to exercise due diligence on the Conflict Minerals’ source and chain of custody</w:t>
      </w:r>
    </w:p>
    <w:p>
      <w:pPr>
        <w:sectPr>
          <w:pgSz w:w="11900" w:h="16838" w:orient="portrait"/>
          <w:cols w:equalWidth="0" w:num="1">
            <w:col w:w="11000"/>
          </w:cols>
          <w:pgMar w:left="440" w:top="266" w:right="459" w:bottom="1440" w:gutter="0" w:footer="0" w:header="0"/>
        </w:sectPr>
      </w:pPr>
    </w:p>
    <w:bookmarkStart w:id="6" w:name="page7"/>
    <w:bookmarkEnd w:id="6"/>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facilities used to process the Conflict Minerals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of origin of the Conflict Minerals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determine the mine or location of origin.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Disclosure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products that PSI manufactures that are subject to the reporting obligations of Rule 13p-1 are “DRC conflict undeterminable,” because PSI has been unable to determine the origin of the 3TGs they contain or to determine whether they come from recycled or scrap sources; the facilities used to process them; their country of origin; or their mine or location of origin.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accordance with The Organization for Economic Co-operation and Development (“OECD”) Due Diligence Guidance for Responsible Supply Chains of Minerals from Conflict-Affected and High-Risk Areas (“OECD Guidance”) and Rule 13p-1, this report is available on the investor relations section of the Company’s website at www.psiengines.com.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121" w:lineRule="exact"/>
        <w:rPr>
          <w:sz w:val="20"/>
          <w:szCs w:val="20"/>
          <w:color w:val="auto"/>
        </w:rPr>
      </w:pPr>
    </w:p>
    <w:p>
      <w:pPr>
        <w:ind w:right="2660"/>
        <w:spacing w:after="0" w:line="282" w:lineRule="auto"/>
        <w:rPr>
          <w:sz w:val="20"/>
          <w:szCs w:val="20"/>
          <w:color w:val="auto"/>
        </w:rPr>
      </w:pPr>
      <w:r>
        <w:rPr>
          <w:rFonts w:ascii="Times New Roman" w:cs="Times New Roman" w:eastAsia="Times New Roman" w:hAnsi="Times New Roman"/>
          <w:sz w:val="18"/>
          <w:szCs w:val="18"/>
          <w:color w:val="auto"/>
        </w:rPr>
        <w:t>PSI’s due diligence framework has been designed based on the OECD’s Due Diligence Guidance recommendations (</w:t>
      </w:r>
      <w:r>
        <w:rPr>
          <w:rFonts w:ascii="Times New Roman" w:cs="Times New Roman" w:eastAsia="Times New Roman" w:hAnsi="Times New Roman"/>
          <w:sz w:val="18"/>
          <w:szCs w:val="18"/>
          <w:u w:val="single" w:color="auto"/>
          <w:color w:val="auto"/>
        </w:rPr>
        <w:t>https://doi.org/10.1787/9789264252479-en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Systems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PSI has established an internal cross-functional management system that is responsible for implementing PSI’s Conflict Minerals compliance strategy and is led by the Vice President of Operations and Purchasing who acts as the Executive Conflict Minerals Program Manager. Senior management is briefed about the results of the Company’s due diligence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Systems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does not have a direct relationship with 3TGs smelters and refiners. PSI refers to and utilizes information available at the website of the Responsible Minerals Initiative (“RMI”) http://www.responsiblemineralsinitiative.org/, formerly known as the Conflict-Free Sourcing Initiative (“CFSI”), and utilizes the template developed by them (“the Template”) as a resource to identify and disclose upstream actors in the supply chain.</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Controls include, but are not limited to, PSI’s Code of Business Conduct and Ethics which outlines expected behaviors for all PSI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Grievance Mechanism</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PSI has multiple longstanding grievance mechanisms whereby employees and suppliers can report violations of PSI’s policies. As described in both the Company’s Code of Business Conduct and Ethics and Whistleblower Policy, PSI maintains a Whistleblower Hotline for any complaints from employees, suppliers, customers and shareholders who may have knowledge of a potential violation or other issues with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 Records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adopted a policy to retain and maintain relevant corporate and business records and documents.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 and Assess Risk in the Supply Chain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Because of PSI’s size, the complexity of its products and the depth, breadth, and constant evolution of its supply chain, it is difficult to identify actors upstream from the Company’s direct suppliers. Accordingly, the Company utilizes industry-wide resources as described above.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PSI has identified 713 direct suppliers. The Company relies on these suppliers to provide it with information about any Conflict Minerals contained in the components supplied to the company including their source. PSI’s direct suppliers are similarly reliant upon information provided by their suppliers. Many of the largest suppliers are also SEC registrants and subject to Rule 13p-1.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Company utilizes resources on RMI’s website to identify and disclose upstream actors in the supply chain.</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communicated in the Company’s Conflict Minerals Survey process, PSI is committed to sourcing responsibly and considers mining activities that fuel conflict as unacceptable. As of the date of this report, PSI has found no instance where it was necessary to terminate a contract or find a replacement supplier.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of Smelter/Refiner Due Diligence Practices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does not typically have a direct relationship with 3TGs smelters and refiners and does not perform or direct audits of these entities within PSI’s supply chain. PSI supports audits through its usage of resources on RMI’s website.</w:t>
      </w:r>
    </w:p>
    <w:p>
      <w:pPr>
        <w:sectPr>
          <w:pgSz w:w="11900" w:h="16838" w:orient="portrait"/>
          <w:cols w:equalWidth="0" w:num="1">
            <w:col w:w="10940"/>
          </w:cols>
          <w:pgMar w:left="440" w:top="270"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Request</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conducted a survey of those suppliers described above using an internally designed survey, in addition to RMI’s Template to facilitate disclosure and communication of information from PSI’s supply base.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Survey Responses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May 1, 2026, the Company has received responses from 367 or 51% of the suppliers surveyed. PSI reviewed the responses against criteria developed by the Company to determine which responses required further engagement with PSI’s suppliers. These criteria included untimely or incomplete responses as well as inconsistencies within the data reported in the 2025 Conflict Minerals Report. The Company has worked directly with these suppliers to provide revised responses.</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332 suppliers responded indicating that they did not use any 3TGs in their products. 35 suppliers identified that they use one or more of the 3TGs in their products. 30 suppliers confirmed that they are not sourcing from the Covered Countries. 5 suppliers responded with sourcing from Covered Countries.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those surveyed, 346 suppliers did not respond as of May 1, 2026. PSI continues to revise its survey and response follow-up actions with the aim to continuously improve results and to receive timely and accurate responses.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Suppliers</w:t>
            </w: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Suppliers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Suppliers</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Suppliers</w:t>
            </w:r>
          </w:p>
        </w:tc>
        <w:tc>
          <w:tcPr>
            <w:tcW w:w="12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Suppliers</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 3TGs</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with No 3TGs</w:t>
            </w: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With 3TGs in</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From Covered</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Surveyed</w:t>
            </w: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Responded</w:t>
            </w: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Products</w:t>
            </w: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 Division</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Enclosure Division</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65</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713</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367</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332</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Efforts to determine mine or location of origin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Through PSI’s utilization of RMI (Responsible Minerals Initiative) and OECD (Organization for Economic Co-operation and Development) resources and requesting PSI’s suppliers to complete the 2025 Conflict Minerals Survey, the Company has determined that seeking information about 3TGs smelters and refiners in its supply chain represents the most reasonable effort PSI can make to determine the mines or locations of origin of the 3TGs in its supply chain.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be taken to mitigate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or intends to take the following steps to improve the due diligence conducted to further mitigate any risk that the necessary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in the Company’s products could benefit armed groups in the Covered Countries:</w:t>
      </w:r>
    </w:p>
    <w:p>
      <w:pPr>
        <w:spacing w:after="0" w:line="112" w:lineRule="exact"/>
        <w:rPr>
          <w:sz w:val="20"/>
          <w:szCs w:val="20"/>
          <w:color w:val="auto"/>
        </w:rPr>
      </w:pPr>
    </w:p>
    <w:p>
      <w:pPr>
        <w:ind w:left="960" w:right="14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Conflict Minerals flow-down clause in new or renewed supplier contracts, supply agreements and purchasing Terms &amp;Conditions, which:</w:t>
      </w:r>
    </w:p>
    <w:p>
      <w:pPr>
        <w:spacing w:after="0" w:line="67"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annual participation in PSI’s conflict mineral survey, 2) discourages sourcing from Covered Countries, and 3) requires that the supply chain of custody is described and accounted for if the supplier uses materials from Covered Countries.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and direct them to training resources to attempt to increase the response rate and improve the content of the supplier survey responses.</w:t>
      </w:r>
    </w:p>
    <w:p>
      <w:pPr>
        <w:spacing w:after="0" w:line="67"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Responsible Minerals Initiative (RMI) website (</w:t>
      </w:r>
      <w:r>
        <w:rPr>
          <w:rFonts w:ascii="Times New Roman" w:cs="Times New Roman" w:eastAsia="Times New Roman" w:hAnsi="Times New Roman"/>
          <w:sz w:val="18"/>
          <w:szCs w:val="18"/>
          <w:u w:val="single" w:color="auto"/>
          <w:color w:val="auto"/>
        </w:rPr>
        <w:t>https://www.responsiblemineralsinitiative.org</w:t>
      </w:r>
      <w:r>
        <w:rPr>
          <w:rFonts w:ascii="Times New Roman" w:cs="Times New Roman" w:eastAsia="Times New Roman" w:hAnsi="Times New Roman"/>
          <w:sz w:val="18"/>
          <w:szCs w:val="18"/>
          <w:color w:val="auto"/>
        </w:rPr>
        <w:t>) to keep abreast of new developments and recommendations.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devising and developing a strategy for managing and mitigating Conflict Minerals risk in the Company’s supply chain.</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2026-05-20T16:16:18Z</dcterms:created>
  <dcterms:modified xsi:type="dcterms:W3CDTF">2026-05-20T16:16:18Z</dcterms:modified>
</cp:coreProperties>
</file>