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p>
    <w:p>
      <w:pPr>
        <w:pStyle w:val="TextBody"/>
        <w:bidi w:val="0"/>
        <w:spacing w:lineRule="auto" w:line="288" w:before="0" w:after="0"/>
        <w:jc w:val="left"/>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54" w:after="283"/>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FORM 8-K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August 6, 2026</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32"/>
        </w:rPr>
      </w:pPr>
      <w:r>
        <w:rPr>
          <w:rFonts w:ascii="Times New Roman;serif" w:hAnsi="Times New Roman;serif"/>
          <w:b/>
          <w:color w:val="000000"/>
          <w:sz w:val="32"/>
        </w:rPr>
        <w:t>Power Solutions International, Inc.</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before="0" w:after="0"/>
        <w:jc w:val="left"/>
        <w:rPr/>
      </w:pPr>
      <w:r>
        <w:rPr/>
      </w:r>
    </w:p>
    <w:tbl>
      <w:tblPr>
        <w:tblW w:w="6147" w:type="dxa"/>
        <w:jc w:val="left"/>
        <w:tblInd w:w="0" w:type="dxa"/>
        <w:tblLayout w:type="fixed"/>
        <w:tblCellMar>
          <w:top w:w="28" w:type="dxa"/>
          <w:left w:w="28" w:type="dxa"/>
          <w:bottom w:w="28" w:type="dxa"/>
          <w:right w:w="28" w:type="dxa"/>
        </w:tblCellMar>
      </w:tblPr>
      <w:tblGrid>
        <w:gridCol w:w="869"/>
        <w:gridCol w:w="764"/>
        <w:gridCol w:w="766"/>
        <w:gridCol w:w="729"/>
        <w:gridCol w:w="729"/>
        <w:gridCol w:w="731"/>
        <w:gridCol w:w="456"/>
        <w:gridCol w:w="456"/>
        <w:gridCol w:w="647"/>
      </w:tblGrid>
      <w:tr>
        <w:trPr/>
        <w:tc>
          <w:tcPr>
            <w:tcW w:w="86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Delaware</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(State or other jurisdiction of </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incorporation)</w:t>
            </w:r>
          </w:p>
        </w:tc>
        <w:tc>
          <w:tcPr>
            <w:tcW w:w="2189"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001-35944</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(Commission File Number)</w:t>
            </w:r>
          </w:p>
        </w:tc>
        <w:tc>
          <w:tcPr>
            <w:tcW w:w="1559"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33-0963637</w:t>
            </w:r>
          </w:p>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 xml:space="preserve">(I.R.S. Employer </w:t>
            </w:r>
          </w:p>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Identification No.)</w:t>
            </w:r>
          </w:p>
        </w:tc>
      </w:tr>
      <w:tr>
        <w:trPr/>
        <w:tc>
          <w:tcPr>
            <w:tcW w:w="6147" w:type="dxa"/>
            <w:gridSpan w:val="9"/>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201 Mittel Drive</w:t>
            </w:r>
            <w:r>
              <w:rPr>
                <w:color w:val="3051F2"/>
              </w:rPr>
              <w:t xml:space="preserve"> </w:t>
            </w:r>
            <w:r>
              <w:rPr>
                <w:rFonts w:ascii="Times New Roman;serif" w:hAnsi="Times New Roman;serif"/>
                <w:b/>
                <w:color w:val="000000"/>
                <w:sz w:val="20"/>
              </w:rPr>
              <w:t>Wood Dale, Illinois 60191</w:t>
            </w:r>
          </w:p>
        </w:tc>
      </w:tr>
      <w:tr>
        <w:trPr/>
        <w:tc>
          <w:tcPr>
            <w:tcW w:w="614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and zip code)</w:t>
            </w:r>
          </w:p>
        </w:tc>
      </w:tr>
      <w:tr>
        <w:trPr/>
        <w:tc>
          <w:tcPr>
            <w:tcW w:w="6147" w:type="dxa"/>
            <w:gridSpan w:val="9"/>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(630) 350-9400</w:t>
            </w:r>
          </w:p>
        </w:tc>
      </w:tr>
    </w:tbl>
    <w:p>
      <w:pPr>
        <w:pStyle w:val="TextBody"/>
        <w:bidi w:val="0"/>
        <w:spacing w:lineRule="auto" w:line="288" w:before="54" w:after="12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216"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tbl>
      <w:tblPr>
        <w:tblW w:w="10021" w:type="dxa"/>
        <w:jc w:val="left"/>
        <w:tblInd w:w="0" w:type="dxa"/>
        <w:tblLayout w:type="fixed"/>
        <w:tblCellMar>
          <w:top w:w="28" w:type="dxa"/>
          <w:left w:w="28" w:type="dxa"/>
          <w:bottom w:w="28" w:type="dxa"/>
          <w:right w:w="28" w:type="dxa"/>
        </w:tblCellMar>
      </w:tblPr>
      <w:tblGrid>
        <w:gridCol w:w="1366"/>
        <w:gridCol w:w="1199"/>
        <w:gridCol w:w="1199"/>
        <w:gridCol w:w="308"/>
        <w:gridCol w:w="308"/>
        <w:gridCol w:w="308"/>
        <w:gridCol w:w="744"/>
        <w:gridCol w:w="744"/>
        <w:gridCol w:w="746"/>
        <w:gridCol w:w="308"/>
        <w:gridCol w:w="308"/>
        <w:gridCol w:w="308"/>
        <w:gridCol w:w="637"/>
        <w:gridCol w:w="637"/>
        <w:gridCol w:w="901"/>
      </w:tblGrid>
      <w:tr>
        <w:trPr/>
        <w:tc>
          <w:tcPr>
            <w:tcW w:w="1366"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r>
      <w:tr>
        <w:trPr/>
        <w:tc>
          <w:tcPr>
            <w:tcW w:w="10021" w:type="dxa"/>
            <w:gridSpan w:val="15"/>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c>
      </w:tr>
      <w:tr>
        <w:trPr/>
        <w:tc>
          <w:tcPr>
            <w:tcW w:w="37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lineRule="auto" w:line="300" w:before="0" w:after="0"/>
              <w:jc w:val="left"/>
              <w:rPr>
                <w:color w:val="000000"/>
              </w:rPr>
            </w:pPr>
            <w:r>
              <w:rPr>
                <w:color w:val="000000"/>
              </w:rPr>
              <w:t>         </w:t>
            </w:r>
            <w:r>
              <w:rPr>
                <w:rFonts w:ascii="Times New Roman;serif" w:hAnsi="Times New Roman;serif"/>
                <w:b/>
                <w:color w:val="000000"/>
                <w:sz w:val="20"/>
              </w:rPr>
              <w:t>Trading Symbol(s)</w:t>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Name of each exchange </w:t>
            </w:r>
          </w:p>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on which registered</w:t>
            </w:r>
          </w:p>
        </w:tc>
      </w:tr>
      <w:tr>
        <w:trPr/>
        <w:tc>
          <w:tcPr>
            <w:tcW w:w="3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Common Stock, par value $0.001 per share</w:t>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PSIX</w:t>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Nasdaq Stock Market</w:t>
            </w:r>
          </w:p>
        </w:tc>
      </w:tr>
    </w:tbl>
    <w:p>
      <w:pPr>
        <w:pStyle w:val="TextBody"/>
        <w:bidi w:val="0"/>
        <w:spacing w:lineRule="auto" w:line="288" w:before="108"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08"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Emerging growth company    ☐</w:t>
      </w:r>
    </w:p>
    <w:p>
      <w:pPr>
        <w:pStyle w:val="TextBody"/>
        <w:bidi w:val="0"/>
        <w:spacing w:lineRule="auto" w:line="288" w:before="108" w:after="283"/>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2"/>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Item 7.01 - Regulation FD Disclosure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August 6, 2026, Power Solutions International, Inc. (the “Company”) issued a press release announcing second quarter 2026 financial results and containing its outlook for 2026.</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accordance with General Instruction B.2. of Form 8-K, the information contained under Item 2.02 in this Current Report on Form 8-K, including Exhibit 99.1, is being furnished and shall not be deemed to be “filed” for purposes of Section 18 of the Securities Exchange Act of 1934, as amended (the “Exchange Act”), or otherwise subject to the liabilities of that section, and will not be incorporated by reference into any registration statement or other document filed under the Securities Act of 1933, as amended, or the Exchange Act, except as expressly set forth by specific reference in such filing.</w:t>
      </w:r>
    </w:p>
    <w:p>
      <w:pPr>
        <w:pStyle w:val="TextBody"/>
        <w:bidi w:val="0"/>
        <w:spacing w:lineRule="auto" w:line="288" w:before="108" w:after="283"/>
        <w:jc w:val="left"/>
        <w:rPr>
          <w:rFonts w:ascii="Times New Roman;serif" w:hAnsi="Times New Roman;serif"/>
          <w:b/>
          <w:color w:val="000000"/>
          <w:sz w:val="22"/>
        </w:rPr>
      </w:pPr>
      <w:r>
        <w:rPr>
          <w:rFonts w:ascii="Times New Roman;serif" w:hAnsi="Times New Roman;serif"/>
          <w:b/>
          <w:color w:val="000000"/>
          <w:sz w:val="22"/>
        </w:rPr>
        <w:t>Item 9.01 - Financial Statements and Exhibits.</w:t>
      </w:r>
    </w:p>
    <w:p>
      <w:pPr>
        <w:pStyle w:val="TextBody"/>
        <w:bidi w:val="0"/>
        <w:spacing w:lineRule="auto" w:line="288" w:before="108" w:after="283"/>
        <w:jc w:val="left"/>
        <w:rPr>
          <w:rFonts w:ascii="Times New Roman;serif" w:hAnsi="Times New Roman;serif"/>
          <w:b w:val="false"/>
          <w:color w:val="000000"/>
          <w:sz w:val="20"/>
        </w:rPr>
      </w:pPr>
      <w:r>
        <w:rPr>
          <w:rFonts w:ascii="Times New Roman;serif" w:hAnsi="Times New Roman;serif"/>
          <w:b w:val="false"/>
          <w:color w:val="000000"/>
          <w:sz w:val="20"/>
        </w:rPr>
        <w:t>(d): The following exhibits are being filed herewith:</w:t>
      </w:r>
    </w:p>
    <w:p>
      <w:pPr>
        <w:pStyle w:val="TextBody"/>
        <w:bidi w:val="0"/>
        <w:spacing w:before="0" w:after="0"/>
        <w:jc w:val="left"/>
        <w:rPr/>
      </w:pPr>
      <w:r>
        <w:rPr/>
      </w:r>
    </w:p>
    <w:tbl>
      <w:tblPr>
        <w:tblW w:w="7991" w:type="dxa"/>
        <w:jc w:val="left"/>
        <w:tblInd w:w="0" w:type="dxa"/>
        <w:tblLayout w:type="fixed"/>
        <w:tblCellMar>
          <w:top w:w="28" w:type="dxa"/>
          <w:left w:w="28" w:type="dxa"/>
          <w:bottom w:w="28" w:type="dxa"/>
          <w:right w:w="28" w:type="dxa"/>
        </w:tblCellMar>
      </w:tblPr>
      <w:tblGrid>
        <w:gridCol w:w="385"/>
        <w:gridCol w:w="338"/>
        <w:gridCol w:w="341"/>
        <w:gridCol w:w="109"/>
        <w:gridCol w:w="109"/>
        <w:gridCol w:w="109"/>
        <w:gridCol w:w="1928"/>
        <w:gridCol w:w="1928"/>
        <w:gridCol w:w="2744"/>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4"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Description</w:t>
            </w:r>
          </w:p>
        </w:tc>
      </w:tr>
      <w:tr>
        <w:trPr/>
        <w:tc>
          <w:tcPr>
            <w:tcW w:w="106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hyperlink w:anchor="psiearningsrelease-june302.htm">
              <w:r>
                <w:rPr>
                  <w:rStyle w:val="InternetLink"/>
                  <w:rFonts w:ascii="Times New Roman;serif" w:hAnsi="Times New Roman;serif"/>
                  <w:b w:val="false"/>
                  <w:color w:val="0000FF"/>
                  <w:sz w:val="20"/>
                  <w:u w:val="single"/>
                </w:rPr>
                <w:t>Press Release of Power Solutions International, Inc., dated August 6, 2026.</w:t>
              </w:r>
            </w:hyperlink>
          </w:p>
        </w:tc>
      </w:tr>
      <w:tr>
        <w:trPr/>
        <w:tc>
          <w:tcPr>
            <w:tcW w:w="10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108" w:after="283"/>
        <w:jc w:val="left"/>
        <w:rPr/>
      </w:pPr>
      <w:r>
        <w:rPr/>
      </w:r>
    </w:p>
    <w:p>
      <w:pPr>
        <w:pStyle w:val="TextBody"/>
        <w:bidi w:val="0"/>
        <w:spacing w:before="0" w:after="2"/>
        <w:jc w:val="left"/>
        <w:rPr/>
      </w:pPr>
      <w:r>
        <w:rPr/>
      </w:r>
    </w:p>
    <w:p>
      <w:pPr>
        <w:pStyle w:val="TextBody"/>
        <w:bidi w:val="0"/>
        <w:spacing w:before="120" w:after="283"/>
        <w:jc w:val="center"/>
        <w:rPr/>
      </w:pPr>
      <w:r>
        <w:rPr/>
      </w:r>
    </w:p>
    <w:p>
      <w:pPr>
        <w:pStyle w:val="TextBody"/>
        <w:bidi w:val="0"/>
        <w:spacing w:before="0" w:after="2"/>
        <w:jc w:val="center"/>
        <w:rPr/>
      </w:pPr>
      <w:r>
        <w:rPr/>
      </w:r>
    </w:p>
    <w:p>
      <w:pPr>
        <w:pStyle w:val="TextBody"/>
        <w:bidi w:val="0"/>
        <w:spacing w:before="0" w:after="2"/>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 on this 6th day of August, 2026.</w:t>
      </w:r>
    </w:p>
    <w:p>
      <w:pPr>
        <w:pStyle w:val="TextBody"/>
        <w:bidi w:val="0"/>
        <w:spacing w:before="0" w:after="0"/>
        <w:jc w:val="left"/>
        <w:rPr/>
      </w:pPr>
      <w:r>
        <w:rPr/>
      </w:r>
    </w:p>
    <w:p>
      <w:pPr>
        <w:pStyle w:val="TextBody"/>
        <w:bidi w:val="0"/>
        <w:spacing w:before="0" w:after="0"/>
        <w:jc w:val="left"/>
        <w:rPr/>
      </w:pPr>
      <w:r>
        <w:rPr/>
      </w:r>
    </w:p>
    <w:tbl>
      <w:tblPr>
        <w:tblW w:w="7096" w:type="dxa"/>
        <w:jc w:val="right"/>
        <w:tblInd w:w="0" w:type="dxa"/>
        <w:tblLayout w:type="fixed"/>
        <w:tblCellMar>
          <w:top w:w="28" w:type="dxa"/>
          <w:left w:w="28" w:type="dxa"/>
          <w:bottom w:w="28" w:type="dxa"/>
          <w:right w:w="28" w:type="dxa"/>
        </w:tblCellMar>
      </w:tblPr>
      <w:tblGrid>
        <w:gridCol w:w="818"/>
        <w:gridCol w:w="717"/>
        <w:gridCol w:w="717"/>
        <w:gridCol w:w="1413"/>
        <w:gridCol w:w="1413"/>
        <w:gridCol w:w="2018"/>
      </w:tblGrid>
      <w:tr>
        <w:trPr/>
        <w:tc>
          <w:tcPr>
            <w:tcW w:w="818"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2018" w:type="dxa"/>
            <w:tcBorders/>
            <w:vAlign w:val="center"/>
          </w:tcPr>
          <w:p>
            <w:pPr>
              <w:pStyle w:val="TableContents"/>
              <w:bidi w:val="0"/>
              <w:spacing w:before="0" w:after="283"/>
              <w:jc w:val="left"/>
              <w:rPr>
                <w:sz w:val="4"/>
                <w:szCs w:val="4"/>
              </w:rPr>
            </w:pPr>
            <w:r>
              <w:rPr>
                <w:sz w:val="4"/>
                <w:szCs w:val="4"/>
              </w:rPr>
            </w:r>
          </w:p>
        </w:tc>
      </w:tr>
      <w:tr>
        <w:trPr/>
        <w:tc>
          <w:tcPr>
            <w:tcW w:w="7096"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POWER SOLUTIONS INTERNATIONAL, INC.</w:t>
            </w:r>
          </w:p>
        </w:tc>
      </w:tr>
      <w:tr>
        <w:trPr/>
        <w:tc>
          <w:tcPr>
            <w:tcW w:w="2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84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/s/ Xun Li</w:t>
            </w:r>
          </w:p>
        </w:tc>
      </w:tr>
      <w:tr>
        <w:trPr/>
        <w:tc>
          <w:tcPr>
            <w:tcW w:w="2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Xun Li</w:t>
            </w:r>
          </w:p>
        </w:tc>
      </w:tr>
      <w:tr>
        <w:trPr/>
        <w:tc>
          <w:tcPr>
            <w:tcW w:w="2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 xml:space="preserve">Chief Financial Officer &amp; Interim Chief Executive Officer </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pPr>
      <w:r>
        <w:rPr/>
        <w:drawing>
          <wp:inline distT="0" distB="0" distL="0" distR="0">
            <wp:extent cx="1419225" cy="30480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419225" cy="304800"/>
                    </a:xfrm>
                    <a:prstGeom prst="rect">
                      <a:avLst/>
                    </a:prstGeom>
                  </pic:spPr>
                </pic:pic>
              </a:graphicData>
            </a:graphic>
          </wp:inline>
        </w:drawing>
      </w:r>
      <w:r>
        <w:rPr>
          <w:color w:val="000000"/>
        </w:rPr>
        <w:t xml:space="preserve"> </w:t>
      </w: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15.6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120" w:after="120"/>
        <w:jc w:val="right"/>
        <w:rPr/>
      </w:pPr>
      <w:r>
        <w:rPr/>
      </w:r>
    </w:p>
    <w:p>
      <w:pPr>
        <w:pStyle w:val="TextBody"/>
        <w:bidi w:val="0"/>
        <w:spacing w:before="0" w:after="0"/>
        <w:jc w:val="left"/>
        <w:rPr/>
      </w:pPr>
      <w:r>
        <w:rPr/>
      </w:r>
    </w:p>
    <w:p>
      <w:pPr>
        <w:pStyle w:val="TextBody"/>
        <w:bidi w:val="0"/>
        <w:spacing w:lineRule="auto" w:line="288" w:before="120" w:after="120"/>
        <w:jc w:val="center"/>
        <w:rPr>
          <w:rFonts w:ascii="Times New Roman;serif" w:hAnsi="Times New Roman;serif"/>
          <w:b/>
          <w:color w:val="000000"/>
          <w:sz w:val="24"/>
        </w:rPr>
      </w:pPr>
      <w:r>
        <w:rPr>
          <w:rFonts w:ascii="Times New Roman;serif" w:hAnsi="Times New Roman;serif"/>
          <w:b/>
          <w:color w:val="000000"/>
          <w:sz w:val="24"/>
        </w:rPr>
        <w:t>Power Solutions International Announces Second Quarter 2026 Financial Results</w:t>
      </w:r>
    </w:p>
    <w:p>
      <w:pPr>
        <w:pStyle w:val="TextBody"/>
        <w:bidi w:val="0"/>
        <w:spacing w:lineRule="auto" w:line="360" w:before="0" w:after="0"/>
        <w:jc w:val="center"/>
        <w:rPr/>
      </w:pPr>
      <w:r>
        <w:rPr>
          <w:rFonts w:ascii="Times New Roman;serif" w:hAnsi="Times New Roman;serif"/>
          <w:b/>
          <w:i/>
          <w:color w:val="000000"/>
          <w:sz w:val="24"/>
        </w:rPr>
        <w:t xml:space="preserve">Second Quarter Net Sales of </w:t>
      </w:r>
      <w:r>
        <w:rPr>
          <w:rFonts w:ascii="Times New Roman;serif" w:hAnsi="Times New Roman;serif"/>
          <w:b/>
          <w:i/>
          <w:color w:val="000000"/>
          <w:sz w:val="24"/>
          <w:shd w:fill="FFFFFF" w:val="clear"/>
        </w:rPr>
        <w:t>$152.5 million</w:t>
      </w:r>
    </w:p>
    <w:p>
      <w:pPr>
        <w:pStyle w:val="TextBody"/>
        <w:bidi w:val="0"/>
        <w:spacing w:lineRule="auto" w:line="360" w:before="0" w:after="0"/>
        <w:jc w:val="center"/>
        <w:rPr/>
      </w:pPr>
      <w:r>
        <w:rPr>
          <w:rFonts w:ascii="Times New Roman;serif" w:hAnsi="Times New Roman;serif"/>
          <w:b/>
          <w:i/>
          <w:color w:val="000000"/>
          <w:sz w:val="24"/>
        </w:rPr>
        <w:t xml:space="preserve">Second Quarter Net Income of </w:t>
      </w:r>
      <w:r>
        <w:rPr>
          <w:rFonts w:ascii="Times New Roman;serif" w:hAnsi="Times New Roman;serif"/>
          <w:b/>
          <w:i/>
          <w:color w:val="000000"/>
          <w:sz w:val="24"/>
          <w:shd w:fill="FFFFFF" w:val="clear"/>
        </w:rPr>
        <w:t>$16.9 million</w:t>
      </w:r>
    </w:p>
    <w:p>
      <w:pPr>
        <w:pStyle w:val="TextBody"/>
        <w:bidi w:val="0"/>
        <w:spacing w:lineRule="auto" w:line="360" w:before="0" w:after="0"/>
        <w:jc w:val="center"/>
        <w:rPr/>
      </w:pPr>
      <w:r>
        <w:rPr>
          <w:rFonts w:ascii="Times New Roman;serif" w:hAnsi="Times New Roman;serif"/>
          <w:b/>
          <w:i/>
          <w:color w:val="000000"/>
          <w:sz w:val="24"/>
        </w:rPr>
        <w:t xml:space="preserve">Diluted EPS of </w:t>
      </w:r>
      <w:r>
        <w:rPr>
          <w:rFonts w:ascii="Times New Roman;serif" w:hAnsi="Times New Roman;serif"/>
          <w:b/>
          <w:i/>
          <w:color w:val="000000"/>
          <w:sz w:val="24"/>
          <w:shd w:fill="FFFFFF" w:val="clear"/>
        </w:rPr>
        <w:t>$0.73</w:t>
      </w:r>
      <w:r>
        <w:rPr>
          <w:color w:val="000000"/>
        </w:rPr>
        <w:t xml:space="preserve"> </w:t>
      </w:r>
      <w:r>
        <w:rPr>
          <w:rFonts w:ascii="Times New Roman;serif" w:hAnsi="Times New Roman;serif"/>
          <w:b/>
          <w:i/>
          <w:color w:val="000000"/>
          <w:sz w:val="24"/>
        </w:rPr>
        <w:t>for the Quarter</w:t>
      </w:r>
    </w:p>
    <w:p>
      <w:pPr>
        <w:pStyle w:val="TextBody"/>
        <w:bidi w:val="0"/>
        <w:spacing w:lineRule="auto" w:line="360" w:before="0" w:after="0"/>
        <w:jc w:val="center"/>
        <w:rPr/>
      </w:pPr>
      <w:r>
        <w:rPr>
          <w:rFonts w:ascii="Times New Roman;serif" w:hAnsi="Times New Roman;serif"/>
          <w:b/>
          <w:i/>
          <w:color w:val="000000"/>
          <w:sz w:val="24"/>
        </w:rPr>
        <w:t xml:space="preserve">Total Debt Reduced by Approximately </w:t>
      </w:r>
      <w:r>
        <w:rPr>
          <w:rFonts w:ascii="Times New Roman;serif" w:hAnsi="Times New Roman;serif"/>
          <w:b/>
          <w:i/>
          <w:color w:val="000000"/>
          <w:sz w:val="24"/>
          <w:shd w:fill="FFFFFF" w:val="clear"/>
        </w:rPr>
        <w:t>$30.8 million</w:t>
      </w:r>
      <w:r>
        <w:rPr>
          <w:color w:val="000000"/>
        </w:rPr>
        <w:t xml:space="preserve"> </w:t>
      </w:r>
      <w:r>
        <w:rPr>
          <w:rFonts w:ascii="Times New Roman;serif" w:hAnsi="Times New Roman;serif"/>
          <w:b/>
          <w:i/>
          <w:color w:val="000000"/>
          <w:sz w:val="24"/>
        </w:rPr>
        <w:t>During the Quarter</w:t>
      </w:r>
    </w:p>
    <w:p>
      <w:pPr>
        <w:pStyle w:val="TextBody"/>
        <w:bidi w:val="0"/>
        <w:spacing w:before="0" w:after="0"/>
        <w:jc w:val="center"/>
        <w:rPr/>
      </w:pPr>
      <w:r>
        <w:rPr/>
      </w:r>
    </w:p>
    <w:p>
      <w:pPr>
        <w:pStyle w:val="TextBody"/>
        <w:bidi w:val="0"/>
        <w:spacing w:lineRule="auto" w:line="256" w:before="0" w:after="0"/>
        <w:jc w:val="both"/>
        <w:rPr/>
      </w:pPr>
      <w:r>
        <w:rPr>
          <w:rFonts w:ascii="Times New Roman;serif" w:hAnsi="Times New Roman;serif"/>
          <w:b w:val="false"/>
          <w:color w:val="000000"/>
          <w:sz w:val="24"/>
        </w:rPr>
        <w:t xml:space="preserve">WOOD DALE, Ill., August 6, 2026 </w:t>
      </w:r>
      <w:r>
        <w:rPr>
          <w:color w:val="000000"/>
        </w:rPr>
        <w:t xml:space="preserve">– </w:t>
      </w:r>
      <w:r>
        <w:rPr>
          <w:rFonts w:ascii="Times New Roman;serif" w:hAnsi="Times New Roman;serif"/>
          <w:b w:val="false"/>
          <w:color w:val="000000"/>
          <w:sz w:val="24"/>
        </w:rPr>
        <w:t>Power Solutions International, Inc. (the “Company” or “PSI”) (Nasdaq: PSIX), a leader in the design, engineering and manufacture of emission-certified engines and power systems, today announced its financial results for the second quarter of 2026.</w:t>
      </w:r>
    </w:p>
    <w:p>
      <w:pPr>
        <w:pStyle w:val="TextBody"/>
        <w:bidi w:val="0"/>
        <w:spacing w:lineRule="auto" w:line="288" w:before="120" w:after="120"/>
        <w:jc w:val="left"/>
        <w:rPr>
          <w:rFonts w:ascii="Times New Roman;serif" w:hAnsi="Times New Roman;serif"/>
          <w:b/>
          <w:color w:val="000000"/>
          <w:sz w:val="24"/>
          <w:u w:val="single"/>
        </w:rPr>
      </w:pPr>
      <w:r>
        <w:rPr>
          <w:rFonts w:ascii="Times New Roman;serif" w:hAnsi="Times New Roman;serif"/>
          <w:b/>
          <w:color w:val="000000"/>
          <w:sz w:val="24"/>
          <w:u w:val="single"/>
        </w:rPr>
        <w:t>Financial Highlights</w:t>
      </w:r>
    </w:p>
    <w:tbl>
      <w:tblPr>
        <w:tblW w:w="6750" w:type="dxa"/>
        <w:jc w:val="left"/>
        <w:tblInd w:w="0" w:type="dxa"/>
        <w:tblLayout w:type="fixed"/>
        <w:tblCellMar>
          <w:top w:w="28" w:type="dxa"/>
          <w:left w:w="28" w:type="dxa"/>
          <w:bottom w:w="28" w:type="dxa"/>
          <w:right w:w="28" w:type="dxa"/>
        </w:tblCellMar>
      </w:tblPr>
      <w:tblGrid>
        <w:gridCol w:w="1231"/>
        <w:gridCol w:w="1085"/>
        <w:gridCol w:w="1089"/>
        <w:gridCol w:w="425"/>
        <w:gridCol w:w="425"/>
        <w:gridCol w:w="425"/>
        <w:gridCol w:w="421"/>
        <w:gridCol w:w="421"/>
        <w:gridCol w:w="432"/>
        <w:gridCol w:w="233"/>
        <w:gridCol w:w="233"/>
        <w:gridCol w:w="330"/>
      </w:tblGrid>
      <w:tr>
        <w:trPr/>
        <w:tc>
          <w:tcPr>
            <w:tcW w:w="123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Quarter Ended</w:t>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millions, except per share amounts)</w:t>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12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$152.5</w:t>
            </w:r>
          </w:p>
        </w:tc>
        <w:tc>
          <w:tcPr>
            <w:tcW w:w="12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$191.9</w:t>
            </w:r>
          </w:p>
        </w:tc>
        <w:tc>
          <w:tcPr>
            <w:tcW w:w="7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$41.4</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$54.1</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w:t>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Margin %</w:t>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27.1%</w:t>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28.2%</w:t>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$16.9</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$51.2</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(67)%</w:t>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 Earnings per Share</w:t>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$0.73</w:t>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$2.22</w:t>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$(1.49)</w:t>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Kenneth Li, Interim Chief Executive Officer and Chief Financial Officer, said:</w:t>
      </w:r>
    </w:p>
    <w:p>
      <w:pPr>
        <w:pStyle w:val="TextBody"/>
        <w:bidi w:val="0"/>
        <w:spacing w:lineRule="auto" w:line="288" w:before="120" w:after="120"/>
        <w:jc w:val="both"/>
        <w:rPr>
          <w:color w:val="000000"/>
        </w:rPr>
      </w:pPr>
      <w:r>
        <w:rPr>
          <w:color w:val="000000"/>
        </w:rPr>
        <w:t>“</w:t>
      </w:r>
      <w:r>
        <w:rPr>
          <w:rFonts w:ascii="Times New Roman;serif" w:hAnsi="Times New Roman;serif"/>
          <w:b w:val="false"/>
          <w:color w:val="000000"/>
          <w:sz w:val="24"/>
        </w:rPr>
        <w:t>Our second quarter results reflect continued progress as we execute our strategy and invest in the long-term growth of the business. Second quarter sales increased 18.6% from the first quarter, and gross margin improved approximately 420 basis points to 27.1%. The gross margin improvement reflected in part the early benefits of ongoing operational improvement efforts at our Wisconsin facility and was partially offset by unfavorable product mix. Strong operating cash flow also enabled us to reduce total debt by approximately $30.8 million during the quarter, strengthening our balance sheet and financial flexibility.</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Compared with a strong prior-year quarter, revenue reflected the timing of certain Power Systems shipments and softer demand in our oil and gas business. Looking ahead, demand for our data center power solutions remains strong. Based on our current production schedule, we expect second-half sales to exceed first-half sales as larger Power Systems orders move into production, although shipment timing and quarterly results may vary.”</w:t>
      </w:r>
    </w:p>
    <w:p>
      <w:pPr>
        <w:pStyle w:val="TextBody"/>
        <w:bidi w:val="0"/>
        <w:spacing w:lineRule="auto" w:line="288" w:before="120" w:after="120"/>
        <w:jc w:val="left"/>
        <w:rPr>
          <w:rFonts w:ascii="Times New Roman;serif" w:hAnsi="Times New Roman;serif"/>
          <w:b/>
          <w:color w:val="000000"/>
          <w:sz w:val="24"/>
          <w:u w:val="single"/>
        </w:rPr>
      </w:pPr>
      <w:r>
        <w:rPr>
          <w:rFonts w:ascii="Times New Roman;serif" w:hAnsi="Times New Roman;serif"/>
          <w:b/>
          <w:color w:val="000000"/>
          <w:sz w:val="24"/>
          <w:u w:val="single"/>
        </w:rPr>
        <w:t>Second Quarter 2026 Results</w:t>
      </w:r>
    </w:p>
    <w:p>
      <w:pPr>
        <w:pStyle w:val="TextBody"/>
        <w:bidi w:val="0"/>
        <w:spacing w:lineRule="auto" w:line="288" w:before="120" w:after="12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Net sales for the second quarter of 2026 were $152.5 million, a decrease of $39.4 million, or 21%, compared with the second quarter of 2025. The decrease reflected lower sales of $34.6 million, $3.0 million and $1.7 million in the power systems, industrial and transportation end markets, respectively. Sales in the power systems end market declined primarily due to uneven order patterns and shipment timing for data center-related products, together with softness in oil and gas markets. The Company continues to see strong demand for data center power solutions. However, the timing and ultimate volume of revenue recognized from that demand remain subject to customer scheduling, manufacturing throughput, supply chain factors and other variables, and the Company is not predicting any specific level of data center revenue in any future period. Based on the current production schedule, the Company expects second-half 2026 sales to exceed first-half 2026 sales as larger Power Systems orders move into production, although shipment timing and quarterly results may continue to vary.</w:t>
      </w: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Gross profit for the second quarter of 2026 was $41.4 million, a decrease of $12.7 million, or 24%, compared with the second quarter of 2025. Gross margin in the second quarter of 2026 was 27.1%, compared with 28.2% in the same period last year. Gross margin reflected a lower mix of oil and gas products, together with elevated production costs associated with capacity ramp-up activities supporting data center-related applications at the Company’s Wisconsin operations. On a sequential basis, gross margin improved by approximately 420 basis points compared with the first quarter of 2026. The improvement reflected in part the early benefits of the Company’s ongoing operational improvement efforts in Wisconsin and was partially offset by unfavorable product mix in the second quarter. The Company’s capacity ramp-up activities at its Wisconsin operations are continuing, and the Company expects related production costs to persist; the trajectory of any further sequential improvement remains subject to product mix, throughput and other operational factors.</w:t>
      </w:r>
    </w:p>
    <w:p>
      <w:pPr>
        <w:pStyle w:val="TextBody"/>
        <w:bidi w:val="0"/>
        <w:spacing w:lineRule="auto" w:line="288" w:before="120" w:after="12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Research and development expenses during the three months ended June 30, 2026 and 2025 were $5.1 million and $4.6 million, respectively. The increase was primarily driven by higher R&amp;D program expenditures to support new programs in 2026 and the recovery of R&amp;D costs from certain customers in 2025.</w:t>
      </w:r>
    </w:p>
    <w:p>
      <w:pPr>
        <w:pStyle w:val="TextBody"/>
        <w:bidi w:val="0"/>
        <w:spacing w:lineRule="auto" w:line="288" w:before="120" w:after="120"/>
        <w:jc w:val="both"/>
        <w:rPr/>
      </w:pPr>
      <w:r>
        <w:rPr>
          <w:rFonts w:ascii="Times New Roman;serif" w:hAnsi="Times New Roman;serif"/>
          <w:b w:val="false"/>
          <w:color w:val="000000"/>
          <w:sz w:val="24"/>
          <w:shd w:fill="FFFFFF" w:val="clear"/>
        </w:rPr>
        <w:t>Selling, general and administrative expenses were $12.1 million</w:t>
      </w:r>
      <w:r>
        <w:rPr>
          <w:color w:val="000000"/>
          <w:shd w:fill="FFFFFF" w:val="clear"/>
        </w:rPr>
        <w:t xml:space="preserve"> </w:t>
      </w:r>
      <w:r>
        <w:rPr>
          <w:rFonts w:ascii="Times New Roman;serif" w:hAnsi="Times New Roman;serif"/>
          <w:b w:val="false"/>
          <w:color w:val="000000"/>
          <w:sz w:val="24"/>
          <w:shd w:fill="FFFFFF" w:val="clear"/>
        </w:rPr>
        <w:t xml:space="preserve">during the second quarter of 2026, a </w:t>
      </w:r>
      <w:r>
        <w:rPr>
          <w:rFonts w:ascii="Times New Roman;serif" w:hAnsi="Times New Roman;serif"/>
          <w:b w:val="false"/>
          <w:color w:val="000000"/>
          <w:sz w:val="24"/>
        </w:rPr>
        <w:t>decrease</w:t>
      </w:r>
      <w:r>
        <w:rPr>
          <w:color w:val="000000"/>
          <w:shd w:fill="FFFFFF" w:val="clear"/>
        </w:rPr>
        <w:t xml:space="preserve"> </w:t>
      </w:r>
      <w:r>
        <w:rPr>
          <w:rFonts w:ascii="Times New Roman;serif" w:hAnsi="Times New Roman;serif"/>
          <w:b w:val="false"/>
          <w:color w:val="000000"/>
          <w:sz w:val="24"/>
          <w:shd w:fill="FFFFFF" w:val="clear"/>
        </w:rPr>
        <w:t xml:space="preserve">of </w:t>
      </w:r>
      <w:r>
        <w:rPr>
          <w:rFonts w:ascii="Times New Roman;serif" w:hAnsi="Times New Roman;serif"/>
          <w:b w:val="false"/>
          <w:color w:val="000000"/>
          <w:sz w:val="24"/>
        </w:rPr>
        <w:t>$4.6 million, or 27%</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rPr>
        <w:t>compared to the same period in the prior year. The decrease was primarily attributable to lower compensation expense related to the revaluation of previously awarded stock appreciation rights (“SARs”), lower costs associated with employee incentive programs, partially offset by incremental selling and administrative expenses associated with MTL Manufacturing and Equipment.</w:t>
      </w:r>
    </w:p>
    <w:p>
      <w:pPr>
        <w:pStyle w:val="TextBody"/>
        <w:bidi w:val="0"/>
        <w:spacing w:lineRule="auto" w:line="288" w:before="120" w:after="12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Interest expense was $1.6 million in the second quarter of 2026, compared to $1.7 million in the same period in the prior year, primarily due to lower overall effective interest rates.</w:t>
      </w:r>
    </w:p>
    <w:p>
      <w:pPr>
        <w:pStyle w:val="TextBody"/>
        <w:bidi w:val="0"/>
        <w:spacing w:lineRule="auto" w:line="288" w:before="120" w:after="120"/>
        <w:jc w:val="both"/>
        <w:rPr/>
      </w:pPr>
      <w:r>
        <w:rPr>
          <w:rFonts w:ascii="Times New Roman;serif" w:hAnsi="Times New Roman;serif"/>
          <w:b w:val="false"/>
          <w:color w:val="000000"/>
          <w:sz w:val="24"/>
          <w:shd w:fill="FFFFFF" w:val="clear"/>
        </w:rPr>
        <w:t xml:space="preserve">Income tax expense was $5.6 million in the second quarter of 2026, compared to an income tax benefit of $20.1 million in the same period of the prior year. </w:t>
      </w:r>
      <w:r>
        <w:rPr>
          <w:rFonts w:ascii="Times New Roman;serif" w:hAnsi="Times New Roman;serif"/>
          <w:b w:val="false"/>
          <w:color w:val="000000"/>
          <w:sz w:val="24"/>
        </w:rPr>
        <w:t xml:space="preserve">The prior-year period included a $29.2 million, or $1.27 per diluted share, tax benefit resulting from the release of a valuation allowance on deferred tax assets. </w:t>
      </w:r>
    </w:p>
    <w:p>
      <w:pPr>
        <w:pStyle w:val="TextBody"/>
        <w:bidi w:val="0"/>
        <w:spacing w:lineRule="auto" w:line="288" w:before="180" w:after="120"/>
        <w:jc w:val="left"/>
        <w:rPr>
          <w:rFonts w:ascii="Times New Roman;serif" w:hAnsi="Times New Roman;serif"/>
          <w:b/>
          <w:color w:val="000000"/>
          <w:sz w:val="24"/>
          <w:u w:val="single"/>
          <w:shd w:fill="FFFFFF" w:val="clear"/>
        </w:rPr>
      </w:pPr>
      <w:r>
        <w:rPr>
          <w:rFonts w:ascii="Times New Roman;serif" w:hAnsi="Times New Roman;serif"/>
          <w:b/>
          <w:color w:val="000000"/>
          <w:sz w:val="24"/>
          <w:u w:val="single"/>
          <w:shd w:fill="FFFFFF" w:val="clear"/>
        </w:rPr>
        <w:t>Balance Sheet Update</w:t>
      </w:r>
    </w:p>
    <w:p>
      <w:pPr>
        <w:pStyle w:val="TextBody"/>
        <w:bidi w:val="0"/>
        <w:spacing w:lineRule="auto" w:line="288" w:before="120" w:after="12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 xml:space="preserve">The Company’s cash and cash equivalents were approximately $70.1 million, and total debt was approximately $72.6 million, as of June 30, 2026. Total debt decreased by approximately $30.8 million from March 31, 2026, when total debt was approximately $103.4 million. As of December 31, 2025, cash and cash equivalents were approximately $41.3 million and total debt was approximately $96.6 million. Total debt as of June 30, 2026 included borrowings of $65.0 million under the Company’s Revolving Credit Agreement. </w:t>
      </w:r>
    </w:p>
    <w:p>
      <w:pPr>
        <w:pStyle w:val="TextBody"/>
        <w:bidi w:val="0"/>
        <w:spacing w:lineRule="auto" w:line="288" w:before="120" w:after="120"/>
        <w:jc w:val="both"/>
        <w:rPr>
          <w:rFonts w:ascii="Times New Roman;serif" w:hAnsi="Times New Roman;serif"/>
          <w:b/>
          <w:color w:val="000000"/>
          <w:sz w:val="24"/>
          <w:u w:val="single"/>
          <w:shd w:fill="FFFFFF" w:val="clear"/>
        </w:rPr>
      </w:pPr>
      <w:r>
        <w:rPr>
          <w:rFonts w:ascii="Times New Roman;serif" w:hAnsi="Times New Roman;serif"/>
          <w:b/>
          <w:color w:val="000000"/>
          <w:sz w:val="24"/>
          <w:u w:val="single"/>
          <w:shd w:fill="FFFFFF" w:val="clear"/>
        </w:rPr>
        <w:t>MTL Update</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On January 9, 2026, the Company acquired MTL Manufacturing &amp; Equipment, Inc. MTL’s operations contributed positively to the Company’s consolidated net income in the second quarter. The acquisition expanded PSI’s vertical integration by adding in-house manufacturing capabilities for components used in power generation products, including fuel tanks and electrical enclosure panels. The Company believes that these capabilities can enhance supply chain control and manufacturing flexibility and support future growth.</w:t>
      </w:r>
    </w:p>
    <w:p>
      <w:pPr>
        <w:pStyle w:val="TextBody"/>
        <w:bidi w:val="0"/>
        <w:spacing w:lineRule="auto" w:line="288" w:before="120" w:after="120"/>
        <w:jc w:val="both"/>
        <w:rPr>
          <w:rFonts w:ascii="Times New Roman;serif" w:hAnsi="Times New Roman;serif"/>
          <w:b/>
          <w:color w:val="000000"/>
          <w:sz w:val="24"/>
          <w:u w:val="single"/>
          <w:shd w:fill="FFFFFF" w:val="clear"/>
        </w:rPr>
      </w:pPr>
      <w:r>
        <w:rPr>
          <w:rFonts w:ascii="Times New Roman;serif" w:hAnsi="Times New Roman;serif"/>
          <w:b/>
          <w:color w:val="000000"/>
          <w:sz w:val="24"/>
          <w:u w:val="single"/>
          <w:shd w:fill="FFFFFF" w:val="clear"/>
        </w:rPr>
        <w:t>Outlook for 2026</w:t>
      </w:r>
    </w:p>
    <w:p>
      <w:pPr>
        <w:pStyle w:val="TextBody"/>
        <w:bidi w:val="0"/>
        <w:spacing w:lineRule="auto" w:line="288" w:before="120" w:after="12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 xml:space="preserve">Given ongoing variability in order timing and market conditions, the Company is not providing formal full-year guidance at this time. Based on the current production schedule and information available as of the date of this release, the Company expects second-half 2026 sales to exceed first-half 2026 sales and to </w:t>
      </w: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be approximately in line with sales in the second half of 2025, as larger Power Systems orders move into production and are recognized as revenue. However, the timing and ultimate volume of those shipments remain subject to customer scheduling, manufacturing throughput, supply chain factors and other variables. There can be no assurance that those orders will translate to a uniformly stronger second half. Continued softness in the oil and gas end market is expected to weigh on quarterly revenue trends, and capacity ramp-up activities at the Company’s Wisconsin operations and their related cost effects on gross margin are expected to continue.</w:t>
      </w:r>
    </w:p>
    <w:p>
      <w:pPr>
        <w:pStyle w:val="TextBody"/>
        <w:bidi w:val="0"/>
        <w:spacing w:lineRule="auto" w:line="288" w:before="120" w:after="120"/>
        <w:jc w:val="left"/>
        <w:rPr/>
      </w:pPr>
      <w:r>
        <w:rPr>
          <w:rFonts w:ascii="Times New Roman;serif" w:hAnsi="Times New Roman;serif"/>
          <w:b/>
          <w:color w:val="000000"/>
          <w:sz w:val="24"/>
          <w:u w:val="single"/>
          <w:shd w:fill="FFFFFF" w:val="clear"/>
        </w:rPr>
        <w:t>About Power Solutions International, Inc.</w:t>
      </w:r>
      <w:r>
        <w:rPr>
          <w:color w:val="000000"/>
        </w:rPr>
        <w:t> </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Power Solutions International, Inc. (PSI) is a leader in the design, engineering and manufacture of a broad range of advanced, emission-certified engines and power systems. PSI provides integrated turnkey solutions to leading global original equipment manufacturers and end-user customers within the power systems, industrial and transportation end markets. The Company’s in-house design, prototyping, engineering and testing capabilities allow PSI to customize high-performance engines using a fuel-agnostic strategy to run on a wide variety of fuels, including natural gas, propane, gasoline, diesel and biofuels.</w:t>
      </w:r>
    </w:p>
    <w:p>
      <w:pPr>
        <w:pStyle w:val="TextBody"/>
        <w:bidi w:val="0"/>
        <w:spacing w:lineRule="auto" w:line="288" w:before="120" w:after="120"/>
        <w:jc w:val="both"/>
        <w:rPr/>
      </w:pPr>
      <w:r>
        <w:rPr>
          <w:rFonts w:ascii="Times New Roman;serif" w:hAnsi="Times New Roman;serif"/>
          <w:b w:val="false"/>
          <w:color w:val="000000"/>
          <w:sz w:val="24"/>
        </w:rPr>
        <w:t xml:space="preserve">PSI develops and delivers complete power systems that are used worldwide in stationary and mobile power generation applications supporting standby, prime, demand response, and microgrid solutions, as well as products and packages supporting the growing data center markets. PSI’s industrial end market provides engine and battery powertrain solutions to serve applications such as forklifts, agricultural and turf, arbor care, industrial sweepers, aerial lifts, irrigation pumps, ground support, and construction equipment. PSI’s transportation end market provides engine powertrain solutions to specialized applications such as terminal tractors, port equipment, military vehicles, and other non-road vocational vehicles. For more information on PSI, visit </w:t>
      </w:r>
      <w:r>
        <w:rPr>
          <w:rFonts w:ascii="Times New Roman;serif" w:hAnsi="Times New Roman;serif"/>
          <w:b w:val="false"/>
          <w:color w:val="0000FF"/>
          <w:sz w:val="24"/>
          <w:u w:val="single"/>
        </w:rPr>
        <w:t>www.psiengines.com</w:t>
      </w:r>
      <w:r>
        <w:rPr>
          <w:rFonts w:ascii="Times New Roman;serif" w:hAnsi="Times New Roman;serif"/>
          <w:b w:val="false"/>
          <w:color w:val="000000"/>
          <w:sz w:val="24"/>
        </w:rPr>
        <w:t>.</w:t>
      </w:r>
    </w:p>
    <w:p>
      <w:pPr>
        <w:pStyle w:val="TextBody"/>
        <w:bidi w:val="0"/>
        <w:spacing w:lineRule="auto" w:line="288" w:before="120" w:after="140"/>
        <w:jc w:val="left"/>
        <w:rPr>
          <w:rFonts w:ascii="Times New Roman;serif" w:hAnsi="Times New Roman;serif"/>
          <w:b/>
          <w:color w:val="000000"/>
          <w:sz w:val="24"/>
          <w:u w:val="single"/>
          <w:shd w:fill="FFFFFF" w:val="clear"/>
        </w:rPr>
      </w:pPr>
      <w:r>
        <w:rPr>
          <w:rFonts w:ascii="Times New Roman;serif" w:hAnsi="Times New Roman;serif"/>
          <w:b/>
          <w:color w:val="000000"/>
          <w:sz w:val="24"/>
          <w:u w:val="single"/>
          <w:shd w:fill="FFFFFF" w:val="clear"/>
        </w:rPr>
        <w:t>Cautionary Note Regarding Forward-Looking Statements</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This press release contains forward-looking statements within the meaning of the Private Securities Litigation Reform Act of 1995 and Section 21E of the Securities Exchange Act of 1934, as amended. These forward-looking statements reflect the Company’s current expectations and assumptions regarding future events. Words such as “anticipate,” “believe,” “budget,” “contemplate,” “continue,” “estimate,” “expect,” “forecast,” “guidance,” “intend,” “may,” “outlook,” “plan,” “position,” “project,” “prospect,” “should,” “target,” “will,” “would” and similar expressions are intended to identify forward-looking statements, although not all forward-looking statements contain such identifying words. Forward-looking statements are not guarantees of future performance and are subject to risks, uncertainties and assumptions that could cause actual results to differ materially from those expressed in or implied by such statements.</w:t>
      </w:r>
    </w:p>
    <w:p>
      <w:pPr>
        <w:pStyle w:val="TextBody"/>
        <w:bidi w:val="0"/>
        <w:spacing w:lineRule="auto" w:line="276"/>
        <w:jc w:val="both"/>
        <w:rPr/>
      </w:pPr>
      <w:r>
        <w:rPr>
          <w:rFonts w:ascii="Times New Roman;serif" w:hAnsi="Times New Roman;serif"/>
          <w:b w:val="false"/>
          <w:color w:val="000000"/>
          <w:sz w:val="24"/>
        </w:rPr>
        <w:t xml:space="preserve">Important factors that could cause actual results to differ materially include, without limitation: </w:t>
      </w:r>
      <w:r>
        <w:rPr>
          <w:rFonts w:ascii="Times New Roman;serif" w:hAnsi="Times New Roman;serif"/>
          <w:b w:val="false"/>
          <w:i/>
          <w:color w:val="000000"/>
          <w:sz w:val="24"/>
        </w:rPr>
        <w:t>the timing and ultimate conversion of Power Systems orders into revenue, including data-center-related orders, and the volume and timing of related shipments;</w:t>
      </w:r>
      <w:r>
        <w:rPr>
          <w:color w:val="000000"/>
        </w:rPr>
        <w:t xml:space="preserve"> </w:t>
      </w:r>
      <w:r>
        <w:rPr>
          <w:rFonts w:ascii="Times New Roman;serif" w:hAnsi="Times New Roman;serif"/>
          <w:b w:val="false"/>
          <w:i/>
          <w:color w:val="000000"/>
          <w:sz w:val="24"/>
        </w:rPr>
        <w:t>quarterly variability in product mix and the corresponding effect on gross profit and gross margin;</w:t>
      </w:r>
      <w:r>
        <w:rPr>
          <w:color w:val="000000"/>
        </w:rPr>
        <w:t xml:space="preserve"> </w:t>
      </w:r>
      <w:r>
        <w:rPr>
          <w:rFonts w:ascii="Times New Roman;serif" w:hAnsi="Times New Roman;serif"/>
          <w:b w:val="false"/>
          <w:i/>
          <w:color w:val="000000"/>
          <w:sz w:val="24"/>
        </w:rPr>
        <w:t>the cost, pace, throughput and operational outcomes of capacity ramp-up activities at the Company’s Wisconsin operations, including the duration and magnitude of related production costs; the Company’s ability to execute operational improvement initiatives on the anticipated timetable;</w:t>
      </w:r>
      <w:r>
        <w:rPr>
          <w:color w:val="000000"/>
        </w:rPr>
        <w:t xml:space="preserve"> </w:t>
      </w:r>
      <w:r>
        <w:rPr>
          <w:rFonts w:ascii="Times New Roman;serif" w:hAnsi="Times New Roman;serif"/>
          <w:b w:val="false"/>
          <w:i/>
          <w:color w:val="000000"/>
          <w:sz w:val="24"/>
        </w:rPr>
        <w:t>the level and persistence of customer demand in the power systems, industrial and transportation end markets;</w:t>
      </w:r>
      <w:r>
        <w:rPr>
          <w:color w:val="000000"/>
        </w:rPr>
        <w:t xml:space="preserve"> </w:t>
      </w:r>
      <w:r>
        <w:rPr>
          <w:rFonts w:ascii="Times New Roman;serif" w:hAnsi="Times New Roman;serif"/>
          <w:b w:val="false"/>
          <w:i/>
          <w:color w:val="000000"/>
          <w:sz w:val="24"/>
        </w:rPr>
        <w:t>volatility in oil and gas prices and corresponding demand for related products; supply-chain disruptions, component availability and supplier performance;</w:t>
      </w:r>
      <w:r>
        <w:rPr>
          <w:color w:val="000000"/>
        </w:rPr>
        <w:t xml:space="preserve"> </w:t>
      </w:r>
      <w:r>
        <w:rPr>
          <w:rFonts w:ascii="Times New Roman;serif" w:hAnsi="Times New Roman;serif"/>
          <w:b w:val="false"/>
          <w:i/>
          <w:color w:val="000000"/>
          <w:sz w:val="24"/>
        </w:rPr>
        <w:t>macroeconomic, regulatory and trade conditions, including U.S. tariffs and trade restrictions;</w:t>
      </w:r>
      <w:r>
        <w:rPr>
          <w:color w:val="000000"/>
        </w:rPr>
        <w:t xml:space="preserve"> </w:t>
      </w:r>
      <w:r>
        <w:rPr>
          <w:rFonts w:ascii="Times New Roman;serif" w:hAnsi="Times New Roman;serif"/>
          <w:b w:val="false"/>
          <w:i/>
          <w:color w:val="000000"/>
          <w:sz w:val="24"/>
        </w:rPr>
        <w:t>integration of recent and future acquisitions, including the acquisition of MTL Manufacturing and Equipment;</w:t>
      </w:r>
      <w:r>
        <w:rPr>
          <w:color w:val="000000"/>
        </w:rPr>
        <w:t xml:space="preserve"> </w:t>
      </w:r>
      <w:r>
        <w:rPr>
          <w:rFonts w:ascii="Times New Roman;serif" w:hAnsi="Times New Roman;serif"/>
          <w:b w:val="false"/>
          <w:i/>
          <w:color w:val="000000"/>
          <w:sz w:val="24"/>
        </w:rPr>
        <w:t>the outcome of pending or threatened litigation and regulatory inquiries, including the previously disclosed putative federal securities class action;</w:t>
      </w:r>
      <w:r>
        <w:rPr>
          <w:color w:val="000000"/>
        </w:rPr>
        <w:t xml:space="preserve"> </w:t>
      </w:r>
      <w:r>
        <w:rPr>
          <w:rFonts w:ascii="Times New Roman;serif" w:hAnsi="Times New Roman;serif"/>
          <w:b w:val="false"/>
          <w:i/>
          <w:color w:val="000000"/>
          <w:sz w:val="24"/>
        </w:rPr>
        <w:t>changes in management or other personnel, including the timing of any related disclosures;</w:t>
      </w:r>
      <w:r>
        <w:rPr>
          <w:color w:val="000000"/>
        </w:rPr>
        <w:t xml:space="preserve"> </w:t>
      </w:r>
      <w:r>
        <w:rPr>
          <w:rFonts w:ascii="Times New Roman;serif" w:hAnsi="Times New Roman;serif"/>
          <w:b w:val="false"/>
          <w:i/>
          <w:color w:val="000000"/>
          <w:sz w:val="24"/>
        </w:rPr>
        <w:t>the ability to recruit and retain key employees;</w:t>
      </w:r>
      <w:r>
        <w:rPr>
          <w:color w:val="000000"/>
        </w:rPr>
        <w:t xml:space="preserve"> </w:t>
      </w:r>
      <w:r>
        <w:rPr>
          <w:rFonts w:ascii="Times New Roman;serif" w:hAnsi="Times New Roman;serif"/>
          <w:b w:val="false"/>
          <w:i/>
          <w:color w:val="000000"/>
          <w:sz w:val="24"/>
        </w:rPr>
        <w:t xml:space="preserve">the impact of changes in our effective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both"/>
        <w:rPr/>
      </w:pPr>
      <w:r>
        <w:rPr>
          <w:rFonts w:ascii="Times New Roman;serif" w:hAnsi="Times New Roman;serif"/>
          <w:b w:val="false"/>
          <w:i/>
          <w:color w:val="000000"/>
          <w:sz w:val="24"/>
        </w:rPr>
        <w:t>tax rate or applicable tax legislation;</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i/>
          <w:color w:val="000000"/>
          <w:sz w:val="24"/>
        </w:rPr>
        <w:t>the other risks and uncertainties described in the Company’s Annual Report on Form 10-K for the fiscal year ended December 31, 2025 and in the Company’s subsequent filings with the U.S. Securities and Exchange Commission, all of which are incorporated by reference into this press release.</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The Company’s forward-looking statements speak only as of the date of this release. Except as required by law, the Company expressly disclaims any intention or obligation to revise or update any forward-looking statement, whether as a result of new information, future events or otherwise. Investors are cautioned not to place undue reliance on any forward-looking statements.</w:t>
      </w:r>
    </w:p>
    <w:p>
      <w:pPr>
        <w:pStyle w:val="TextBody"/>
        <w:bidi w:val="0"/>
        <w:spacing w:lineRule="auto" w:line="288" w:before="120" w:after="140"/>
        <w:jc w:val="left"/>
        <w:rPr>
          <w:rFonts w:ascii="Times New Roman;serif" w:hAnsi="Times New Roman;serif"/>
          <w:b/>
          <w:color w:val="000000"/>
          <w:sz w:val="24"/>
          <w:u w:val="single"/>
          <w:shd w:fill="FFFFFF" w:val="clear"/>
        </w:rPr>
      </w:pPr>
      <w:r>
        <w:rPr>
          <w:rFonts w:ascii="Times New Roman;serif" w:hAnsi="Times New Roman;serif"/>
          <w:b/>
          <w:color w:val="000000"/>
          <w:sz w:val="24"/>
          <w:u w:val="single"/>
          <w:shd w:fill="FFFFFF" w:val="clear"/>
        </w:rPr>
        <w:t>Contact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Power Solutions International, Inc.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Kenneth Li</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Chief Financial Officer</w:t>
      </w:r>
    </w:p>
    <w:p>
      <w:pPr>
        <w:pStyle w:val="TextBody"/>
        <w:bidi w:val="0"/>
        <w:spacing w:lineRule="auto" w:line="288" w:before="0" w:after="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630-284-9719</w:t>
      </w:r>
    </w:p>
    <w:p>
      <w:pPr>
        <w:pStyle w:val="TextBody"/>
        <w:bidi w:val="0"/>
        <w:spacing w:lineRule="auto" w:line="288" w:before="0" w:after="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kli@psiengines.com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i/>
          <w:color w:val="000000"/>
          <w:sz w:val="20"/>
        </w:rPr>
        <w:t>Results of operations for the three and six months ended June 30, 2026, compared with the three and six months ended June 30, 2025</w:t>
      </w:r>
      <w:r>
        <w:rPr>
          <w:color w:val="000000"/>
        </w:rPr>
        <w:t xml:space="preserve"> </w:t>
      </w:r>
      <w:r>
        <w:rPr>
          <w:rFonts w:ascii="Times New Roman;serif" w:hAnsi="Times New Roman;serif"/>
          <w:b/>
          <w:color w:val="000000"/>
          <w:sz w:val="20"/>
        </w:rPr>
        <w:t xml:space="preserve">(UNAUDITED): </w:t>
      </w:r>
    </w:p>
    <w:tbl>
      <w:tblPr>
        <w:tblW w:w="12462" w:type="dxa"/>
        <w:jc w:val="center"/>
        <w:tblInd w:w="0" w:type="dxa"/>
        <w:tblLayout w:type="fixed"/>
        <w:tblCellMar>
          <w:top w:w="28" w:type="dxa"/>
          <w:left w:w="28" w:type="dxa"/>
          <w:bottom w:w="28" w:type="dxa"/>
          <w:right w:w="28" w:type="dxa"/>
        </w:tblCellMar>
      </w:tblPr>
      <w:tblGrid>
        <w:gridCol w:w="576"/>
        <w:gridCol w:w="282"/>
        <w:gridCol w:w="283"/>
        <w:gridCol w:w="109"/>
        <w:gridCol w:w="109"/>
        <w:gridCol w:w="109"/>
        <w:gridCol w:w="196"/>
        <w:gridCol w:w="736"/>
        <w:gridCol w:w="256"/>
        <w:gridCol w:w="109"/>
        <w:gridCol w:w="109"/>
        <w:gridCol w:w="109"/>
        <w:gridCol w:w="196"/>
        <w:gridCol w:w="736"/>
        <w:gridCol w:w="256"/>
        <w:gridCol w:w="109"/>
        <w:gridCol w:w="109"/>
        <w:gridCol w:w="109"/>
        <w:gridCol w:w="196"/>
        <w:gridCol w:w="661"/>
        <w:gridCol w:w="256"/>
        <w:gridCol w:w="109"/>
        <w:gridCol w:w="109"/>
        <w:gridCol w:w="109"/>
        <w:gridCol w:w="193"/>
        <w:gridCol w:w="193"/>
        <w:gridCol w:w="455"/>
        <w:gridCol w:w="109"/>
        <w:gridCol w:w="109"/>
        <w:gridCol w:w="109"/>
        <w:gridCol w:w="196"/>
        <w:gridCol w:w="736"/>
        <w:gridCol w:w="256"/>
        <w:gridCol w:w="109"/>
        <w:gridCol w:w="109"/>
        <w:gridCol w:w="109"/>
        <w:gridCol w:w="196"/>
        <w:gridCol w:w="736"/>
        <w:gridCol w:w="256"/>
        <w:gridCol w:w="109"/>
        <w:gridCol w:w="109"/>
        <w:gridCol w:w="109"/>
        <w:gridCol w:w="196"/>
        <w:gridCol w:w="661"/>
        <w:gridCol w:w="256"/>
        <w:gridCol w:w="109"/>
        <w:gridCol w:w="109"/>
        <w:gridCol w:w="109"/>
        <w:gridCol w:w="186"/>
        <w:gridCol w:w="186"/>
        <w:gridCol w:w="514"/>
      </w:tblGrid>
      <w:tr>
        <w:trPr/>
        <w:tc>
          <w:tcPr>
            <w:tcW w:w="57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Change</w:t>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Net sales</w:t>
            </w:r>
          </w:p>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 related parties $10 and $402 for the three months ended June 30, 2026 and 2025, respectively, $19 and $865 for the six months ended June 30, 2026 and 2025,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152,544 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191,907 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(39,363)</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281,136 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327,353 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(46,217)</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Cost of sales</w:t>
            </w:r>
          </w:p>
          <w:p>
            <w:pPr>
              <w:pStyle w:val="TableContents"/>
              <w:bidi w:val="0"/>
              <w:spacing w:lineRule="auto" w:line="240" w:before="0" w:after="0"/>
              <w:jc w:val="left"/>
              <w:rPr/>
            </w:pPr>
            <w:r>
              <w:rPr>
                <w:rFonts w:ascii="Times New Roman;serif" w:hAnsi="Times New Roman;serif"/>
                <w:b w:val="false"/>
                <w:color w:val="000000"/>
                <w:sz w:val="18"/>
              </w:rPr>
              <w:t xml:space="preserve">(derived from related party net sales </w:t>
            </w:r>
            <w:r>
              <w:rPr>
                <w:rFonts w:ascii="Times New Roman;serif" w:hAnsi="Times New Roman;serif"/>
                <w:b w:val="false"/>
                <w:color w:val="000000"/>
                <w:sz w:val="18"/>
                <w:shd w:fill="FFFFFF" w:val="clear"/>
              </w:rPr>
              <w:t>$3</w:t>
            </w:r>
            <w:r>
              <w:rPr>
                <w:color w:val="000000"/>
              </w:rPr>
              <w:t xml:space="preserve"> </w:t>
            </w:r>
            <w:r>
              <w:rPr>
                <w:rFonts w:ascii="Times New Roman;serif" w:hAnsi="Times New Roman;serif"/>
                <w:b w:val="false"/>
                <w:color w:val="000000"/>
                <w:sz w:val="18"/>
              </w:rPr>
              <w:t xml:space="preserve">and </w:t>
            </w:r>
            <w:r>
              <w:rPr>
                <w:rFonts w:ascii="Times New Roman;serif" w:hAnsi="Times New Roman;serif"/>
                <w:b w:val="false"/>
                <w:color w:val="000000"/>
                <w:sz w:val="18"/>
                <w:shd w:fill="FFFFFF" w:val="clear"/>
              </w:rPr>
              <w:t>$271</w:t>
            </w:r>
            <w:r>
              <w:rPr>
                <w:color w:val="000000"/>
              </w:rPr>
              <w:t xml:space="preserve"> </w:t>
            </w:r>
            <w:r>
              <w:rPr>
                <w:rFonts w:ascii="Times New Roman;serif" w:hAnsi="Times New Roman;serif"/>
                <w:b w:val="false"/>
                <w:color w:val="000000"/>
                <w:sz w:val="18"/>
              </w:rPr>
              <w:t xml:space="preserve">for the three months ended June 30, 2026 and 2025, respectively, and </w:t>
            </w:r>
            <w:r>
              <w:rPr>
                <w:rFonts w:ascii="Times New Roman;serif" w:hAnsi="Times New Roman;serif"/>
                <w:b w:val="false"/>
                <w:color w:val="000000"/>
                <w:sz w:val="18"/>
                <w:shd w:fill="FFFFFF" w:val="clear"/>
              </w:rPr>
              <w:t>$8</w:t>
            </w:r>
            <w:r>
              <w:rPr>
                <w:color w:val="000000"/>
              </w:rPr>
              <w:t xml:space="preserve"> </w:t>
            </w:r>
            <w:r>
              <w:rPr>
                <w:rFonts w:ascii="Times New Roman;serif" w:hAnsi="Times New Roman;serif"/>
                <w:b w:val="false"/>
                <w:color w:val="000000"/>
                <w:sz w:val="18"/>
              </w:rPr>
              <w:t xml:space="preserve">and </w:t>
            </w:r>
            <w:r>
              <w:rPr>
                <w:rFonts w:ascii="Times New Roman;serif" w:hAnsi="Times New Roman;serif"/>
                <w:b w:val="false"/>
                <w:color w:val="000000"/>
                <w:sz w:val="18"/>
                <w:shd w:fill="FFFFFF" w:val="clear"/>
              </w:rPr>
              <w:t xml:space="preserve">$587 </w:t>
            </w:r>
            <w:r>
              <w:rPr>
                <w:rFonts w:ascii="Times New Roman;serif" w:hAnsi="Times New Roman;serif"/>
                <w:b w:val="false"/>
                <w:color w:val="000000"/>
                <w:sz w:val="18"/>
              </w:rPr>
              <w:t>for the six months ended June 30, 2026 and 2025,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111,176 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137,824 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(26,648)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210,344 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232,976 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(22,632)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41,368 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54,083 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(12,715)</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70,792 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94,377 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(23,585)</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Gross margin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27.1 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28.2 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(1.1)</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25.2 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28.8 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(3.6)</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9,856 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8,859 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Research and development expenses as a %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3.3 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2.4 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0.9 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3.5 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2.7 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0.8 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12,117 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16,680 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25,095 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27,789 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Selling, general and administrative expenses as a %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7.9 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8.7 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(0.8)</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8.9 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8.5 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0.4 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17,448 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21,601 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(4,153)</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35,480 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37,261 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(1,781)</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23,920 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32,482 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(8,562)</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4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35,312 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57,116 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(21,804)</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5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Interest expense (from related p</w:t>
            </w:r>
            <w:r>
              <w:rPr>
                <w:rFonts w:ascii="Times New Roman;serif" w:hAnsi="Times New Roman;serif"/>
                <w:b w:val="false"/>
                <w:color w:val="000000"/>
                <w:sz w:val="18"/>
                <w:shd w:fill="FFFFFF" w:val="clear"/>
              </w:rPr>
              <w:t xml:space="preserve">arties of $0 and </w:t>
            </w:r>
            <w:r>
              <w:rPr>
                <w:rFonts w:ascii="Times New Roman;serif" w:hAnsi="Times New Roman;serif"/>
                <w:b w:val="false"/>
                <w:color w:val="000000"/>
                <w:sz w:val="18"/>
              </w:rPr>
              <w:t>$219 for the three months ended June 30, 2026 and 2025, respectively, and $0 and $634 for the six months ended June 30, 2026 and 2025,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1,448 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1,405 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4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3,107 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3,171 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5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22,472 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31,077 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(8,605)</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32,205 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53,945 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(21,740)</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5,611 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(20,135)</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25,746 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8,044 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(16,349)</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24,393 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16,861 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51,212 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(34,351)</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w:t>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24,161 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70,294 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(46,133)</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Earnings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w:t>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w:t>
            </w:r>
          </w:p>
        </w:tc>
        <w:tc>
          <w:tcPr>
            <w:tcW w:w="5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Non-GAAP Financial Measures: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net income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17,971 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51,769 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(33,798)</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25,976 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71,004 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(45,028)</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w:t>
            </w:r>
          </w:p>
        </w:tc>
        <w:tc>
          <w:tcPr>
            <w:tcW w:w="5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net income per share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EBITDA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25,723 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34,108 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(8,385)</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38,893 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60,024 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(21,131)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5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26,833 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34,665 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(7,832)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40,708 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60,734 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(20,026)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 xml:space="preserve">NM    Not meaningful </w:t>
      </w:r>
    </w:p>
    <w:p>
      <w:pPr>
        <w:pStyle w:val="TextBody"/>
        <w:bidi w:val="0"/>
        <w:spacing w:lineRule="auto" w:line="288" w:before="0" w:after="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    See reconciliation of non-GAAP financial measures to GAAP results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POWER SOLUTIONS INTERNATIONAL, INC.</w:t>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tbl>
      <w:tblPr>
        <w:tblW w:w="10205" w:type="dxa"/>
        <w:jc w:val="left"/>
        <w:tblInd w:w="0" w:type="dxa"/>
        <w:tblLayout w:type="fixed"/>
        <w:tblCellMar>
          <w:top w:w="28" w:type="dxa"/>
          <w:left w:w="28" w:type="dxa"/>
          <w:bottom w:w="28" w:type="dxa"/>
          <w:right w:w="28" w:type="dxa"/>
        </w:tblCellMar>
      </w:tblPr>
      <w:tblGrid>
        <w:gridCol w:w="2689"/>
        <w:gridCol w:w="1861"/>
        <w:gridCol w:w="1872"/>
        <w:gridCol w:w="109"/>
        <w:gridCol w:w="109"/>
        <w:gridCol w:w="109"/>
        <w:gridCol w:w="298"/>
        <w:gridCol w:w="1170"/>
        <w:gridCol w:w="154"/>
        <w:gridCol w:w="109"/>
        <w:gridCol w:w="109"/>
        <w:gridCol w:w="109"/>
        <w:gridCol w:w="266"/>
        <w:gridCol w:w="1042"/>
        <w:gridCol w:w="199"/>
      </w:tblGrid>
      <w:tr>
        <w:trPr/>
        <w:tc>
          <w:tcPr>
            <w:tcW w:w="2689" w:type="dxa"/>
            <w:tcBorders/>
            <w:vAlign w:val="center"/>
          </w:tcPr>
          <w:p>
            <w:pPr>
              <w:pStyle w:val="TableContents"/>
              <w:bidi w:val="0"/>
              <w:spacing w:before="0" w:after="283"/>
              <w:jc w:val="left"/>
              <w:rPr>
                <w:sz w:val="4"/>
                <w:szCs w:val="4"/>
              </w:rPr>
            </w:pPr>
            <w:r>
              <w:rPr>
                <w:sz w:val="4"/>
                <w:szCs w:val="4"/>
              </w:rPr>
            </w:r>
          </w:p>
        </w:tc>
        <w:tc>
          <w:tcPr>
            <w:tcW w:w="1861" w:type="dxa"/>
            <w:tcBorders/>
            <w:vAlign w:val="center"/>
          </w:tcPr>
          <w:p>
            <w:pPr>
              <w:pStyle w:val="TableContents"/>
              <w:bidi w:val="0"/>
              <w:spacing w:before="0" w:after="283"/>
              <w:jc w:val="left"/>
              <w:rPr>
                <w:sz w:val="4"/>
                <w:szCs w:val="4"/>
              </w:rPr>
            </w:pPr>
            <w:r>
              <w:rPr>
                <w:sz w:val="4"/>
                <w:szCs w:val="4"/>
              </w:rPr>
            </w:r>
          </w:p>
        </w:tc>
        <w:tc>
          <w:tcPr>
            <w:tcW w:w="1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6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 except par values)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June 30, 2026 (unaudited)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 2025</w:t>
            </w:r>
          </w:p>
        </w:tc>
      </w:tr>
      <w:tr>
        <w:trPr/>
        <w:tc>
          <w:tcPr>
            <w:tcW w:w="6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41,250 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3,698 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allowances of $1,734 and $967 as of June 30, 2026 and December 31, 2025, respectively; (from related parties $200 and $415 as of June 30, 2026 and December 31, 2025,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90,446 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6,442 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127,363 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Prepaid expenses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15,965 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6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302,534 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290,920 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23,014 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52,911 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29,835 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13,322 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Customs-related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12,893 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453,317 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424,745 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payable (to related parties $8,700 and $4,126 as of June 30, 2026 and December 31, 2025,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48,196 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Tariff refund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maturities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6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liability,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6,346 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short-term financing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accrued liabilities (to related parties $53 and $60 as of June 30, 2026 and December 31, 2025,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37,353 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92,278 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6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6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 of current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line of credit, long-term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95,000 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liability, long-term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 long-term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49,397 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contract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1,699 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6,528 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250,249 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246,136 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6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6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6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6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6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6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64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 $0.001 par value; 50,000 shares authorized; 23,117 shares issued; 23,050 and 23,041 shares outstanding at June 30, 2026 and December 31, 2025,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157,602 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22,476 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at cost, 67 and 76 shares at June 30, 2026 and December 31, 2025,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(1,492)</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203,068 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178,609 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453,317 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424,745 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POWER SOLUTIONS INTERNATIONAL, INC.</w:t>
      </w:r>
    </w:p>
    <w:p>
      <w:pPr>
        <w:pStyle w:val="TextBody"/>
        <w:bidi w:val="0"/>
        <w:spacing w:lineRule="auto" w:line="288" w:before="60" w:after="6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CONDENSED CONSOLIDATED STATEMENTS OF CASH FLOWS</w:t>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553"/>
        <w:gridCol w:w="1218"/>
        <w:gridCol w:w="1224"/>
        <w:gridCol w:w="109"/>
        <w:gridCol w:w="109"/>
        <w:gridCol w:w="109"/>
        <w:gridCol w:w="245"/>
        <w:gridCol w:w="841"/>
        <w:gridCol w:w="126"/>
        <w:gridCol w:w="126"/>
        <w:gridCol w:w="126"/>
        <w:gridCol w:w="126"/>
        <w:gridCol w:w="245"/>
        <w:gridCol w:w="841"/>
        <w:gridCol w:w="126"/>
        <w:gridCol w:w="109"/>
        <w:gridCol w:w="109"/>
        <w:gridCol w:w="109"/>
        <w:gridCol w:w="235"/>
        <w:gridCol w:w="806"/>
        <w:gridCol w:w="121"/>
        <w:gridCol w:w="121"/>
        <w:gridCol w:w="121"/>
        <w:gridCol w:w="121"/>
        <w:gridCol w:w="235"/>
        <w:gridCol w:w="806"/>
        <w:gridCol w:w="188"/>
      </w:tblGrid>
      <w:tr>
        <w:trPr/>
        <w:tc>
          <w:tcPr>
            <w:tcW w:w="1553"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3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Six Months Ended June 30,</w:t>
            </w:r>
          </w:p>
        </w:tc>
      </w:tr>
      <w:tr>
        <w:trPr/>
        <w:tc>
          <w:tcPr>
            <w:tcW w:w="3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Cash flows from operating activities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16,861 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51,212 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24,161 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70,294 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lease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2,974 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financing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(26,925)</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(26,925)</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r>
      <w:tr>
        <w:trPr/>
        <w:tc>
          <w:tcPr>
            <w:tcW w:w="3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r>
      <w:tr>
        <w:trPr/>
        <w:tc>
          <w:tcPr>
            <w:tcW w:w="3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r>
      <w:tr>
        <w:trPr/>
        <w:tc>
          <w:tcPr>
            <w:tcW w:w="3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r>
      <w:tr>
        <w:trPr/>
        <w:tc>
          <w:tcPr>
            <w:tcW w:w="3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(credit) for losses in 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allowance for inventory obsolescence,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r>
      <w:tr>
        <w:trPr/>
        <w:tc>
          <w:tcPr>
            <w:tcW w:w="3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adjustments, net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 net of effects of business combinations: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Accounts receivable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(4,543)</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(13,081)</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(30,233)</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(49,527)</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(3,020)</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2,177 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78 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3,208 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23,993 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31,007 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Tariff refund liability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22,687 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22,687 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(3,307)</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5,965 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noncurrent liabilities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(1,842)</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(4,092)</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(5,219)</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56,594 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20,163 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75,724 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25,474 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Cash flows from investing activities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(2,036)</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(5,439)</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disposal of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r>
      <w:tr>
        <w:trPr/>
        <w:tc>
          <w:tcPr>
            <w:tcW w:w="3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r>
      <w:tr>
        <w:trPr/>
        <w:tc>
          <w:tcPr>
            <w:tcW w:w="3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r>
      <w:tr>
        <w:trPr/>
        <w:tc>
          <w:tcPr>
            <w:tcW w:w="3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(14,647)</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(5,428)</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Cash from financing activities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r>
      <w:tr>
        <w:trPr/>
        <w:tc>
          <w:tcPr>
            <w:tcW w:w="3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r>
      <w:tr>
        <w:trPr/>
        <w:tc>
          <w:tcPr>
            <w:tcW w:w="3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long-term debt and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(30,758)</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(30,938)</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r>
      <w:tr>
        <w:trPr/>
        <w:tc>
          <w:tcPr>
            <w:tcW w:w="3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short-term financings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r>
      <w:tr>
        <w:trPr/>
        <w:tc>
          <w:tcPr>
            <w:tcW w:w="3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r>
      <w:tr>
        <w:trPr/>
        <w:tc>
          <w:tcPr>
            <w:tcW w:w="3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r>
      <w:tr>
        <w:trPr/>
        <w:tc>
          <w:tcPr>
            <w:tcW w:w="3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r>
      <w:tr>
        <w:trPr/>
        <w:tc>
          <w:tcPr>
            <w:tcW w:w="3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r>
      <w:tr>
        <w:trPr/>
        <w:tc>
          <w:tcPr>
            <w:tcW w:w="3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to settle tax withholding obligations for stock-based compensation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r>
      <w:tr>
        <w:trPr/>
        <w:tc>
          <w:tcPr>
            <w:tcW w:w="3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financing activities,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(30,762)</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(15,179)</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(31,502)</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(25,419)</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increase (decrease) in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24,986 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29,575 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(5,373)</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49,537 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53,659 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44,948 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58,491 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cash equivalents, and restricted cash at end of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74,523 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53,118 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74,523 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53,118 </w:t>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120" w:after="120"/>
        <w:jc w:val="both"/>
        <w:rPr/>
      </w:pPr>
      <w:r>
        <w:rPr>
          <w:rFonts w:ascii="Times New Roman;serif" w:hAnsi="Times New Roman;serif"/>
          <w:b w:val="false"/>
          <w:color w:val="000000"/>
          <w:sz w:val="20"/>
        </w:rPr>
        <w:t xml:space="preserve">In addition to the results provided in accordance with accounting principles generally accepted in the United States (“U.S. GAAP”) above, this press release also includes non-GAAP (adjusted) financial measures. Non-GAAP financial measures provide insight into selected financial information and should be evaluated in the context in which they are presented. These non-GAAP financial measures have limitations as analytical tools and should not be considered in isolation from, or as a substitute for, financial information presented in compliance with U.S. GAAP, and non-GAAP financial measures as reported by the Company may not be comparable to similarly titled amounts reported by other companies. The non-GAAP financial measures should be considered in conjunction with the consolidated financial statements, including the related notes, and </w:t>
      </w:r>
      <w:r>
        <w:rPr>
          <w:rFonts w:ascii="Times New Roman;serif" w:hAnsi="Times New Roman;serif"/>
          <w:b w:val="false"/>
          <w:i/>
          <w:color w:val="000000"/>
          <w:sz w:val="20"/>
        </w:rPr>
        <w:t>Management’s Discussion and Analysis of Financial Condition and Results of Operations</w:t>
      </w:r>
      <w:r>
        <w:rPr>
          <w:color w:val="000000"/>
        </w:rPr>
        <w:t xml:space="preserve"> </w:t>
      </w:r>
      <w:r>
        <w:rPr>
          <w:rFonts w:ascii="Times New Roman;serif" w:hAnsi="Times New Roman;serif"/>
          <w:b w:val="false"/>
          <w:color w:val="000000"/>
          <w:sz w:val="20"/>
        </w:rPr>
        <w:t>within the Company’s Form 10-Q for the quarter ended June 30, 2026. Management does not use these non-GAAP financial measures for any purpose other than the reasons stated below.</w:t>
      </w:r>
    </w:p>
    <w:tbl>
      <w:tblPr>
        <w:tblW w:w="6778" w:type="dxa"/>
        <w:jc w:val="left"/>
        <w:tblInd w:w="0" w:type="dxa"/>
        <w:tblLayout w:type="fixed"/>
        <w:tblCellMar>
          <w:top w:w="28" w:type="dxa"/>
          <w:left w:w="28" w:type="dxa"/>
          <w:bottom w:w="28" w:type="dxa"/>
          <w:right w:w="28" w:type="dxa"/>
        </w:tblCellMar>
      </w:tblPr>
      <w:tblGrid>
        <w:gridCol w:w="1211"/>
        <w:gridCol w:w="1063"/>
        <w:gridCol w:w="1070"/>
        <w:gridCol w:w="1005"/>
        <w:gridCol w:w="1005"/>
        <w:gridCol w:w="1424"/>
      </w:tblGrid>
      <w:tr>
        <w:trPr/>
        <w:tc>
          <w:tcPr>
            <w:tcW w:w="1211"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Non-GAAP Financial Measure</w:t>
            </w:r>
          </w:p>
        </w:tc>
        <w:tc>
          <w:tcPr>
            <w:tcW w:w="343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Comparable GAAP Financial Measure</w:t>
            </w:r>
          </w:p>
        </w:tc>
      </w:tr>
      <w:tr>
        <w:trPr/>
        <w:tc>
          <w:tcPr>
            <w:tcW w:w="33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net income</w:t>
            </w:r>
          </w:p>
        </w:tc>
        <w:tc>
          <w:tcPr>
            <w:tcW w:w="34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net income per share – diluted</w:t>
            </w:r>
          </w:p>
        </w:tc>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 – diluted</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r>
    </w:tbl>
    <w:p>
      <w:pPr>
        <w:pStyle w:val="TextBody"/>
        <w:bidi w:val="0"/>
        <w:spacing w:lineRule="auto" w:line="288" w:before="14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believes that Adjusted net income, Adjusted net income per share – diluted, EBITDA, and Adjusted EBITDA provide relevant and useful information, which is widely used by analysts, investors and competitors in its industry as well as by the Company’s management in assessing the performance of the Company. Adjusted net income is defined as net income as adjusted for certain items that the Company believes are not indicative of its ongoing operating performance. Adjusted net income per share – diluted is a measure of the Company’s diluted earnings per common share adjusted for the impact of special items. EBITDA provides the Company with an understanding of earnings before the impact of investing and financing charges and income taxes. Adjusted EBITDA further excludes the effects of other non-cash charges and certain other items that do not reflect the ordinary earnings of the Company’s operations. </w:t>
      </w:r>
    </w:p>
    <w:p>
      <w:pPr>
        <w:pStyle w:val="TextBody"/>
        <w:bidi w:val="0"/>
        <w:spacing w:lineRule="auto" w:line="288" w:before="1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Adjusted net income, Adjusted net income per share – diluted, EBITDA, and Adjusted EBITDA are used by management for various purposes, including as a measure of performance of the Company’s operations and as a basis for strategic planning and forecasting. Adjusted net income, Adjusted net income per share – diluted, and Adjusted EBITDA may be useful to an investor because these measures are widely used to evaluate companies’ operating performance without regard to items excluded from the calculation of such measures, which can vary substantially from company to company depending on the accounting methods, the book value of assets, the capital structure and the method by which the assets were acquired, among other factors. They are not, however, intended as alternative measures of operating results or cash flow from operations as determined in accordance with U.S. GAAP.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The following table presents a reconciliation from Net income to Adjusted net income for the three and six months ended June 30, 2026 and 2025 (UNAUDITED):</w:t>
      </w:r>
    </w:p>
    <w:tbl>
      <w:tblPr>
        <w:tblW w:w="10111" w:type="dxa"/>
        <w:jc w:val="center"/>
        <w:tblInd w:w="0" w:type="dxa"/>
        <w:tblLayout w:type="fixed"/>
        <w:tblCellMar>
          <w:top w:w="28" w:type="dxa"/>
          <w:left w:w="28" w:type="dxa"/>
          <w:bottom w:w="28" w:type="dxa"/>
          <w:right w:w="28" w:type="dxa"/>
        </w:tblCellMar>
      </w:tblPr>
      <w:tblGrid>
        <w:gridCol w:w="1117"/>
        <w:gridCol w:w="984"/>
        <w:gridCol w:w="989"/>
        <w:gridCol w:w="109"/>
        <w:gridCol w:w="109"/>
        <w:gridCol w:w="109"/>
        <w:gridCol w:w="287"/>
        <w:gridCol w:w="983"/>
        <w:gridCol w:w="148"/>
        <w:gridCol w:w="148"/>
        <w:gridCol w:w="148"/>
        <w:gridCol w:w="148"/>
        <w:gridCol w:w="287"/>
        <w:gridCol w:w="983"/>
        <w:gridCol w:w="148"/>
        <w:gridCol w:w="109"/>
        <w:gridCol w:w="109"/>
        <w:gridCol w:w="109"/>
        <w:gridCol w:w="265"/>
        <w:gridCol w:w="908"/>
        <w:gridCol w:w="137"/>
        <w:gridCol w:w="137"/>
        <w:gridCol w:w="137"/>
        <w:gridCol w:w="137"/>
        <w:gridCol w:w="265"/>
        <w:gridCol w:w="908"/>
        <w:gridCol w:w="193"/>
      </w:tblGrid>
      <w:tr>
        <w:trPr/>
        <w:tc>
          <w:tcPr>
            <w:tcW w:w="1117"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Six Months Ended June 30,</w:t>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11"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16,861 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51,212 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24,161 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70,294 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Stock-based compensation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Severance and executive recruiting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legal matters </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17,971 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51,769 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25,976 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71,004 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40"/>
        <w:jc w:val="both"/>
        <w:rPr>
          <w:rFonts w:ascii="Times New Roman;serif" w:hAnsi="Times New Roman;serif"/>
          <w:b/>
          <w:color w:val="000000"/>
          <w:sz w:val="20"/>
        </w:rPr>
      </w:pPr>
      <w:r>
        <w:rPr>
          <w:rFonts w:ascii="Times New Roman;serif" w:hAnsi="Times New Roman;serif"/>
          <w:b/>
          <w:color w:val="000000"/>
          <w:sz w:val="20"/>
        </w:rPr>
        <w:t>The following table presents a reconciliation from Net income per share – diluted to Adjusted net income per share – diluted for the three and six months ended June 30, 2026 and 2025 (UNAUDITED):</w:t>
      </w:r>
    </w:p>
    <w:tbl>
      <w:tblPr>
        <w:tblW w:w="10205" w:type="dxa"/>
        <w:jc w:val="center"/>
        <w:tblInd w:w="0" w:type="dxa"/>
        <w:tblLayout w:type="fixed"/>
        <w:tblCellMar>
          <w:top w:w="28" w:type="dxa"/>
          <w:left w:w="28" w:type="dxa"/>
          <w:bottom w:w="28" w:type="dxa"/>
          <w:right w:w="28" w:type="dxa"/>
        </w:tblCellMar>
      </w:tblPr>
      <w:tblGrid>
        <w:gridCol w:w="1215"/>
        <w:gridCol w:w="1044"/>
        <w:gridCol w:w="1052"/>
        <w:gridCol w:w="109"/>
        <w:gridCol w:w="109"/>
        <w:gridCol w:w="109"/>
        <w:gridCol w:w="340"/>
        <w:gridCol w:w="825"/>
        <w:gridCol w:w="176"/>
        <w:gridCol w:w="176"/>
        <w:gridCol w:w="176"/>
        <w:gridCol w:w="176"/>
        <w:gridCol w:w="340"/>
        <w:gridCol w:w="825"/>
        <w:gridCol w:w="176"/>
        <w:gridCol w:w="109"/>
        <w:gridCol w:w="109"/>
        <w:gridCol w:w="109"/>
        <w:gridCol w:w="313"/>
        <w:gridCol w:w="761"/>
        <w:gridCol w:w="161"/>
        <w:gridCol w:w="161"/>
        <w:gridCol w:w="161"/>
        <w:gridCol w:w="161"/>
        <w:gridCol w:w="313"/>
        <w:gridCol w:w="761"/>
        <w:gridCol w:w="238"/>
      </w:tblGrid>
      <w:tr>
        <w:trPr/>
        <w:tc>
          <w:tcPr>
            <w:tcW w:w="1215"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3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Six Months Ended June 30,</w:t>
            </w:r>
          </w:p>
        </w:tc>
      </w:tr>
      <w:tr>
        <w:trPr/>
        <w:tc>
          <w:tcPr>
            <w:tcW w:w="3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8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0.73 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r>
      <w:tr>
        <w:trPr/>
        <w:tc>
          <w:tcPr>
            <w:tcW w:w="33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Stock-based compensation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r>
      <w:tr>
        <w:trPr/>
        <w:tc>
          <w:tcPr>
            <w:tcW w:w="3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r>
      <w:tr>
        <w:trPr/>
        <w:tc>
          <w:tcPr>
            <w:tcW w:w="3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r>
      <w:tr>
        <w:trPr/>
        <w:tc>
          <w:tcPr>
            <w:tcW w:w="33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Severance and executive recruiting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r>
      <w:tr>
        <w:trPr/>
        <w:tc>
          <w:tcPr>
            <w:tcW w:w="3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r>
      <w:tr>
        <w:trPr/>
        <w:tc>
          <w:tcPr>
            <w:tcW w:w="33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legal matters </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r>
      <w:tr>
        <w:trPr/>
        <w:tc>
          <w:tcPr>
            <w:tcW w:w="3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r>
      <w:tr>
        <w:trPr/>
        <w:tc>
          <w:tcPr>
            <w:tcW w:w="3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net income per share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0.78 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 shares (in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23,072</w:t>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23,067</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23,064</w:t>
            </w:r>
          </w:p>
        </w:tc>
      </w:tr>
    </w:tbl>
    <w:p>
      <w:pPr>
        <w:pStyle w:val="TextBody"/>
        <w:bidi w:val="0"/>
        <w:spacing w:lineRule="auto" w:line="288" w:before="20" w:after="120"/>
        <w:jc w:val="both"/>
        <w:rPr/>
      </w:pPr>
      <w:r>
        <w:rPr>
          <w:rFonts w:ascii="Times New Roman;serif" w:hAnsi="Times New Roman;serif"/>
          <w:b/>
          <w:color w:val="000000"/>
          <w:sz w:val="20"/>
        </w:rPr>
        <w:t xml:space="preserve">The following table presents a reconciliation from </w:t>
      </w:r>
      <w:r>
        <w:rPr>
          <w:rFonts w:ascii="Times New Roman;serif" w:hAnsi="Times New Roman;serif"/>
          <w:b/>
          <w:color w:val="000000"/>
          <w:sz w:val="20"/>
          <w:shd w:fill="FFFFFF" w:val="clear"/>
        </w:rPr>
        <w:t>Net income</w:t>
      </w:r>
      <w:r>
        <w:rPr>
          <w:color w:val="000000"/>
        </w:rPr>
        <w:t xml:space="preserve"> </w:t>
      </w:r>
      <w:r>
        <w:rPr>
          <w:rFonts w:ascii="Times New Roman;serif" w:hAnsi="Times New Roman;serif"/>
          <w:b/>
          <w:color w:val="000000"/>
          <w:sz w:val="20"/>
        </w:rPr>
        <w:t>to EBITDA and Adjusted EBITDA for the three and six months ended June 30, 2026 and 2025 (UNAUDITED):</w:t>
      </w:r>
    </w:p>
    <w:tbl>
      <w:tblPr>
        <w:tblW w:w="10111" w:type="dxa"/>
        <w:jc w:val="center"/>
        <w:tblInd w:w="0" w:type="dxa"/>
        <w:tblLayout w:type="fixed"/>
        <w:tblCellMar>
          <w:top w:w="28" w:type="dxa"/>
          <w:left w:w="28" w:type="dxa"/>
          <w:bottom w:w="28" w:type="dxa"/>
          <w:right w:w="28" w:type="dxa"/>
        </w:tblCellMar>
      </w:tblPr>
      <w:tblGrid>
        <w:gridCol w:w="1117"/>
        <w:gridCol w:w="985"/>
        <w:gridCol w:w="988"/>
        <w:gridCol w:w="109"/>
        <w:gridCol w:w="109"/>
        <w:gridCol w:w="109"/>
        <w:gridCol w:w="287"/>
        <w:gridCol w:w="983"/>
        <w:gridCol w:w="148"/>
        <w:gridCol w:w="148"/>
        <w:gridCol w:w="148"/>
        <w:gridCol w:w="148"/>
        <w:gridCol w:w="287"/>
        <w:gridCol w:w="983"/>
        <w:gridCol w:w="148"/>
        <w:gridCol w:w="109"/>
        <w:gridCol w:w="109"/>
        <w:gridCol w:w="109"/>
        <w:gridCol w:w="265"/>
        <w:gridCol w:w="908"/>
        <w:gridCol w:w="137"/>
        <w:gridCol w:w="137"/>
        <w:gridCol w:w="137"/>
        <w:gridCol w:w="137"/>
        <w:gridCol w:w="265"/>
        <w:gridCol w:w="908"/>
        <w:gridCol w:w="193"/>
      </w:tblGrid>
      <w:tr>
        <w:trPr/>
        <w:tc>
          <w:tcPr>
            <w:tcW w:w="1117"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Six Months Ended June 30,</w:t>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11"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16,861 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51,212 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24,161 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70,294 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3,466 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(20,135)</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(16,349)</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25,723 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34,108 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38,893 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60,024 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Stock-based compensation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Severance and executive recruiting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legal matters </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26,833 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34,665 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40,708 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60,734 </w:t>
            </w:r>
          </w:p>
        </w:tc>
        <w:tc>
          <w:tcPr>
            <w:tcW w:w="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erif" w:hAnsi="Times New Roman;serif"/>
          <w:b w:val="false"/>
          <w:color w:val="000000"/>
          <w:sz w:val="16"/>
        </w:rPr>
        <w:t>1.Amounts reflect non-cash stock-based compensation expense</w:t>
      </w:r>
      <w:r>
        <w:rPr>
          <w:color w:val="000000"/>
        </w:rPr>
        <w:t xml:space="preserve"> </w:t>
      </w:r>
      <w:r>
        <w:rPr>
          <w:rFonts w:ascii="Times New Roman;serif" w:hAnsi="Times New Roman;serif"/>
          <w:b w:val="false"/>
          <w:color w:val="000000"/>
          <w:sz w:val="16"/>
        </w:rPr>
        <w:t>for the three and six months ended June 30, 2026 and 2025.</w:t>
      </w:r>
    </w:p>
    <w:p>
      <w:pPr>
        <w:pStyle w:val="TextBody"/>
        <w:bidi w:val="0"/>
        <w:spacing w:lineRule="auto" w:line="288" w:before="0" w:after="0"/>
        <w:ind w:left="0" w:right="0" w:hanging="360"/>
        <w:jc w:val="left"/>
        <w:rPr/>
      </w:pPr>
      <w:r>
        <w:rPr>
          <w:rFonts w:ascii="Times New Roman;serif" w:hAnsi="Times New Roman;serif"/>
          <w:b w:val="false"/>
          <w:color w:val="000000"/>
          <w:sz w:val="16"/>
          <w:shd w:fill="FFFFFF" w:val="clear"/>
        </w:rPr>
        <w:t xml:space="preserve">2.Amounts include severance expense of less than $0.1 million and $0.1 million </w:t>
      </w:r>
      <w:r>
        <w:rPr>
          <w:rFonts w:ascii="Times New Roman;serif" w:hAnsi="Times New Roman;serif"/>
          <w:b w:val="false"/>
          <w:color w:val="000000"/>
          <w:sz w:val="16"/>
        </w:rPr>
        <w:t xml:space="preserve">for the three and six months ended June 30, 2026 and 2025, respectively, as well as executive recruiting expense of </w:t>
      </w:r>
      <w:r>
        <w:rPr>
          <w:rFonts w:ascii="Times New Roman;serif" w:hAnsi="Times New Roman;serif"/>
          <w:b w:val="false"/>
          <w:color w:val="000000"/>
          <w:sz w:val="16"/>
          <w:shd w:fill="FFFFFF" w:val="clear"/>
        </w:rPr>
        <w:t>$0.4 million for each period presented.</w:t>
      </w:r>
    </w:p>
    <w:p>
      <w:pPr>
        <w:pStyle w:val="TextBody"/>
        <w:bidi w:val="0"/>
        <w:spacing w:lineRule="auto" w:line="288"/>
        <w:ind w:left="0" w:right="0" w:hanging="360"/>
        <w:jc w:val="left"/>
        <w:rPr/>
      </w:pPr>
      <w:r>
        <w:rPr>
          <w:rFonts w:ascii="Times New Roman;serif" w:hAnsi="Times New Roman;serif"/>
          <w:b w:val="false"/>
          <w:color w:val="000000"/>
          <w:sz w:val="16"/>
          <w:shd w:fill="FFFFFF" w:val="clear"/>
        </w:rPr>
        <w:t>3.Amounts include legal settlements</w:t>
      </w:r>
      <w:r>
        <w:rPr>
          <w:color w:val="000000"/>
        </w:rPr>
        <w:t xml:space="preserve"> </w:t>
      </w:r>
      <w:r>
        <w:rPr>
          <w:rFonts w:ascii="Times New Roman;serif" w:hAnsi="Times New Roman;serif"/>
          <w:b w:val="false"/>
          <w:color w:val="000000"/>
          <w:sz w:val="16"/>
        </w:rPr>
        <w:t>for the three and six months ended June 30, 2026.</w:t>
      </w:r>
    </w:p>
    <w:p>
      <w:pPr>
        <w:pStyle w:val="TextBody"/>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4378</Words>
  <Characters>24408</Characters>
  <CharactersWithSpaces>28256</CharactersWithSpaces>
  <Paragraphs>942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