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 2026</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Power Solutions International, Inc.</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001-35944</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33-0963637</w:t>
      </w:r>
    </w:p>
    <w:p>
      <w:pPr>
        <w:spacing w:after="0" w:line="31" w:lineRule="exact"/>
        <w:rPr>
          <w:sz w:val="24"/>
          <w:szCs w:val="24"/>
          <w:color w:val="auto"/>
        </w:rPr>
      </w:pPr>
    </w:p>
    <w:p>
      <w:pPr>
        <w:sectPr>
          <w:pgSz w:w="11900" w:h="16838" w:orient="portrait"/>
          <w:cols w:equalWidth="0" w:num="3">
            <w:col w:w="4500" w:space="720"/>
            <w:col w:w="2980" w:space="720"/>
            <w:col w:w="2320"/>
          </w:cols>
          <w:pgMar w:left="320" w:top="1245" w:right="339" w:bottom="1440" w:gutter="0" w:footer="0" w:header="0"/>
          <w:type w:val="continuous"/>
        </w:sect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2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56" w:lineRule="exact"/>
        <w:rPr>
          <w:sz w:val="24"/>
          <w:szCs w:val="24"/>
          <w:color w:val="auto"/>
        </w:rPr>
      </w:pPr>
    </w:p>
    <w:p>
      <w:pPr>
        <w:sectPr>
          <w:pgSz w:w="11900" w:h="16838" w:orient="portrait"/>
          <w:cols w:equalWidth="0" w:num="3">
            <w:col w:w="3960" w:space="720"/>
            <w:col w:w="3320" w:space="720"/>
            <w:col w:w="2520"/>
          </w:cols>
          <w:pgMar w:left="320" w:top="124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Mittel Drive Wood Dale, Illinois 60191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(630) 350-9400</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48"/>
        </w:trPr>
        <w:tc>
          <w:tcPr>
            <w:tcW w:w="4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52"/>
        </w:trPr>
        <w:tc>
          <w:tcPr>
            <w:tcW w:w="4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4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5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PSIX</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w:t>
            </w:r>
          </w:p>
        </w:tc>
      </w:tr>
    </w:tbl>
    <w:p>
      <w:pPr>
        <w:spacing w:after="0" w:line="211"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7.01 - Regulation FD Disclosure</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 2026, Power Solutions International, Inc. (the “Company”) issued a press release announcing fourth quarter and full year 2025 financial results and containing its outlook for 2026.</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under Item 2.02 in this Current Report on Form 8-K, including Exhibit 99.1, is being furnished and shall not be deemed to be “filed” for purposes of Section 18 of the Securities Exchange Act of 1934, as amended (the “Exchange Act”), or otherwise subject to the liabilities of that section, and will not be incorporated by reference into any registration statement or other document filed under the Securities Act of 1933, as amended, or the Exchange Act, except as expressly set forth by specific reference in such filing.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 Financial Statements and Exhibits.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2640" w:type="dxa"/>
            <w:vAlign w:val="bottom"/>
          </w:tcPr>
          <w:p>
            <w:pPr>
              <w:spacing w:after="0"/>
              <w:rPr>
                <w:sz w:val="17"/>
                <w:szCs w:val="17"/>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61"/>
        </w:trPr>
        <w:tc>
          <w:tcPr>
            <w:tcW w:w="8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880" w:type="dxa"/>
            <w:vAlign w:val="bottom"/>
          </w:tcPr>
          <w:p>
            <w:pPr>
              <w:spacing w:after="0"/>
              <w:rPr>
                <w:sz w:val="5"/>
                <w:szCs w:val="5"/>
                <w:color w:val="auto"/>
              </w:rPr>
            </w:pPr>
          </w:p>
        </w:tc>
        <w:tc>
          <w:tcPr>
            <w:tcW w:w="4420" w:type="dxa"/>
            <w:vAlign w:val="bottom"/>
          </w:tcPr>
          <w:p>
            <w:pPr>
              <w:spacing w:after="0"/>
              <w:rPr>
                <w:sz w:val="5"/>
                <w:szCs w:val="5"/>
                <w:color w:val="auto"/>
              </w:rPr>
            </w:pPr>
          </w:p>
        </w:tc>
      </w:tr>
      <w:tr>
        <w:trPr>
          <w:trHeight w:val="203"/>
        </w:trPr>
        <w:tc>
          <w:tcPr>
            <w:tcW w:w="920" w:type="dxa"/>
            <w:vAlign w:val="bottom"/>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540" w:type="dxa"/>
            <w:vAlign w:val="bottom"/>
            <w:shd w:val="clear" w:color="auto" w:fill="CCEEFF"/>
          </w:tcPr>
          <w:p>
            <w:pPr>
              <w:spacing w:after="0"/>
              <w:rPr>
                <w:sz w:val="17"/>
                <w:szCs w:val="17"/>
                <w:color w:val="auto"/>
              </w:rPr>
            </w:pPr>
          </w:p>
        </w:tc>
        <w:tc>
          <w:tcPr>
            <w:tcW w:w="978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of Power Solutions International, Inc., dated March 2, 2026.</w:t>
            </w:r>
          </w:p>
        </w:tc>
      </w:tr>
      <w:tr>
        <w:trPr>
          <w:trHeight w:val="61"/>
        </w:trPr>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640" w:type="dxa"/>
            <w:vAlign w:val="bottom"/>
            <w:tcBorders>
              <w:top w:val="single" w:sz="8" w:color="0000FF"/>
            </w:tcBorders>
            <w:shd w:val="clear" w:color="auto" w:fill="CCEEFF"/>
          </w:tcPr>
          <w:p>
            <w:pPr>
              <w:spacing w:after="0"/>
              <w:rPr>
                <w:sz w:val="5"/>
                <w:szCs w:val="5"/>
                <w:color w:val="auto"/>
              </w:rPr>
            </w:pPr>
          </w:p>
        </w:tc>
        <w:tc>
          <w:tcPr>
            <w:tcW w:w="840" w:type="dxa"/>
            <w:vAlign w:val="bottom"/>
            <w:tcBorders>
              <w:top w:val="single" w:sz="8" w:color="0000FF"/>
            </w:tcBorders>
            <w:shd w:val="clear" w:color="auto" w:fill="CCEEFF"/>
          </w:tcPr>
          <w:p>
            <w:pPr>
              <w:spacing w:after="0"/>
              <w:rPr>
                <w:sz w:val="5"/>
                <w:szCs w:val="5"/>
                <w:color w:val="auto"/>
              </w:rPr>
            </w:pPr>
          </w:p>
        </w:tc>
        <w:tc>
          <w:tcPr>
            <w:tcW w:w="1880" w:type="dxa"/>
            <w:vAlign w:val="bottom"/>
            <w:tcBorders>
              <w:top w:val="single" w:sz="8" w:color="0000FF"/>
            </w:tcBorders>
            <w:shd w:val="clear" w:color="auto" w:fill="CCEEFF"/>
          </w:tcPr>
          <w:p>
            <w:pPr>
              <w:spacing w:after="0"/>
              <w:rPr>
                <w:sz w:val="5"/>
                <w:szCs w:val="5"/>
                <w:color w:val="auto"/>
              </w:rPr>
            </w:pPr>
          </w:p>
        </w:tc>
        <w:tc>
          <w:tcPr>
            <w:tcW w:w="4420" w:type="dxa"/>
            <w:vAlign w:val="bottom"/>
            <w:tcBorders>
              <w:top w:val="single" w:sz="8" w:color="CCEEFF"/>
            </w:tcBorders>
            <w:shd w:val="clear" w:color="auto" w:fill="CCEEFF"/>
          </w:tcPr>
          <w:p>
            <w:pPr>
              <w:spacing w:after="0"/>
              <w:rPr>
                <w:sz w:val="5"/>
                <w:szCs w:val="5"/>
                <w:color w:val="auto"/>
              </w:rPr>
            </w:pPr>
          </w:p>
        </w:tc>
      </w:tr>
      <w:tr>
        <w:trPr>
          <w:trHeight w:val="243"/>
        </w:trPr>
        <w:tc>
          <w:tcPr>
            <w:tcW w:w="9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1"/>
                <w:szCs w:val="21"/>
                <w:color w:val="auto"/>
              </w:rPr>
            </w:pPr>
          </w:p>
        </w:tc>
        <w:tc>
          <w:tcPr>
            <w:tcW w:w="9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640"/>
        </w:trPr>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2nd day of March, 2026.</w:t>
      </w:r>
    </w:p>
    <w:p>
      <w:pPr>
        <w:spacing w:after="0" w:line="200" w:lineRule="exact"/>
        <w:rPr>
          <w:sz w:val="20"/>
          <w:szCs w:val="20"/>
          <w:color w:val="auto"/>
        </w:rPr>
      </w:pPr>
    </w:p>
    <w:p>
      <w:pPr>
        <w:spacing w:after="0" w:line="29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POWER SOLUTIONS INTERNATIONAL, INC.</w:t>
      </w:r>
    </w:p>
    <w:p>
      <w:pPr>
        <w:spacing w:after="0" w:line="328" w:lineRule="exact"/>
        <w:rPr>
          <w:sz w:val="20"/>
          <w:szCs w:val="20"/>
          <w:color w:val="auto"/>
        </w:rPr>
      </w:pPr>
    </w:p>
    <w:p>
      <w:pPr>
        <w:ind w:left="5820"/>
        <w:spacing w:after="0"/>
        <w:tabs>
          <w:tab w:leader="none" w:pos="6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43180</wp:posOffset>
            </wp:positionV>
            <wp:extent cx="2966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Xun Li</w:t>
      </w:r>
    </w:p>
    <w:p>
      <w:pPr>
        <w:spacing w:after="0" w:line="7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0"/>
          </w:cols>
          <w:pgMar w:left="320" w:top="1089"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440055</wp:posOffset>
            </wp:positionV>
            <wp:extent cx="3789045" cy="1586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8904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line="348" w:lineRule="auto"/>
        <w:rPr>
          <w:sz w:val="20"/>
          <w:szCs w:val="20"/>
          <w:color w:val="auto"/>
        </w:rPr>
      </w:pPr>
      <w:r>
        <w:rPr>
          <w:rFonts w:ascii="Times New Roman" w:cs="Times New Roman" w:eastAsia="Times New Roman" w:hAnsi="Times New Roman"/>
          <w:sz w:val="22"/>
          <w:szCs w:val="22"/>
          <w:b w:val="1"/>
          <w:bCs w:val="1"/>
          <w:color w:val="auto"/>
        </w:rPr>
        <w:t xml:space="preserve">Power Solutions International Announces Fourth Quarter and Record Full Year 2025 Financial Results </w:t>
      </w:r>
      <w:r>
        <w:rPr>
          <w:rFonts w:ascii="Times New Roman" w:cs="Times New Roman" w:eastAsia="Times New Roman" w:hAnsi="Times New Roman"/>
          <w:sz w:val="22"/>
          <w:szCs w:val="22"/>
          <w:b w:val="1"/>
          <w:bCs w:val="1"/>
          <w:i w:val="1"/>
          <w:iCs w:val="1"/>
          <w:color w:val="auto"/>
        </w:rPr>
        <w:t>Quarter Sales of $191.2 million, up 33% from a year earlier, Full Year Sales of $722.4 million, up 52% from a year earlier, Full Year Net Income of $114.0 million, up 65% from a year earlier, Diluted EPS $4.94 for the Full Year</w:t>
      </w:r>
    </w:p>
    <w:p>
      <w:pPr>
        <w:spacing w:after="0" w:line="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WOOD DALE, Ill., March 2, 2026 </w:t>
      </w:r>
      <w:r>
        <w:rPr>
          <w:rFonts w:ascii="Arial" w:cs="Arial" w:eastAsia="Arial" w:hAnsi="Arial"/>
          <w:sz w:val="19"/>
          <w:szCs w:val="19"/>
          <w:color w:val="auto"/>
        </w:rPr>
        <w:t>–</w:t>
      </w:r>
      <w:r>
        <w:rPr>
          <w:rFonts w:ascii="Times New Roman" w:cs="Times New Roman" w:eastAsia="Times New Roman" w:hAnsi="Times New Roman"/>
          <w:sz w:val="22"/>
          <w:szCs w:val="22"/>
          <w:color w:val="auto"/>
        </w:rPr>
        <w:t xml:space="preserve"> Power Solutions International, Inc. (the “Company” or “PSI”) (Nasdaq: PSIX), a leader in the design, engineering and manufacture of emission-certified engines and power systems, announced fourth quarter and record full year 2025 financial results.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Highlights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amounts)</w:t>
            </w:r>
          </w:p>
        </w:tc>
        <w:tc>
          <w:tcPr>
            <w:tcW w:w="4480" w:type="dxa"/>
            <w:vAlign w:val="bottom"/>
            <w:tcBorders>
              <w:bottom w:val="single" w:sz="8" w:color="auto"/>
            </w:tcBorders>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240" w:type="dxa"/>
            <w:vAlign w:val="bottom"/>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$191.2</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$144.3</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$(0.31)</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amounts)</w:t>
            </w:r>
          </w:p>
        </w:tc>
        <w:tc>
          <w:tcPr>
            <w:tcW w:w="448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40" w:type="dxa"/>
            <w:vAlign w:val="bottom"/>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$722.4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$476.0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$184.9</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$140.5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$103.4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$70.2</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47%</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$114.0</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$69.3</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$3.01</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2025 Results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PSI reported net sales of $191.2 million and net income of $16.1 million, or $0.70 per diluted share, for the three months ended December 31, 2025. This compares to net sales of $144.3 million and net income of $23.3 million, or $1.01 per diluted share, for the same period in 2024, representing an increase of 33% in net sales and a decrease of 31% in net income.</w:t>
      </w:r>
    </w:p>
    <w:p>
      <w:pPr>
        <w:spacing w:after="0" w:line="5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Dino Xykis, Chief Executive Officer, said, “In 2025, the Company delivered record sales and profitability, with annual sales increasing 52% and annual net income rising 65%. This performance reflects continued</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22"/>
          <w:szCs w:val="22"/>
          <w:color w:val="auto"/>
        </w:rPr>
        <w:t>demand for our power systems solutions, including demand within the data center market. During the quarter, operating efficiency was impacted by the ramp up of new manufacturing capacity and increased volumes across certain product lines. Management has identified the key drivers and is executing specific actions to improve supply chain performance and manufacturing cost structures. We are beginning to see measurable improvements, which we expect to build and support margin expansion over time.</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recently completed the acquisition of MTL Manufacturing &amp; Equipment, Inc. (“MTL”), a company that specializes in the welding and fabrication of steel components. This acquisition is expected to enhance PSI's competitive position in the data center market through vertical integration of MTL's specialized manufacturing capabilities. The integration is designed to provide improved supply chain control, reduced lead times, and access to MTL's established UL Solutions certifications.”</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Sales for the fourth quarter of 2025 were $191.2 million, an increase of $46.9 million, or 33%, compared to the fourth quarter of 2024, primarily as a result of sales increases of $46.8 million and $3.0 million in the power systems and industrial end markets, respectively, partly offset by decreases of $2.9 million in the transportation end market. This shift in market mix reflects our deliberate strategic focus on higher-growth sectors such as data centers and oil and gas. In particular, we are prioritizing the rapidly expanding data center sector by enhancing our manufacturing capacity and capabilities to meet evolving customer demand.</w:t>
      </w:r>
    </w:p>
    <w:p>
      <w:pPr>
        <w:spacing w:after="0" w:line="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Gross profit decreased by $1.4 million, or 3%, during the fourth quarter of 2025 as compared to the same period in the prior year. Gross margin in the fourth quarter of 2025 was 21.9%, a decrease of 8.0% compared to 29.9% in the same period last year. Gross margin was impacted by operating inefficiencies related to our accelerated production ramp-up for data center product lines.</w:t>
      </w:r>
    </w:p>
    <w:p>
      <w:pPr>
        <w:spacing w:after="0" w:line="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Selling, general and administrative expenses of $12.8 million increased during the fourth quarter of 2025 by $0.4 million, or 3%, compared to the same period in the prior year. The variance reflects higher costs associated with employee incentive programs and increased sales and administrative expenses to support ongoing business growth in 2025.</w:t>
      </w:r>
    </w:p>
    <w:p>
      <w:pPr>
        <w:spacing w:after="0" w:line="5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Interest expense was $1.6 million in the fourth quarter of 2025 as compared to $2.4 million in the same period in the prior year, largely due to reduced outstanding debt and lower overall effective interest rates.</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Income tax expense was $6.6 million in the fourth quarter of 2025, compared to an income tax benefit of $0.5 million in the same period of the prior year. For the full year, the Company recorded an income tax benefit of $10.6 million in 2025, compared to income tax expense of $0.9 million in 2024.</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2025 tax benefit was primarily driven by a $38.3 million release of the valuation allowance, which contributed $1.66 to earnings per share. Beginning in 2026, the Company expects to return to a normalized effective income tax rate.</w:t>
      </w:r>
    </w:p>
    <w:p>
      <w:pPr>
        <w:spacing w:after="0" w:line="5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Net income and diluted earnings per share were $16.1 million and $0.70, respectively, in the fourth quarter of 2025, compared to $23.3 million and $1.01, respectively, for the fourth quarter of 2024. The decrease in net income for the fourth quarter was primarily driven by a higher effective tax rate in the current period compared to a tax benefit recognized in the prior year period, partially offset by higher sales volumes.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Balance Sheet Update</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Company’s cash and cash equivalents were approximately $41.3 million, while total debt was approximately $96.6 million at December 31, 2025. This compares to cash and cash equivalents of approximately $55.3 million and total debt of approximately $120.2 million at December 31, 2024.</w:t>
      </w:r>
    </w:p>
    <w:p>
      <w:pPr>
        <w:sectPr>
          <w:pgSz w:w="11900" w:h="16838" w:orient="portrait"/>
          <w:cols w:equalWidth="0" w:num="1">
            <w:col w:w="11240"/>
          </w:cols>
          <w:pgMar w:left="320" w:top="1003" w:right="339" w:bottom="1440" w:gutter="0" w:footer="0" w:header="0"/>
        </w:sectPr>
      </w:pPr>
    </w:p>
    <w:bookmarkStart w:id="5" w:name="page6"/>
    <w:bookmarkEnd w:id="5"/>
    <w:p>
      <w:pPr>
        <w:jc w:val="both"/>
        <w:spacing w:after="0" w:line="271" w:lineRule="auto"/>
        <w:rPr>
          <w:sz w:val="20"/>
          <w:szCs w:val="20"/>
          <w:color w:val="auto"/>
        </w:rPr>
      </w:pPr>
      <w:r>
        <w:rPr>
          <w:rFonts w:ascii="Times New Roman" w:cs="Times New Roman" w:eastAsia="Times New Roman" w:hAnsi="Times New Roman"/>
          <w:sz w:val="22"/>
          <w:szCs w:val="22"/>
          <w:color w:val="auto"/>
        </w:rPr>
        <w:t>Included in the Company’s total debt at December 31, 2025 were long-term borrowings of $95.0 million under the Revolving Credit Agreement.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 for 2026</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Management remains confident in the Company’s long-term strategy and strong market positioning. We are making meaningful progress on our key operational initiatives and continue to strengthen our capabilities to support future growth. Management expects continued full year sales growth and moderate margin improvement from the products serving data center markets, offset by some headwinds from the oil and gas markets. As execution progresses and visibility improves, we look forward to providing more specific guidance.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Power Solutions International, Inc.</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Power Solutions International, Inc. (PSI) is a leader in the design, engineering and manufacture of a broad range of advanced, emission-certified engines and power systems. PSI provides integrated turnkey solutions to leading global original equipment manufacturers and end-user customers within the power systems, industrial and transportation end markets. The Company’s unique in-house design, prototyping, engineering and testing capabilities allow PSI to customize clean, high-performance engines using a fuel agnostic strategy to run on a wide variety of fuels, including natural gas, propane, gasoline, diesel and biofuels.</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PSI develops and delivers complete power systems that are used worldwide in stationary and mobile power generation applications supporting standby, prime, demand response, and microgrid solutions, as well as products and packages supporting the rapidly growing data center markets. PSI’s industrial end market provides engine and battery powertrain solutions to serve applications such as forklifts, agricultural and turf, arbor care, industrial sweepers, aerial lifts, irrigation pumps, ground support, and construction equipment. PSI’s transportation end market provides engine powertrain solutions to specialized applications such as terminal tractors, port equipment, military vehicles, and other non-road vocational vehicles. For more information on PSI, visit </w:t>
      </w:r>
      <w:r>
        <w:rPr>
          <w:rFonts w:ascii="Times New Roman" w:cs="Times New Roman" w:eastAsia="Times New Roman" w:hAnsi="Times New Roman"/>
          <w:sz w:val="22"/>
          <w:szCs w:val="22"/>
          <w:u w:val="single" w:color="auto"/>
          <w:color w:val="0000FF"/>
        </w:rPr>
        <w:t>www.psiengines.com</w:t>
      </w:r>
      <w:r>
        <w:rPr>
          <w:rFonts w:ascii="Times New Roman" w:cs="Times New Roman" w:eastAsia="Times New Roman" w:hAnsi="Times New Roman"/>
          <w:sz w:val="22"/>
          <w:szCs w:val="22"/>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press release contains forward-looking statements regarding the current expectations of the Company about its prospects and opportunities. These forward-looking statements are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Company cautions that the risks, uncertainties and other factors that could cause its actual results to differ materially from those expressed in, or implied by, the forward-looking statements include, without limitation: the impact of the macro-economic environment in both the U.S. and internationally on our business and expectations regarding growth of the industry; uncertainties arising from global events (including the Russia-Ukraine and Israel-Hamas conflicts), natural disasters or pandemics, and their impact on material prices; the Company’s ability to raise additional capital when needed and its liquidity; uncertainties around the Company’s ability to meet funding conditions under its financing arrangements</w:t>
      </w:r>
    </w:p>
    <w:p>
      <w:pPr>
        <w:sectPr>
          <w:pgSz w:w="11900" w:h="16838" w:orient="portrait"/>
          <w:cols w:equalWidth="0" w:num="1">
            <w:col w:w="11240"/>
          </w:cols>
          <w:pgMar w:left="320" w:top="1003" w:right="339" w:bottom="1440" w:gutter="0" w:footer="0" w:header="0"/>
        </w:sectPr>
      </w:pPr>
    </w:p>
    <w:bookmarkStart w:id="6" w:name="page7"/>
    <w:bookmarkEnd w:id="6"/>
    <w:p>
      <w:pPr>
        <w:jc w:val="both"/>
        <w:spacing w:after="0" w:line="248" w:lineRule="auto"/>
        <w:rPr>
          <w:sz w:val="20"/>
          <w:szCs w:val="20"/>
          <w:color w:val="auto"/>
        </w:rPr>
      </w:pPr>
      <w:r>
        <w:rPr>
          <w:rFonts w:ascii="Times New Roman" w:cs="Times New Roman" w:eastAsia="Times New Roman" w:hAnsi="Times New Roman"/>
          <w:sz w:val="22"/>
          <w:szCs w:val="22"/>
          <w:color w:val="auto"/>
        </w:rPr>
        <w:t>and access to capital thereunder; the potential acceleration of the maturity at any time of the loans under the Company’s uncommitted revolving credit agreement through the exercise by any lender of its demand right in its Revolving Credit Agreement;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and exports; the impact of supply chain interruptions and raw material shortages, including compliance disruptions such as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the impact of unanticipated changes in our effective tax rate, the adoption of new tax legislation or exposure to additional income tax liabilities; and the risks and uncertainties described in reports filed by the Company with the SEC, including without limitation its Annual Report on Form 10-K for the fiscal year ended December 31, 2025 and the Company’s subsequent filings with the SEC.</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Power Solutions International,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Kenneth Li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630-284-9719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kli@psiengines.com</w:t>
      </w:r>
    </w:p>
    <w:p>
      <w:pPr>
        <w:sectPr>
          <w:pgSz w:w="11900" w:h="16838" w:orient="portrait"/>
          <w:cols w:equalWidth="0" w:num="1">
            <w:col w:w="11240"/>
          </w:cols>
          <w:pgMar w:left="320" w:top="1003" w:right="339" w:bottom="1440" w:gutter="0" w:footer="0" w:header="0"/>
        </w:sectPr>
      </w:pPr>
    </w:p>
    <w:bookmarkStart w:id="7" w:name="page8"/>
    <w:bookmarkEnd w:id="7"/>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Results of operations for the three months and year ended December 31, 2025, compared with the three months and year ended December 31, 2024 </w:t>
      </w:r>
      <w:r>
        <w:rPr>
          <w:rFonts w:ascii="Times New Roman" w:cs="Times New Roman" w:eastAsia="Times New Roman" w:hAnsi="Times New Roman"/>
          <w:sz w:val="18"/>
          <w:szCs w:val="18"/>
          <w:b w:val="1"/>
          <w:bCs w:val="1"/>
          <w:color w:val="auto"/>
        </w:rPr>
        <w:t>(UNAUDITED):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140" w:type="dxa"/>
            <w:vAlign w:val="bottom"/>
          </w:tcPr>
          <w:p>
            <w:pPr>
              <w:spacing w:after="0"/>
              <w:rPr>
                <w:sz w:val="16"/>
                <w:szCs w:val="16"/>
                <w:color w:val="auto"/>
              </w:rPr>
            </w:pPr>
          </w:p>
        </w:tc>
        <w:tc>
          <w:tcPr>
            <w:tcW w:w="18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Year Ended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Change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Change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Change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157"/>
        </w:trPr>
        <w:tc>
          <w:tcPr>
            <w:tcW w:w="3600" w:type="dxa"/>
            <w:vAlign w:val="bottom"/>
            <w:tcBorders>
              <w:top w:val="single" w:sz="8" w:color="CCEEFF"/>
            </w:tcBorders>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(to related parties</w:t>
            </w:r>
          </w:p>
        </w:tc>
        <w:tc>
          <w:tcPr>
            <w:tcW w:w="1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87"/>
                <w:shd w:val="clear" w:color="auto" w:fill="CCEEFF"/>
              </w:rPr>
              <w:t>$3</w:t>
            </w:r>
          </w:p>
        </w:tc>
        <w:tc>
          <w:tcPr>
            <w:tcW w:w="320" w:type="dxa"/>
            <w:vAlign w:val="bottom"/>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rPr>
              <w:t>and</w:t>
            </w:r>
          </w:p>
        </w:tc>
        <w:tc>
          <w:tcPr>
            <w:tcW w:w="2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1"/>
                <w:shd w:val="clear" w:color="auto" w:fill="CCEEFF"/>
              </w:rPr>
              <w:t>$55</w:t>
            </w:r>
          </w:p>
        </w:tc>
        <w:tc>
          <w:tcPr>
            <w:tcW w:w="1680" w:type="dxa"/>
            <w:vAlign w:val="bottom"/>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rPr>
              <w:t>for the three months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4"/>
              </w:rPr>
              <w:t>31,</w:t>
            </w:r>
          </w:p>
        </w:tc>
        <w:tc>
          <w:tcPr>
            <w:tcW w:w="32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w w:val="81"/>
              </w:rPr>
              <w:t>2025</w:t>
            </w:r>
          </w:p>
        </w:tc>
        <w:tc>
          <w:tcPr>
            <w:tcW w:w="1920" w:type="dxa"/>
            <w:vAlign w:val="bottom"/>
            <w:gridSpan w:val="2"/>
            <w:shd w:val="clear" w:color="auto" w:fill="CCEEFF"/>
          </w:tcPr>
          <w:p>
            <w:pPr>
              <w:ind w:left="80"/>
              <w:spacing w:after="0" w:line="162" w:lineRule="exact"/>
              <w:rPr>
                <w:sz w:val="20"/>
                <w:szCs w:val="20"/>
                <w:color w:val="auto"/>
              </w:rPr>
            </w:pPr>
            <w:r>
              <w:rPr>
                <w:rFonts w:ascii="Times New Roman" w:cs="Times New Roman" w:eastAsia="Times New Roman" w:hAnsi="Times New Roman"/>
                <w:sz w:val="16"/>
                <w:szCs w:val="16"/>
                <w:color w:val="auto"/>
              </w:rPr>
              <w:t>and 2024, respectively,</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5"/>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$1,266 and $1,766 for the year ended December 31,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191,223</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144,299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46,924</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722,405</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475,967</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246,438</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and 2024, respectively)</w:t>
            </w: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0" w:type="dxa"/>
            <w:vAlign w:val="bottom"/>
            <w:gridSpan w:val="5"/>
          </w:tcPr>
          <w:p>
            <w:pPr>
              <w:ind w:left="220"/>
              <w:spacing w:after="0" w:line="162" w:lineRule="exact"/>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5"/>
          </w:tcPr>
          <w:p>
            <w:pPr>
              <w:ind w:left="220"/>
              <w:spacing w:after="0" w:line="162" w:lineRule="exact"/>
              <w:rPr>
                <w:sz w:val="20"/>
                <w:szCs w:val="20"/>
                <w:color w:val="auto"/>
              </w:rPr>
            </w:pPr>
            <w:r>
              <w:rPr>
                <w:rFonts w:ascii="Times New Roman" w:cs="Times New Roman" w:eastAsia="Times New Roman" w:hAnsi="Times New Roman"/>
                <w:sz w:val="16"/>
                <w:szCs w:val="16"/>
                <w:color w:val="auto"/>
              </w:rPr>
              <w:t>(derived from related party net sales $1 and $35</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5"/>
          </w:tcPr>
          <w:p>
            <w:pPr>
              <w:ind w:left="220"/>
              <w:spacing w:after="0" w:line="162" w:lineRule="exact"/>
              <w:rPr>
                <w:sz w:val="20"/>
                <w:szCs w:val="20"/>
                <w:color w:val="auto"/>
              </w:rPr>
            </w:pPr>
            <w:r>
              <w:rPr>
                <w:rFonts w:ascii="Times New Roman" w:cs="Times New Roman" w:eastAsia="Times New Roman" w:hAnsi="Times New Roman"/>
                <w:sz w:val="16"/>
                <w:szCs w:val="16"/>
                <w:color w:val="auto"/>
              </w:rPr>
              <w:t>for the three months ended December 31, 2025</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5"/>
          </w:tcPr>
          <w:p>
            <w:pPr>
              <w:ind w:left="220"/>
              <w:spacing w:after="0" w:line="162" w:lineRule="exact"/>
              <w:rPr>
                <w:sz w:val="20"/>
                <w:szCs w:val="20"/>
                <w:color w:val="auto"/>
              </w:rPr>
            </w:pPr>
            <w:r>
              <w:rPr>
                <w:rFonts w:ascii="Times New Roman" w:cs="Times New Roman" w:eastAsia="Times New Roman" w:hAnsi="Times New Roman"/>
                <w:sz w:val="16"/>
                <w:szCs w:val="16"/>
                <w:color w:val="auto"/>
              </w:rPr>
              <w:t>and 2024, respectively, and $863 and $1,304 for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5"/>
          </w:tcPr>
          <w:p>
            <w:pPr>
              <w:ind w:left="220"/>
              <w:spacing w:after="0" w:line="162" w:lineRule="exact"/>
              <w:rPr>
                <w:sz w:val="20"/>
                <w:szCs w:val="20"/>
                <w:color w:val="auto"/>
              </w:rPr>
            </w:pPr>
            <w:r>
              <w:rPr>
                <w:rFonts w:ascii="Times New Roman" w:cs="Times New Roman" w:eastAsia="Times New Roman" w:hAnsi="Times New Roman"/>
                <w:sz w:val="16"/>
                <w:szCs w:val="16"/>
                <w:color w:val="auto"/>
              </w:rPr>
              <w:t>the year ended December 31, 2025 and 2024,</w:t>
            </w:r>
          </w:p>
        </w:tc>
        <w:tc>
          <w:tcPr>
            <w:tcW w:w="14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149,412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101,130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48,282</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537,506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335,430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202,076</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(1,358)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184,899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140,537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44,362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4"/>
        </w:trPr>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 %</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29.9 %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29.5 %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18,164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(1,892)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65"/>
        </w:trPr>
        <w:tc>
          <w:tcPr>
            <w:tcW w:w="3600" w:type="dxa"/>
            <w:vAlign w:val="bottom"/>
            <w:gridSpan w:val="5"/>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i w:val="1"/>
                <w:iCs w:val="1"/>
                <w:color w:val="auto"/>
              </w:rPr>
              <w:t>Research and development expenses as a % of</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2.4 %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3.6 %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4.2 %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6"/>
                <w:szCs w:val="16"/>
                <w:i w:val="1"/>
                <w:iCs w:val="1"/>
                <w:color w:val="auto"/>
              </w:rPr>
              <w:t>sales</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389</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55,803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37,378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18,425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165"/>
        </w:trPr>
        <w:tc>
          <w:tcPr>
            <w:tcW w:w="3600" w:type="dxa"/>
            <w:vAlign w:val="bottom"/>
            <w:gridSpan w:val="5"/>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6.7 %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8.6 %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7.7 %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7.9 %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(0.2)%</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6"/>
                <w:szCs w:val="16"/>
                <w:i w:val="1"/>
                <w:iCs w:val="1"/>
                <w:color w:val="auto"/>
              </w:rPr>
              <w:t>as a % of sales</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gridSpan w:val="5"/>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1,218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1,459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36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17,570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17,982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75,185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58,893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16,292</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7"/>
        </w:trPr>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4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25,187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(946)</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109,714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81,644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28,070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9"/>
        </w:trPr>
        <w:tc>
          <w:tcPr>
            <w:tcW w:w="36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00" w:type="dxa"/>
            <w:vAlign w:val="bottom"/>
            <w:gridSpan w:val="5"/>
          </w:tcPr>
          <w:p>
            <w:pPr>
              <w:ind w:left="480"/>
              <w:spacing w:after="0" w:line="162" w:lineRule="exact"/>
              <w:rPr>
                <w:sz w:val="20"/>
                <w:szCs w:val="20"/>
                <w:color w:val="auto"/>
              </w:rPr>
            </w:pPr>
            <w:r>
              <w:rPr>
                <w:rFonts w:ascii="Times New Roman" w:cs="Times New Roman" w:eastAsia="Times New Roman" w:hAnsi="Times New Roman"/>
                <w:sz w:val="16"/>
                <w:szCs w:val="16"/>
                <w:color w:val="auto"/>
              </w:rPr>
              <w:t>Interest expense (from related parties $0 and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5"/>
          </w:tcPr>
          <w:p>
            <w:pPr>
              <w:ind w:left="480"/>
              <w:spacing w:after="0" w:line="162" w:lineRule="exact"/>
              <w:rPr>
                <w:sz w:val="20"/>
                <w:szCs w:val="20"/>
                <w:color w:val="auto"/>
              </w:rPr>
            </w:pPr>
            <w:r>
              <w:rPr>
                <w:rFonts w:ascii="Times New Roman" w:cs="Times New Roman" w:eastAsia="Times New Roman" w:hAnsi="Times New Roman"/>
                <w:sz w:val="16"/>
                <w:szCs w:val="16"/>
                <w:color w:val="auto"/>
              </w:rPr>
              <w:t>$1,971 for the three months ended December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5"/>
          </w:tcPr>
          <w:p>
            <w:pPr>
              <w:ind w:left="480"/>
              <w:spacing w:after="0" w:line="162" w:lineRule="exact"/>
              <w:rPr>
                <w:sz w:val="20"/>
                <w:szCs w:val="20"/>
                <w:color w:val="auto"/>
              </w:rPr>
            </w:pPr>
            <w:r>
              <w:rPr>
                <w:rFonts w:ascii="Times New Roman" w:cs="Times New Roman" w:eastAsia="Times New Roman" w:hAnsi="Times New Roman"/>
                <w:sz w:val="16"/>
                <w:szCs w:val="16"/>
                <w:color w:val="auto"/>
              </w:rPr>
              <w:t>31, 2025 and 2024, respectively, and $634 and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5"/>
          </w:tcPr>
          <w:p>
            <w:pPr>
              <w:ind w:left="480"/>
              <w:spacing w:after="0" w:line="162" w:lineRule="exact"/>
              <w:rPr>
                <w:sz w:val="20"/>
                <w:szCs w:val="20"/>
                <w:color w:val="auto"/>
              </w:rPr>
            </w:pPr>
            <w:r>
              <w:rPr>
                <w:rFonts w:ascii="Times New Roman" w:cs="Times New Roman" w:eastAsia="Times New Roman" w:hAnsi="Times New Roman"/>
                <w:sz w:val="16"/>
                <w:szCs w:val="16"/>
                <w:color w:val="auto"/>
              </w:rPr>
              <w:t>$6,998 for the year ended December 31, 2025</w:t>
            </w:r>
          </w:p>
        </w:tc>
        <w:tc>
          <w:tcPr>
            <w:tcW w:w="14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1,619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(732)</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6,702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11,443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(4,741)</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360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and 2024, respectively)</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expense (income)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22,679</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22,836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103,364</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70,201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33,163</w:t>
            </w:r>
          </w:p>
        </w:tc>
        <w:tc>
          <w:tcPr>
            <w:tcW w:w="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2"/>
        </w:trPr>
        <w:tc>
          <w:tcPr>
            <w:tcW w:w="36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6,602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7,053</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(10,623)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(11,545)</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83"/>
        </w:trPr>
        <w:tc>
          <w:tcPr>
            <w:tcW w:w="3600" w:type="dxa"/>
            <w:vAlign w:val="bottom"/>
            <w:gridSpan w:val="5"/>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16,077</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23,287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(7,210)</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113,987</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69,279</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44,708</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13"/>
        </w:trPr>
        <w:tc>
          <w:tcPr>
            <w:tcW w:w="36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111"/>
        </w:trPr>
        <w:tc>
          <w:tcPr>
            <w:tcW w:w="1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net income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(7,522)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114,849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64,675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50,174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230"/>
        </w:trPr>
        <w:tc>
          <w:tcPr>
            <w:tcW w:w="36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Adjusted income per share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(0.32)</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30"/>
        </w:trPr>
        <w:tc>
          <w:tcPr>
            <w:tcW w:w="36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115,454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86,843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28,611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34"/>
        </w:trPr>
        <w:tc>
          <w:tcPr>
            <w:tcW w:w="36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Adjusted EBITDA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25,813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26,902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(1,089)</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116,316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82,239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34,077</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2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See reconciliation of non-GAAP financial measures to GAAP results below</w:t>
      </w:r>
    </w:p>
    <w:p>
      <w:pPr>
        <w:sectPr>
          <w:pgSz w:w="11900" w:h="16838" w:orient="portrait"/>
          <w:cols w:equalWidth="0" w:num="1">
            <w:col w:w="11240"/>
          </w:cols>
          <w:pgMar w:left="320" w:top="887"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 except par values)</w:t>
            </w: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0" w:type="dxa"/>
            <w:vAlign w:val="bottom"/>
          </w:tcPr>
          <w:p>
            <w:pPr>
              <w:spacing w:after="0"/>
              <w:rPr>
                <w:sz w:val="1"/>
                <w:szCs w:val="1"/>
                <w:color w:val="auto"/>
              </w:rPr>
            </w:pPr>
          </w:p>
        </w:tc>
      </w:tr>
      <w:tr>
        <w:trPr>
          <w:trHeight w:val="199"/>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assets:</w:t>
            </w: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55,252</w:t>
            </w:r>
          </w:p>
        </w:tc>
        <w:tc>
          <w:tcPr>
            <w:tcW w:w="0" w:type="dxa"/>
            <w:vAlign w:val="bottom"/>
          </w:tcPr>
          <w:p>
            <w:pPr>
              <w:spacing w:after="0"/>
              <w:rPr>
                <w:sz w:val="1"/>
                <w:szCs w:val="1"/>
                <w:color w:val="auto"/>
              </w:rPr>
            </w:pPr>
          </w:p>
        </w:tc>
      </w:tr>
      <w:tr>
        <w:trPr>
          <w:trHeight w:val="213"/>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Restricted cash</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$967 and $1,889 as of December 31, 2025 and 2024,</w:t>
            </w:r>
          </w:p>
        </w:tc>
        <w:tc>
          <w:tcPr>
            <w:tcW w:w="6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90,446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68,958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 (from related parties $415 and $1,383 as of December 31, 2025 and 2024, respectively)</w:t>
            </w:r>
          </w:p>
        </w:tc>
        <w:tc>
          <w:tcPr>
            <w:tcW w:w="6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receivable</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 net</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127,363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93,872</w:t>
            </w:r>
          </w:p>
        </w:tc>
        <w:tc>
          <w:tcPr>
            <w:tcW w:w="0" w:type="dxa"/>
            <w:vAlign w:val="bottom"/>
          </w:tcPr>
          <w:p>
            <w:pPr>
              <w:spacing w:after="0"/>
              <w:rPr>
                <w:sz w:val="1"/>
                <w:szCs w:val="1"/>
                <w:color w:val="auto"/>
              </w:rPr>
            </w:pPr>
          </w:p>
        </w:tc>
      </w:tr>
      <w:tr>
        <w:trPr>
          <w:trHeight w:val="213"/>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assets</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21,462</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current assets</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6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290,920</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254,335</w:t>
            </w:r>
          </w:p>
        </w:tc>
        <w:tc>
          <w:tcPr>
            <w:tcW w:w="0" w:type="dxa"/>
            <w:vAlign w:val="bottom"/>
          </w:tcPr>
          <w:p>
            <w:pPr>
              <w:spacing w:after="0"/>
              <w:rPr>
                <w:sz w:val="1"/>
                <w:szCs w:val="1"/>
                <w:color w:val="auto"/>
              </w:rPr>
            </w:pPr>
          </w:p>
        </w:tc>
      </w:tr>
      <w:tr>
        <w:trPr>
          <w:trHeight w:val="207"/>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23,275</w:t>
            </w:r>
          </w:p>
        </w:tc>
        <w:tc>
          <w:tcPr>
            <w:tcW w:w="0" w:type="dxa"/>
            <w:vAlign w:val="bottom"/>
          </w:tcPr>
          <w:p>
            <w:pPr>
              <w:spacing w:after="0"/>
              <w:rPr>
                <w:sz w:val="1"/>
                <w:szCs w:val="1"/>
                <w:color w:val="auto"/>
              </w:rPr>
            </w:pPr>
          </w:p>
        </w:tc>
      </w:tr>
      <w:tr>
        <w:trPr>
          <w:trHeight w:val="21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 net</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0" w:type="dxa"/>
            <w:vAlign w:val="bottom"/>
          </w:tcPr>
          <w:p>
            <w:pPr>
              <w:spacing w:after="0"/>
              <w:rPr>
                <w:sz w:val="1"/>
                <w:szCs w:val="1"/>
                <w:color w:val="auto"/>
              </w:rPr>
            </w:pPr>
          </w:p>
        </w:tc>
      </w:tr>
      <w:tr>
        <w:trPr>
          <w:trHeight w:val="21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 assets</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Customs-related deposits</w:t>
            </w:r>
          </w:p>
        </w:tc>
        <w:tc>
          <w:tcPr>
            <w:tcW w:w="6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12,893</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424,745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328,182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liabilities:</w:t>
            </w: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Accounts payable (to related parties $4,126 and $14,427 as of December 31, 2025 and 2024,</w:t>
            </w:r>
          </w:p>
        </w:tc>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48,196</w:t>
            </w: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58,208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w:t>
            </w:r>
          </w:p>
        </w:tc>
        <w:tc>
          <w:tcPr>
            <w:tcW w:w="6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Revolving line of credit, current</w:t>
            </w:r>
          </w:p>
        </w:tc>
        <w:tc>
          <w:tcPr>
            <w:tcW w:w="6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0" w:type="dxa"/>
            <w:vAlign w:val="bottom"/>
          </w:tcPr>
          <w:p>
            <w:pPr>
              <w:spacing w:after="0"/>
              <w:rPr>
                <w:sz w:val="1"/>
                <w:szCs w:val="1"/>
                <w:color w:val="auto"/>
              </w:rPr>
            </w:pPr>
          </w:p>
        </w:tc>
      </w:tr>
      <w:tr>
        <w:trPr>
          <w:trHeight w:val="213"/>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Finance lease liability, current</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13"/>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short-term financing (to related parties $25,000 as of December 31, 2024)</w:t>
            </w:r>
          </w:p>
        </w:tc>
        <w:tc>
          <w:tcPr>
            <w:tcW w:w="6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Other accrued liabilities (to related parties $60 and $807 as of December 31, 2025 and 2024,</w:t>
            </w:r>
          </w:p>
        </w:tc>
        <w:tc>
          <w:tcPr>
            <w:tcW w:w="6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37,353</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w:t>
            </w:r>
          </w:p>
        </w:tc>
        <w:tc>
          <w:tcPr>
            <w:tcW w:w="6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92,278</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227,567</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1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2"/>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Revolving line of credit, long-term</w:t>
            </w:r>
          </w:p>
        </w:tc>
        <w:tc>
          <w:tcPr>
            <w:tcW w:w="6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Finance lease liability, long-term</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20,663</w:t>
            </w:r>
          </w:p>
        </w:tc>
        <w:tc>
          <w:tcPr>
            <w:tcW w:w="0" w:type="dxa"/>
            <w:vAlign w:val="bottom"/>
          </w:tcPr>
          <w:p>
            <w:pPr>
              <w:spacing w:after="0"/>
              <w:rPr>
                <w:sz w:val="1"/>
                <w:szCs w:val="1"/>
                <w:color w:val="auto"/>
              </w:rPr>
            </w:pPr>
          </w:p>
        </w:tc>
      </w:tr>
      <w:tr>
        <w:trPr>
          <w:trHeight w:val="21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Noncurrent contract liabilities</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11,203</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246,136</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262,932</w:t>
            </w:r>
          </w:p>
        </w:tc>
        <w:tc>
          <w:tcPr>
            <w:tcW w:w="0" w:type="dxa"/>
            <w:vAlign w:val="bottom"/>
          </w:tcPr>
          <w:p>
            <w:pPr>
              <w:spacing w:after="0"/>
              <w:rPr>
                <w:sz w:val="1"/>
                <w:szCs w:val="1"/>
                <w:color w:val="auto"/>
              </w:rPr>
            </w:pPr>
          </w:p>
        </w:tc>
      </w:tr>
      <w:tr>
        <w:trPr>
          <w:trHeight w:val="214"/>
        </w:trPr>
        <w:tc>
          <w:tcPr>
            <w:tcW w:w="7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6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400" w:type="dxa"/>
            <w:vAlign w:val="bottom"/>
            <w:shd w:val="clear" w:color="auto" w:fill="CCEEFF"/>
          </w:tcPr>
          <w:p>
            <w:pPr>
              <w:ind w:left="200"/>
              <w:spacing w:after="0" w:line="164" w:lineRule="exact"/>
              <w:rPr>
                <w:sz w:val="20"/>
                <w:szCs w:val="20"/>
                <w:color w:val="auto"/>
              </w:rPr>
            </w:pPr>
            <w:r>
              <w:rPr>
                <w:rFonts w:ascii="Times New Roman" w:cs="Times New Roman" w:eastAsia="Times New Roman" w:hAnsi="Times New Roman"/>
                <w:sz w:val="16"/>
                <w:szCs w:val="16"/>
                <w:color w:val="auto"/>
              </w:rPr>
              <w:t>Common stock – $0.001 par value; 50,000 shares authorized; 23,117 shares issued; 23,041 and 23,000</w:t>
            </w:r>
          </w:p>
        </w:tc>
        <w:tc>
          <w:tcPr>
            <w:tcW w:w="6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outstanding at December 31, 2025 and 2024, respectively</w:t>
            </w:r>
          </w:p>
        </w:tc>
        <w:tc>
          <w:tcPr>
            <w:tcW w:w="6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157,602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157,561</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(91,511)</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Treasury stock, at cost, 76 and 117 shares at December 31, 2025 and 2024, respectively</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6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178,609</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65,250</w:t>
            </w:r>
          </w:p>
        </w:tc>
        <w:tc>
          <w:tcPr>
            <w:tcW w:w="0" w:type="dxa"/>
            <w:vAlign w:val="bottom"/>
          </w:tcPr>
          <w:p>
            <w:pPr>
              <w:spacing w:after="0"/>
              <w:rPr>
                <w:sz w:val="1"/>
                <w:szCs w:val="1"/>
                <w:color w:val="auto"/>
              </w:rPr>
            </w:pPr>
          </w:p>
        </w:tc>
      </w:tr>
      <w:tr>
        <w:trPr>
          <w:trHeight w:val="212"/>
        </w:trPr>
        <w:tc>
          <w:tcPr>
            <w:tcW w:w="7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424,745</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328,182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941" w:right="3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316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240" w:type="dxa"/>
            <w:vAlign w:val="bottom"/>
          </w:tcPr>
          <w:p>
            <w:pPr>
              <w:spacing w:after="0"/>
              <w:rPr>
                <w:sz w:val="18"/>
                <w:szCs w:val="18"/>
                <w:color w:val="auto"/>
              </w:rPr>
            </w:pPr>
          </w:p>
        </w:tc>
        <w:tc>
          <w:tcPr>
            <w:tcW w:w="284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211"/>
        </w:trPr>
        <w:tc>
          <w:tcPr>
            <w:tcW w:w="49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113,987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69,279</w:t>
            </w:r>
          </w:p>
        </w:tc>
        <w:tc>
          <w:tcPr>
            <w:tcW w:w="0" w:type="dxa"/>
            <w:vAlign w:val="bottom"/>
          </w:tcPr>
          <w:p>
            <w:pPr>
              <w:spacing w:after="0"/>
              <w:rPr>
                <w:sz w:val="1"/>
                <w:szCs w:val="1"/>
                <w:color w:val="auto"/>
              </w:rPr>
            </w:pPr>
          </w:p>
        </w:tc>
      </w:tr>
      <w:tr>
        <w:trPr>
          <w:trHeight w:val="165"/>
        </w:trPr>
        <w:tc>
          <w:tcPr>
            <w:tcW w:w="49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Adjustments to reconcile net income to net cash (used in) provided by</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0" w:type="dxa"/>
            <w:vAlign w:val="bottom"/>
          </w:tcPr>
          <w:p>
            <w:pPr>
              <w:spacing w:after="0"/>
              <w:rPr>
                <w:sz w:val="1"/>
                <w:szCs w:val="1"/>
                <w:color w:val="auto"/>
              </w:rPr>
            </w:pPr>
          </w:p>
        </w:tc>
      </w:tr>
      <w:tr>
        <w:trPr>
          <w:trHeight w:val="213"/>
        </w:trPr>
        <w:tc>
          <w:tcPr>
            <w:tcW w:w="4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lease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4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financing fees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4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(Credit) for losses in accounts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(Decrease) increase in allowance for inventory obsolescence,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213"/>
        </w:trPr>
        <w:tc>
          <w:tcPr>
            <w:tcW w:w="4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adjustments,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(10,557)</w:t>
            </w:r>
          </w:p>
        </w:tc>
        <w:tc>
          <w:tcPr>
            <w:tcW w:w="0" w:type="dxa"/>
            <w:vAlign w:val="bottom"/>
          </w:tcPr>
          <w:p>
            <w:pPr>
              <w:spacing w:after="0"/>
              <w:rPr>
                <w:sz w:val="1"/>
                <w:szCs w:val="1"/>
                <w:color w:val="auto"/>
              </w:rPr>
            </w:pPr>
          </w:p>
        </w:tc>
      </w:tr>
      <w:tr>
        <w:trPr>
          <w:trHeight w:val="213"/>
        </w:trPr>
        <w:tc>
          <w:tcPr>
            <w:tcW w:w="4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Contract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r>
        <w:trPr>
          <w:trHeight w:val="213"/>
        </w:trPr>
        <w:tc>
          <w:tcPr>
            <w:tcW w:w="4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w:t>
            </w:r>
          </w:p>
        </w:tc>
        <w:tc>
          <w:tcPr>
            <w:tcW w:w="0" w:type="dxa"/>
            <w:vAlign w:val="bottom"/>
          </w:tcPr>
          <w:p>
            <w:pPr>
              <w:spacing w:after="0"/>
              <w:rPr>
                <w:sz w:val="1"/>
                <w:szCs w:val="1"/>
                <w:color w:val="auto"/>
              </w:rPr>
            </w:pPr>
          </w:p>
        </w:tc>
      </w:tr>
      <w:tr>
        <w:trPr>
          <w:trHeight w:val="213"/>
        </w:trPr>
        <w:tc>
          <w:tcPr>
            <w:tcW w:w="4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Income taxes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12,003</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62,390</w:t>
            </w:r>
          </w:p>
        </w:tc>
        <w:tc>
          <w:tcPr>
            <w:tcW w:w="0" w:type="dxa"/>
            <w:vAlign w:val="bottom"/>
          </w:tcPr>
          <w:p>
            <w:pPr>
              <w:spacing w:after="0"/>
              <w:rPr>
                <w:sz w:val="1"/>
                <w:szCs w:val="1"/>
                <w:color w:val="auto"/>
              </w:rPr>
            </w:pPr>
          </w:p>
        </w:tc>
      </w:tr>
      <w:tr>
        <w:trPr>
          <w:trHeight w:val="194"/>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0" w:type="dxa"/>
            <w:vAlign w:val="bottom"/>
          </w:tcPr>
          <w:p>
            <w:pPr>
              <w:spacing w:after="0"/>
              <w:rPr>
                <w:sz w:val="1"/>
                <w:szCs w:val="1"/>
                <w:color w:val="auto"/>
              </w:rPr>
            </w:pPr>
          </w:p>
        </w:tc>
      </w:tr>
      <w:tr>
        <w:trPr>
          <w:trHeight w:val="213"/>
        </w:trPr>
        <w:tc>
          <w:tcPr>
            <w:tcW w:w="4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0" w:type="dxa"/>
            <w:vAlign w:val="bottom"/>
          </w:tcPr>
          <w:p>
            <w:pPr>
              <w:spacing w:after="0"/>
              <w:rPr>
                <w:sz w:val="1"/>
                <w:szCs w:val="1"/>
                <w:color w:val="auto"/>
              </w:rPr>
            </w:pPr>
          </w:p>
        </w:tc>
      </w:tr>
      <w:tr>
        <w:trPr>
          <w:trHeight w:val="194"/>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 of long-term debt and lease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3"/>
        </w:trPr>
        <w:tc>
          <w:tcPr>
            <w:tcW w:w="4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short-term financings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 of short-term financings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(124,820)</w:t>
            </w:r>
          </w:p>
        </w:tc>
        <w:tc>
          <w:tcPr>
            <w:tcW w:w="0" w:type="dxa"/>
            <w:vAlign w:val="bottom"/>
          </w:tcPr>
          <w:p>
            <w:pPr>
              <w:spacing w:after="0"/>
              <w:rPr>
                <w:sz w:val="1"/>
                <w:szCs w:val="1"/>
                <w:color w:val="auto"/>
              </w:rPr>
            </w:pPr>
          </w:p>
        </w:tc>
      </w:tr>
      <w:tr>
        <w:trPr>
          <w:trHeight w:val="162"/>
        </w:trPr>
        <w:tc>
          <w:tcPr>
            <w:tcW w:w="494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Repurchases to settle tax withholding obligations for stock-based</w:t>
            </w: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3"/>
        </w:trPr>
        <w:tc>
          <w:tcPr>
            <w:tcW w:w="4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 awards</w:t>
            </w: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13"/>
        </w:trPr>
        <w:tc>
          <w:tcPr>
            <w:tcW w:w="4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(25,934)</w:t>
            </w: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year</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26,594</w:t>
            </w:r>
          </w:p>
        </w:tc>
        <w:tc>
          <w:tcPr>
            <w:tcW w:w="0" w:type="dxa"/>
            <w:vAlign w:val="bottom"/>
          </w:tcPr>
          <w:p>
            <w:pPr>
              <w:spacing w:after="0"/>
              <w:rPr>
                <w:sz w:val="1"/>
                <w:szCs w:val="1"/>
                <w:color w:val="auto"/>
              </w:rPr>
            </w:pPr>
          </w:p>
        </w:tc>
      </w:tr>
      <w:tr>
        <w:trPr>
          <w:trHeight w:val="212"/>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year</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44,948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58,491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58,491</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94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In addition to the results provided in accordance with accounting principles generally accepted in the United States (“U.S. GAAP”) above, this press release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measures reported by other companies. The non-GAAP financial measures should be considered in conjunction with the consolidated financial statements, including the related notes,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 </w:t>
      </w:r>
      <w:r>
        <w:rPr>
          <w:rFonts w:ascii="Times New Roman" w:cs="Times New Roman" w:eastAsia="Times New Roman" w:hAnsi="Times New Roman"/>
          <w:sz w:val="18"/>
          <w:szCs w:val="18"/>
          <w:color w:val="auto"/>
        </w:rPr>
        <w:t>included in the Company’s Form 10-K for the year ended December 31, 2025. Management does not use these non-GAAP financial measures for any purpose other than the reasons stated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w:t>
            </w:r>
          </w:p>
        </w:tc>
        <w:tc>
          <w:tcPr>
            <w:tcW w:w="70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b w:val="1"/>
                <w:bCs w:val="1"/>
                <w:color w:val="auto"/>
              </w:rPr>
              <w:t>Comparable GAAP Financial Measure</w:t>
            </w: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708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Net income</w:t>
            </w: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per share – diluted</w:t>
            </w:r>
          </w:p>
        </w:tc>
        <w:tc>
          <w:tcPr>
            <w:tcW w:w="708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Net income per share – diluted</w:t>
            </w: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708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Net income</w:t>
            </w: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08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Net income</w:t>
            </w:r>
          </w:p>
        </w:tc>
      </w:tr>
    </w:tbl>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 diluted is a measure of the Company’s diluted net earnings per share adjusted for the impact of special items. EBITDA provides the Company with an understanding of earnings before the impact of investing and financing charges and income taxes. Adjusted EBITDA further excludes the effects of other non-cash and certain other items that do not reflect the ordinary earnings of the Company’s operations.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an alternative measure of operating results or cash flow from operations as determined in accordance with U.S. GAAP.</w:t>
      </w:r>
    </w:p>
    <w:p>
      <w:pPr>
        <w:spacing w:after="0" w:line="21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The following table presents a reconciliation from Net income to Adjusted net income for the three months and year ended December 31, 2025 and 2024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33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320" w:type="dxa"/>
            <w:vAlign w:val="bottom"/>
          </w:tcPr>
          <w:p>
            <w:pPr>
              <w:spacing w:after="0"/>
              <w:rPr>
                <w:sz w:val="18"/>
                <w:szCs w:val="18"/>
                <w:color w:val="auto"/>
              </w:rPr>
            </w:pPr>
          </w:p>
        </w:tc>
        <w:tc>
          <w:tcPr>
            <w:tcW w:w="310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4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69,279</w:t>
            </w:r>
          </w:p>
        </w:tc>
      </w:tr>
      <w:tr>
        <w:trPr>
          <w:trHeight w:val="216"/>
        </w:trPr>
        <w:tc>
          <w:tcPr>
            <w:tcW w:w="42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6"/>
        </w:trPr>
        <w:tc>
          <w:tcPr>
            <w:tcW w:w="42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Severance </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legal matters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w:t>
            </w:r>
          </w:p>
        </w:tc>
      </w:tr>
      <w:tr>
        <w:trPr>
          <w:trHeight w:val="234"/>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64,675</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95" w:right="339" w:bottom="1440" w:gutter="0" w:footer="0" w:header="0"/>
        </w:sectPr>
      </w:pPr>
    </w:p>
    <w:bookmarkStart w:id="11" w:name="page12"/>
    <w:bookmarkEnd w:id="11"/>
    <w:p>
      <w:pPr>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table presents a reconciliation from Net income per share – diluted to Adjusted net income per share – diluted for the three months and year ended December 31, 2025 and 2024 (UNAUDITED):</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352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300" w:type="dxa"/>
            <w:vAlign w:val="bottom"/>
          </w:tcPr>
          <w:p>
            <w:pPr>
              <w:spacing w:after="0"/>
              <w:rPr>
                <w:sz w:val="18"/>
                <w:szCs w:val="18"/>
                <w:color w:val="auto"/>
              </w:rPr>
            </w:pPr>
          </w:p>
        </w:tc>
        <w:tc>
          <w:tcPr>
            <w:tcW w:w="310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4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6"/>
        </w:trPr>
        <w:tc>
          <w:tcPr>
            <w:tcW w:w="41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18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Severance </w:t>
            </w:r>
            <w:r>
              <w:rPr>
                <w:rFonts w:ascii="Times New Roman" w:cs="Times New Roman" w:eastAsia="Times New Roman" w:hAnsi="Times New Roman"/>
                <w:sz w:val="21"/>
                <w:szCs w:val="21"/>
                <w:color w:val="auto"/>
                <w:vertAlign w:val="superscript"/>
              </w:rPr>
              <w:t>2</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1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legal matters </w:t>
            </w:r>
            <w:r>
              <w:rPr>
                <w:rFonts w:ascii="Times New Roman" w:cs="Times New Roman" w:eastAsia="Times New Roman" w:hAnsi="Times New Roman"/>
                <w:sz w:val="21"/>
                <w:szCs w:val="21"/>
                <w:color w:val="auto"/>
                <w:vertAlign w:val="superscript"/>
              </w:rPr>
              <w:t>3</w:t>
            </w:r>
          </w:p>
        </w:tc>
        <w:tc>
          <w:tcPr>
            <w:tcW w:w="10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35"/>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per share – diluted</w:t>
            </w: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shares (in thousands)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23,018</w:t>
            </w:r>
          </w:p>
        </w:tc>
      </w:tr>
    </w:tbl>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table presents a reconciliation from Net income to EBITDA and Adjusted EBITDA for the three months and year ended December 31, 2025 and 2024 (UNAUDITED):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33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320" w:type="dxa"/>
            <w:vAlign w:val="bottom"/>
          </w:tcPr>
          <w:p>
            <w:pPr>
              <w:spacing w:after="0"/>
              <w:rPr>
                <w:sz w:val="18"/>
                <w:szCs w:val="18"/>
                <w:color w:val="auto"/>
              </w:rPr>
            </w:pPr>
          </w:p>
        </w:tc>
        <w:tc>
          <w:tcPr>
            <w:tcW w:w="308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4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69,279</w:t>
            </w:r>
          </w:p>
        </w:tc>
      </w:tr>
      <w:tr>
        <w:trPr>
          <w:trHeight w:val="213"/>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11,443</w:t>
            </w:r>
          </w:p>
        </w:tc>
      </w:tr>
      <w:tr>
        <w:trPr>
          <w:trHeight w:val="21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r>
      <w:tr>
        <w:trPr>
          <w:trHeight w:val="213"/>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3,740</w:t>
            </w:r>
          </w:p>
        </w:tc>
      </w:tr>
      <w:tr>
        <w:trPr>
          <w:trHeight w:val="21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115,454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86,843</w:t>
            </w:r>
          </w:p>
        </w:tc>
      </w:tr>
      <w:tr>
        <w:trPr>
          <w:trHeight w:val="219"/>
        </w:trPr>
        <w:tc>
          <w:tcPr>
            <w:tcW w:w="420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6"/>
        </w:trPr>
        <w:tc>
          <w:tcPr>
            <w:tcW w:w="42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Severance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legal matters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w:t>
            </w: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26,902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116,316</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82,239</w:t>
            </w: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300" w:hanging="968"/>
        <w:spacing w:after="0"/>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non-cash stock-based compensation expense for the year ended December 31, 2025 and 2024.</w:t>
      </w:r>
    </w:p>
    <w:p>
      <w:pPr>
        <w:spacing w:after="0" w:line="55" w:lineRule="exact"/>
        <w:rPr>
          <w:rFonts w:ascii="Times New Roman" w:cs="Times New Roman" w:eastAsia="Times New Roman" w:hAnsi="Times New Roman"/>
          <w:sz w:val="14"/>
          <w:szCs w:val="14"/>
          <w:color w:val="auto"/>
        </w:rPr>
      </w:pPr>
    </w:p>
    <w:p>
      <w:pPr>
        <w:ind w:left="1300" w:hanging="968"/>
        <w:spacing w:after="0"/>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severance expense for the year ended December 31, 2025 and 2024.</w:t>
      </w:r>
    </w:p>
    <w:p>
      <w:pPr>
        <w:spacing w:after="0" w:line="27" w:lineRule="exact"/>
        <w:rPr>
          <w:rFonts w:ascii="Times New Roman" w:cs="Times New Roman" w:eastAsia="Times New Roman" w:hAnsi="Times New Roman"/>
          <w:sz w:val="14"/>
          <w:szCs w:val="14"/>
          <w:color w:val="auto"/>
        </w:rPr>
      </w:pPr>
    </w:p>
    <w:p>
      <w:pPr>
        <w:ind w:left="1300" w:hanging="968"/>
        <w:spacing w:after="0"/>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legal settlements for the year ended December 31, 2025 and 2024.</w:t>
      </w:r>
    </w:p>
    <w:sectPr>
      <w:pgSz w:w="11900" w:h="16838" w:orient="portrait"/>
      <w:cols w:equalWidth="0" w:num="1">
        <w:col w:w="11220"/>
      </w:cols>
      <w:pgMar w:left="320" w:top="9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2026-03-02T15:27:09Z</dcterms:created>
  <dcterms:modified xsi:type="dcterms:W3CDTF">2026-03-02T15:27:09Z</dcterms:modified>
</cp:coreProperties>
</file>