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20" w:after="120"/>
        <w:jc w:val="both"/>
        <w:rPr/>
      </w:pPr>
      <w:r>
        <w:rPr/>
      </w:r>
    </w:p>
    <w:p>
      <w:pPr>
        <w:pStyle w:val="TextBody"/>
        <w:bidi w:val="0"/>
        <w:spacing w:before="120" w:after="120"/>
        <w:jc w:val="both"/>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UNITED STATES</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SECURITIES AND EXCHANGE COMMISSION</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Washington, D.C. 20549</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drawing>
          <wp:inline distT="0" distB="0" distL="0" distR="0">
            <wp:extent cx="1485900" cy="3143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485900" cy="314325"/>
                    </a:xfrm>
                    <a:prstGeom prst="rect">
                      <a:avLst/>
                    </a:prstGeom>
                  </pic:spPr>
                </pic:pic>
              </a:graphicData>
            </a:graphic>
          </wp:inline>
        </w:drawing>
      </w:r>
      <w:bookmarkStart w:id="0" w:name="i-1"/>
      <w:bookmarkEnd w:id="0"/>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FORM 10-Q</w:t>
      </w:r>
    </w:p>
    <w:tbl>
      <w:tblPr>
        <w:tblW w:w="9761" w:type="dxa"/>
        <w:jc w:val="left"/>
        <w:tblInd w:w="0" w:type="dxa"/>
        <w:tblLayout w:type="fixed"/>
        <w:tblCellMar>
          <w:top w:w="28" w:type="dxa"/>
          <w:left w:w="28" w:type="dxa"/>
          <w:bottom w:w="28" w:type="dxa"/>
          <w:right w:w="28" w:type="dxa"/>
        </w:tblCellMar>
      </w:tblPr>
      <w:tblGrid>
        <w:gridCol w:w="124"/>
        <w:gridCol w:w="109"/>
        <w:gridCol w:w="109"/>
        <w:gridCol w:w="2759"/>
        <w:gridCol w:w="2759"/>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QUARTERLY REPORT PURSUANT TO SECTION 13 OR 15(d) OF THE SECURITIES EXCHANGE ACT OF 1934</w:t>
            </w:r>
          </w:p>
        </w:tc>
      </w:tr>
    </w:tbl>
    <w:p>
      <w:pPr>
        <w:pStyle w:val="TextBody"/>
        <w:bidi w:val="0"/>
        <w:spacing w:lineRule="auto" w:line="288" w:before="0" w:after="0"/>
        <w:ind w:left="0" w:right="0" w:firstLine="450"/>
        <w:jc w:val="left"/>
        <w:rPr/>
      </w:pPr>
      <w:r>
        <w:rPr>
          <w:rFonts w:ascii="Times New Roman;serif" w:hAnsi="Times New Roman;serif"/>
          <w:b w:val="false"/>
          <w:color w:val="000000"/>
          <w:sz w:val="20"/>
        </w:rPr>
        <w:t>For the quarterly period ended March 31, 2026</w:t>
      </w:r>
      <w:r>
        <w:rPr>
          <w:color w:val="000000"/>
        </w:rPr>
        <w:t>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or</w:t>
      </w:r>
    </w:p>
    <w:tbl>
      <w:tblPr>
        <w:tblW w:w="9761" w:type="dxa"/>
        <w:jc w:val="left"/>
        <w:tblInd w:w="0" w:type="dxa"/>
        <w:tblLayout w:type="fixed"/>
        <w:tblCellMar>
          <w:top w:w="28" w:type="dxa"/>
          <w:left w:w="28" w:type="dxa"/>
          <w:bottom w:w="28" w:type="dxa"/>
          <w:right w:w="28" w:type="dxa"/>
        </w:tblCellMar>
      </w:tblPr>
      <w:tblGrid>
        <w:gridCol w:w="124"/>
        <w:gridCol w:w="109"/>
        <w:gridCol w:w="109"/>
        <w:gridCol w:w="2759"/>
        <w:gridCol w:w="2759"/>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TRANSITION REPORT PURSUANT TO SECTION 13 OR 15(d) OF THE SECURITIES EXCHANGE ACT OF 1934</w:t>
            </w:r>
          </w:p>
        </w:tc>
      </w:tr>
    </w:tbl>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For the transition period from ________to________</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Commission file number 001-35944</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Times New Roman;serif" w:hAnsi="Times New Roman;serif"/>
          <w:b/>
          <w:color w:val="000000"/>
          <w:sz w:val="20"/>
        </w:rPr>
      </w:pPr>
      <w:r>
        <w:rPr>
          <w:rFonts w:ascii="Times New Roman;serif" w:hAnsi="Times New Roman;serif"/>
          <w:b/>
          <w:color w:val="000000"/>
          <w:sz w:val="20"/>
        </w:rPr>
        <w:t>POWER SOLUTIONS INTERNATIONAL,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9688" w:type="dxa"/>
        <w:jc w:val="center"/>
        <w:tblInd w:w="0" w:type="dxa"/>
        <w:tblLayout w:type="fixed"/>
        <w:tblCellMar>
          <w:top w:w="28" w:type="dxa"/>
          <w:left w:w="28" w:type="dxa"/>
          <w:bottom w:w="28" w:type="dxa"/>
          <w:right w:w="28" w:type="dxa"/>
        </w:tblCellMar>
      </w:tblPr>
      <w:tblGrid>
        <w:gridCol w:w="1607"/>
        <w:gridCol w:w="1418"/>
        <w:gridCol w:w="1430"/>
        <w:gridCol w:w="519"/>
        <w:gridCol w:w="519"/>
        <w:gridCol w:w="521"/>
        <w:gridCol w:w="1070"/>
        <w:gridCol w:w="1070"/>
        <w:gridCol w:w="1534"/>
      </w:tblGrid>
      <w:tr>
        <w:trPr/>
        <w:tc>
          <w:tcPr>
            <w:tcW w:w="1607" w:type="dxa"/>
            <w:tcBorders/>
            <w:vAlign w:val="center"/>
          </w:tcPr>
          <w:p>
            <w:pPr>
              <w:pStyle w:val="TableContents"/>
              <w:bidi w:val="0"/>
              <w:spacing w:before="0" w:after="283"/>
              <w:jc w:val="left"/>
              <w:rPr>
                <w:sz w:val="4"/>
                <w:szCs w:val="4"/>
              </w:rPr>
            </w:pPr>
            <w:r>
              <w:rPr>
                <w:sz w:val="4"/>
                <w:szCs w:val="4"/>
              </w:rPr>
            </w:r>
          </w:p>
        </w:tc>
        <w:tc>
          <w:tcPr>
            <w:tcW w:w="1418"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534" w:type="dxa"/>
            <w:tcBorders/>
            <w:vAlign w:val="center"/>
          </w:tcPr>
          <w:p>
            <w:pPr>
              <w:pStyle w:val="TableContents"/>
              <w:bidi w:val="0"/>
              <w:spacing w:before="0" w:after="283"/>
              <w:jc w:val="left"/>
              <w:rPr>
                <w:sz w:val="4"/>
                <w:szCs w:val="4"/>
              </w:rPr>
            </w:pPr>
            <w:r>
              <w:rPr>
                <w:sz w:val="4"/>
                <w:szCs w:val="4"/>
              </w:rPr>
            </w:r>
          </w:p>
        </w:tc>
      </w:tr>
      <w:tr>
        <w:trPr/>
        <w:tc>
          <w:tcPr>
            <w:tcW w:w="4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Delaware</w:t>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33-0963637</w:t>
            </w:r>
          </w:p>
        </w:tc>
      </w:tr>
      <w:tr>
        <w:trPr/>
        <w:tc>
          <w:tcPr>
            <w:tcW w:w="445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(State or Other Jurisdiction of Incorporation or Organization)</w:t>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(I.R.S. Employer Identification No.)</w:t>
            </w:r>
          </w:p>
        </w:tc>
      </w:tr>
      <w:tr>
        <w:trPr/>
        <w:tc>
          <w:tcPr>
            <w:tcW w:w="445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201 Mittel Drive, Wood Dale, IL</w:t>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60191</w:t>
            </w:r>
          </w:p>
        </w:tc>
      </w:tr>
      <w:tr>
        <w:trPr/>
        <w:tc>
          <w:tcPr>
            <w:tcW w:w="4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(Address of Principal Executive Offices)</w:t>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(Zip Code)</w:t>
            </w:r>
          </w:p>
        </w:tc>
      </w:tr>
      <w:tr>
        <w:trPr/>
        <w:tc>
          <w:tcPr>
            <w:tcW w:w="9688"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(630) 350-9400</w:t>
            </w:r>
          </w:p>
        </w:tc>
      </w:tr>
      <w:tr>
        <w:trPr/>
        <w:tc>
          <w:tcPr>
            <w:tcW w:w="96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(Registrant’s Telephone Number, Including Area Code)</w:t>
            </w:r>
          </w:p>
        </w:tc>
      </w:tr>
      <w:tr>
        <w:trPr/>
        <w:tc>
          <w:tcPr>
            <w:tcW w:w="96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Securities Registered Pursuant to Section 12(b) of the Act:</w:t>
            </w:r>
          </w:p>
        </w:tc>
      </w:tr>
      <w:tr>
        <w:trPr/>
        <w:tc>
          <w:tcPr>
            <w:tcW w:w="4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Title of Each Class</w:t>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Trading Symbol(s)</w:t>
            </w:r>
          </w:p>
        </w:tc>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Name of Each Exchange on Which Registered</w:t>
            </w:r>
          </w:p>
        </w:tc>
      </w:tr>
      <w:tr>
        <w:trPr/>
        <w:tc>
          <w:tcPr>
            <w:tcW w:w="4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Common Stock, par value $0.001 per share</w:t>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PSIX</w:t>
            </w:r>
          </w:p>
        </w:tc>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Nasdaq Stock Market</w:t>
            </w:r>
          </w:p>
        </w:tc>
      </w:tr>
      <w:tr>
        <w:trPr/>
        <w:tc>
          <w:tcPr>
            <w:tcW w:w="96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Securities Registered Pursuant to Section 12(g) of the Act:</w:t>
            </w:r>
          </w:p>
        </w:tc>
      </w:tr>
      <w:tr>
        <w:trPr/>
        <w:tc>
          <w:tcPr>
            <w:tcW w:w="96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__________________</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firstLine="450"/>
        <w:jc w:val="left"/>
        <w:rPr/>
      </w:pPr>
      <w:r>
        <w:rPr>
          <w:rFonts w:ascii="Times New Roman;serif" w:hAnsi="Times New Roman;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erif" w:hAnsi="Times New Roman;serif"/>
          <w:b w:val="false"/>
          <w:color w:val="000000"/>
          <w:sz w:val="20"/>
        </w:rPr>
        <w:t xml:space="preserve">No   </w:t>
      </w:r>
      <w:r>
        <w:rPr>
          <w:color w:val="000000"/>
        </w:rPr>
        <w:t>☐</w:t>
      </w:r>
    </w:p>
    <w:p>
      <w:pPr>
        <w:pStyle w:val="TextBody"/>
        <w:bidi w:val="0"/>
        <w:spacing w:lineRule="auto" w:line="288" w:before="0" w:after="60"/>
        <w:ind w:left="0" w:right="0" w:firstLine="450"/>
        <w:jc w:val="left"/>
        <w:rPr/>
      </w:pPr>
      <w:r>
        <w:rPr>
          <w:rFonts w:ascii="Times New Roman;serif" w:hAnsi="Times New Roman;serif"/>
          <w:b w:val="false"/>
          <w:color w:val="000000"/>
          <w:sz w:val="20"/>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color w:val="000000"/>
        </w:rPr>
        <w:t>☒     </w:t>
      </w:r>
      <w:r>
        <w:rPr>
          <w:rFonts w:ascii="Times New Roman;serif" w:hAnsi="Times New Roman;serif"/>
          <w:b w:val="false"/>
          <w:color w:val="000000"/>
          <w:sz w:val="20"/>
        </w:rPr>
        <w:t xml:space="preserve">No   </w:t>
      </w:r>
      <w:r>
        <w:rPr>
          <w:color w:val="000000"/>
        </w:rPr>
        <w:t>☐</w:t>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tbl>
      <w:tblPr>
        <w:tblW w:w="5710" w:type="dxa"/>
        <w:jc w:val="left"/>
        <w:tblInd w:w="0" w:type="dxa"/>
        <w:tblLayout w:type="fixed"/>
        <w:tblCellMar>
          <w:top w:w="28" w:type="dxa"/>
          <w:left w:w="28" w:type="dxa"/>
          <w:bottom w:w="28" w:type="dxa"/>
          <w:right w:w="28" w:type="dxa"/>
        </w:tblCellMar>
      </w:tblPr>
      <w:tblGrid>
        <w:gridCol w:w="124"/>
        <w:gridCol w:w="109"/>
        <w:gridCol w:w="109"/>
        <w:gridCol w:w="549"/>
        <w:gridCol w:w="549"/>
        <w:gridCol w:w="551"/>
        <w:gridCol w:w="109"/>
        <w:gridCol w:w="109"/>
        <w:gridCol w:w="109"/>
        <w:gridCol w:w="109"/>
        <w:gridCol w:w="109"/>
        <w:gridCol w:w="109"/>
        <w:gridCol w:w="109"/>
        <w:gridCol w:w="109"/>
        <w:gridCol w:w="109"/>
        <w:gridCol w:w="678"/>
        <w:gridCol w:w="678"/>
        <w:gridCol w:w="683"/>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Smaller reporting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Emerging growth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w:t>
            </w:r>
          </w:p>
        </w:tc>
      </w:tr>
    </w:tbl>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60" w:after="6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shell company (as defined in Rule 12b-2 of the Exchange Act).  Yes ☐   No ☒</w:t>
      </w:r>
    </w:p>
    <w:p>
      <w:pPr>
        <w:pStyle w:val="TextBody"/>
        <w:bidi w:val="0"/>
        <w:spacing w:lineRule="auto" w:line="288" w:before="0" w:after="0"/>
        <w:ind w:left="0" w:right="0" w:firstLine="45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As of May 4, 2026, there were 23,050,450 outstanding shares of the Common Stock of the registrant.</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222885"/>
                <wp:effectExtent l="0" t="0" r="0" b="0"/>
                <wp:wrapNone/>
                <wp:docPr id="2" name="Frame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120" w:after="120"/>
        <w:jc w:val="both"/>
        <w:rPr/>
      </w:pPr>
      <w:r>
        <w:rPr/>
      </w:r>
    </w:p>
    <w:p>
      <w:pPr>
        <w:pStyle w:val="TextBody"/>
        <w:bidi w:val="0"/>
        <w:spacing w:before="120" w:after="120"/>
        <w:jc w:val="both"/>
        <w:rPr/>
      </w:pPr>
      <w:r>
        <w:rPr/>
      </w:r>
    </w:p>
    <w:p>
      <w:pPr>
        <w:pStyle w:val="TextBody"/>
        <w:bidi w:val="0"/>
        <w:spacing w:lineRule="auto" w:line="288" w:before="120" w:after="240"/>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8822" w:type="dxa"/>
        <w:jc w:val="center"/>
        <w:tblInd w:w="0" w:type="dxa"/>
        <w:tblLayout w:type="fixed"/>
        <w:tblCellMar>
          <w:top w:w="28" w:type="dxa"/>
          <w:left w:w="28" w:type="dxa"/>
          <w:bottom w:w="28" w:type="dxa"/>
          <w:right w:w="28" w:type="dxa"/>
        </w:tblCellMar>
      </w:tblPr>
      <w:tblGrid>
        <w:gridCol w:w="342"/>
        <w:gridCol w:w="302"/>
        <w:gridCol w:w="302"/>
        <w:gridCol w:w="2163"/>
        <w:gridCol w:w="2163"/>
        <w:gridCol w:w="2168"/>
        <w:gridCol w:w="402"/>
        <w:gridCol w:w="402"/>
        <w:gridCol w:w="578"/>
      </w:tblGrid>
      <w:tr>
        <w:trPr/>
        <w:tc>
          <w:tcPr>
            <w:tcW w:w="34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2163" w:type="dxa"/>
            <w:tcBorders/>
            <w:vAlign w:val="center"/>
          </w:tcPr>
          <w:p>
            <w:pPr>
              <w:pStyle w:val="TableContents"/>
              <w:bidi w:val="0"/>
              <w:spacing w:before="0" w:after="283"/>
              <w:jc w:val="left"/>
              <w:rPr>
                <w:sz w:val="4"/>
                <w:szCs w:val="4"/>
              </w:rPr>
            </w:pPr>
            <w:r>
              <w:rPr>
                <w:sz w:val="4"/>
                <w:szCs w:val="4"/>
              </w:rPr>
            </w:r>
          </w:p>
        </w:tc>
        <w:tc>
          <w:tcPr>
            <w:tcW w:w="2163" w:type="dxa"/>
            <w:tcBorders/>
            <w:vAlign w:val="center"/>
          </w:tcPr>
          <w:p>
            <w:pPr>
              <w:pStyle w:val="TableContents"/>
              <w:bidi w:val="0"/>
              <w:spacing w:before="0" w:after="283"/>
              <w:jc w:val="left"/>
              <w:rPr>
                <w:sz w:val="4"/>
                <w:szCs w:val="4"/>
              </w:rPr>
            </w:pPr>
            <w:r>
              <w:rPr>
                <w:sz w:val="4"/>
                <w:szCs w:val="4"/>
              </w:rPr>
            </w:r>
          </w:p>
        </w:tc>
        <w:tc>
          <w:tcPr>
            <w:tcW w:w="2168"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Page</w:t>
            </w:r>
          </w:p>
        </w:tc>
      </w:tr>
      <w:tr>
        <w:trPr/>
        <w:tc>
          <w:tcPr>
            <w:tcW w:w="88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PART I – FINANCIAL INFORMATION</w:t>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Forward-Looking Statements</w:t>
            </w:r>
          </w:p>
        </w:tc>
        <w:tc>
          <w:tcPr>
            <w:tcW w:w="138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72351b5f4bb419d960b281d78564b3a_10">
              <w:r>
                <w:rPr>
                  <w:rStyle w:val="InternetLink"/>
                  <w:rFonts w:ascii="Times New Roman;serif" w:hAnsi="Times New Roman;serif"/>
                  <w:b w:val="false"/>
                  <w:color w:val="0000FF"/>
                  <w:sz w:val="18"/>
                  <w:u w:val="single"/>
                </w:rPr>
                <w:t>3</w:t>
              </w:r>
            </w:hyperlink>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Item 1.</w:t>
            </w:r>
          </w:p>
        </w:tc>
        <w:tc>
          <w:tcPr>
            <w:tcW w:w="64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Financial Statements</w:t>
            </w:r>
          </w:p>
        </w:tc>
        <w:tc>
          <w:tcPr>
            <w:tcW w:w="138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72351b5f4bb419d960b281d78564b3a_16">
              <w:r>
                <w:rPr>
                  <w:rStyle w:val="InternetLink"/>
                  <w:rFonts w:ascii="Times New Roman;serif" w:hAnsi="Times New Roman;serif"/>
                  <w:b w:val="false"/>
                  <w:color w:val="0000FF"/>
                  <w:sz w:val="18"/>
                  <w:u w:val="single"/>
                </w:rPr>
                <w:t>4</w:t>
              </w:r>
            </w:hyperlink>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Consolidated Balance Sheets </w:t>
            </w:r>
          </w:p>
        </w:tc>
        <w:tc>
          <w:tcPr>
            <w:tcW w:w="138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72351b5f4bb419d960b281d78564b3a_19">
              <w:r>
                <w:rPr>
                  <w:rStyle w:val="InternetLink"/>
                  <w:rFonts w:ascii="Times New Roman;serif" w:hAnsi="Times New Roman;serif"/>
                  <w:b w:val="false"/>
                  <w:color w:val="0000FF"/>
                  <w:sz w:val="18"/>
                  <w:u w:val="single"/>
                </w:rPr>
                <w:t>4</w:t>
              </w:r>
            </w:hyperlink>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Consolidated Statements of Income</w:t>
            </w:r>
          </w:p>
        </w:tc>
        <w:tc>
          <w:tcPr>
            <w:tcW w:w="138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72351b5f4bb419d960b281d78564b3a_22">
              <w:r>
                <w:rPr>
                  <w:rStyle w:val="InternetLink"/>
                  <w:rFonts w:ascii="Times New Roman;serif" w:hAnsi="Times New Roman;serif"/>
                  <w:b w:val="false"/>
                  <w:color w:val="0000FF"/>
                  <w:sz w:val="18"/>
                  <w:u w:val="single"/>
                </w:rPr>
                <w:t>5</w:t>
              </w:r>
            </w:hyperlink>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Consolidated Statements of Stockholders’ Equity </w:t>
            </w:r>
          </w:p>
        </w:tc>
        <w:tc>
          <w:tcPr>
            <w:tcW w:w="138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172351b5f4bb419d960b281d78564b3a_28">
              <w:r>
                <w:rPr>
                  <w:rStyle w:val="InternetLink"/>
                  <w:rFonts w:ascii="Times New Roman;serif" w:hAnsi="Times New Roman;serif"/>
                  <w:b w:val="false"/>
                  <w:color w:val="0000FF"/>
                  <w:sz w:val="18"/>
                  <w:u w:val="single"/>
                </w:rPr>
                <w:t>6</w:t>
              </w:r>
            </w:hyperlink>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Consolidated Statements of Cash Flows</w:t>
            </w:r>
          </w:p>
        </w:tc>
        <w:tc>
          <w:tcPr>
            <w:tcW w:w="138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72351b5f4bb419d960b281d78564b3a_34">
              <w:r>
                <w:rPr>
                  <w:rStyle w:val="InternetLink"/>
                  <w:rFonts w:ascii="Times New Roman;serif" w:hAnsi="Times New Roman;serif"/>
                  <w:b w:val="false"/>
                  <w:color w:val="0000FF"/>
                  <w:sz w:val="18"/>
                  <w:u w:val="single"/>
                </w:rPr>
                <w:t>7</w:t>
              </w:r>
            </w:hyperlink>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Notes to Consolidated Financial Statements</w:t>
            </w:r>
          </w:p>
        </w:tc>
        <w:tc>
          <w:tcPr>
            <w:tcW w:w="138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72351b5f4bb419d960b281d78564b3a_37">
              <w:r>
                <w:rPr>
                  <w:rStyle w:val="InternetLink"/>
                  <w:rFonts w:ascii="Times New Roman;serif" w:hAnsi="Times New Roman;serif"/>
                  <w:b w:val="false"/>
                  <w:color w:val="0000FF"/>
                  <w:sz w:val="18"/>
                  <w:u w:val="single"/>
                </w:rPr>
                <w:t>8</w:t>
              </w:r>
            </w:hyperlink>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Item 2.</w:t>
            </w:r>
          </w:p>
        </w:tc>
        <w:tc>
          <w:tcPr>
            <w:tcW w:w="64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Management’s Discussion and Analysis of Financial Condition and Results of Operations</w:t>
            </w:r>
          </w:p>
        </w:tc>
        <w:tc>
          <w:tcPr>
            <w:tcW w:w="138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72351b5f4bb419d960b281d78564b3a_118">
              <w:r>
                <w:rPr>
                  <w:rStyle w:val="InternetLink"/>
                  <w:rFonts w:ascii="Times New Roman;serif" w:hAnsi="Times New Roman;serif"/>
                  <w:b w:val="false"/>
                  <w:color w:val="0000FF"/>
                  <w:sz w:val="18"/>
                  <w:u w:val="single"/>
                </w:rPr>
                <w:t>30</w:t>
              </w:r>
            </w:hyperlink>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Item 3.</w:t>
            </w:r>
          </w:p>
        </w:tc>
        <w:tc>
          <w:tcPr>
            <w:tcW w:w="64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Quantitative and Qualitative Disclosures About Market Risk</w:t>
            </w:r>
          </w:p>
        </w:tc>
        <w:tc>
          <w:tcPr>
            <w:tcW w:w="138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72351b5f4bb419d960b281d78564b3a_196">
              <w:r>
                <w:rPr>
                  <w:rStyle w:val="InternetLink"/>
                  <w:rFonts w:ascii="Times New Roman;serif" w:hAnsi="Times New Roman;serif"/>
                  <w:b w:val="false"/>
                  <w:color w:val="0000FF"/>
                  <w:sz w:val="18"/>
                  <w:u w:val="single"/>
                </w:rPr>
                <w:t>37</w:t>
              </w:r>
            </w:hyperlink>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Item 4.</w:t>
            </w:r>
          </w:p>
        </w:tc>
        <w:tc>
          <w:tcPr>
            <w:tcW w:w="64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Controls and Procedures</w:t>
            </w:r>
          </w:p>
        </w:tc>
        <w:tc>
          <w:tcPr>
            <w:tcW w:w="138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72351b5f4bb419d960b281d78564b3a_199">
              <w:r>
                <w:rPr>
                  <w:rStyle w:val="InternetLink"/>
                  <w:rFonts w:ascii="Times New Roman;serif" w:hAnsi="Times New Roman;serif"/>
                  <w:b w:val="false"/>
                  <w:color w:val="0000FF"/>
                  <w:sz w:val="18"/>
                  <w:u w:val="single"/>
                </w:rPr>
                <w:t>37</w:t>
              </w:r>
            </w:hyperlink>
          </w:p>
        </w:tc>
      </w:tr>
      <w:tr>
        <w:trPr/>
        <w:tc>
          <w:tcPr>
            <w:tcW w:w="88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PART II – OTHER INFORMATION</w:t>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Item 1.</w:t>
            </w:r>
          </w:p>
        </w:tc>
        <w:tc>
          <w:tcPr>
            <w:tcW w:w="64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Legal Proceedings</w:t>
            </w:r>
          </w:p>
        </w:tc>
        <w:tc>
          <w:tcPr>
            <w:tcW w:w="138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72351b5f4bb419d960b281d78564b3a_205">
              <w:r>
                <w:rPr>
                  <w:rStyle w:val="InternetLink"/>
                  <w:rFonts w:ascii="Times New Roman;serif" w:hAnsi="Times New Roman;serif"/>
                  <w:b w:val="false"/>
                  <w:color w:val="0000FF"/>
                  <w:sz w:val="18"/>
                  <w:u w:val="single"/>
                </w:rPr>
                <w:t>38</w:t>
              </w:r>
            </w:hyperlink>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Item 1A.</w:t>
            </w:r>
          </w:p>
        </w:tc>
        <w:tc>
          <w:tcPr>
            <w:tcW w:w="64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Risk Factors</w:t>
            </w:r>
          </w:p>
        </w:tc>
        <w:tc>
          <w:tcPr>
            <w:tcW w:w="138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72351b5f4bb419d960b281d78564b3a_208">
              <w:r>
                <w:rPr>
                  <w:rStyle w:val="InternetLink"/>
                  <w:rFonts w:ascii="Times New Roman;serif" w:hAnsi="Times New Roman;serif"/>
                  <w:b w:val="false"/>
                  <w:color w:val="0000FF"/>
                  <w:sz w:val="18"/>
                  <w:u w:val="single"/>
                </w:rPr>
                <w:t>38</w:t>
              </w:r>
            </w:hyperlink>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Item 2.</w:t>
            </w:r>
          </w:p>
        </w:tc>
        <w:tc>
          <w:tcPr>
            <w:tcW w:w="64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Unregistered Sales of Equity Securities and Use of Proceeds</w:t>
            </w:r>
          </w:p>
        </w:tc>
        <w:tc>
          <w:tcPr>
            <w:tcW w:w="138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72351b5f4bb419d960b281d78564b3a_211">
              <w:r>
                <w:rPr>
                  <w:rStyle w:val="InternetLink"/>
                  <w:rFonts w:ascii="Times New Roman;serif" w:hAnsi="Times New Roman;serif"/>
                  <w:b w:val="false"/>
                  <w:color w:val="0000FF"/>
                  <w:sz w:val="18"/>
                  <w:u w:val="single"/>
                </w:rPr>
                <w:t>38</w:t>
              </w:r>
            </w:hyperlink>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Item 3.</w:t>
            </w:r>
          </w:p>
        </w:tc>
        <w:tc>
          <w:tcPr>
            <w:tcW w:w="64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Defaults Upon Senior Securities</w:t>
            </w:r>
          </w:p>
        </w:tc>
        <w:tc>
          <w:tcPr>
            <w:tcW w:w="138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72351b5f4bb419d960b281d78564b3a_214">
              <w:r>
                <w:rPr>
                  <w:rStyle w:val="InternetLink"/>
                  <w:rFonts w:ascii="Times New Roman;serif" w:hAnsi="Times New Roman;serif"/>
                  <w:b w:val="false"/>
                  <w:color w:val="0000FF"/>
                  <w:sz w:val="18"/>
                  <w:u w:val="single"/>
                </w:rPr>
                <w:t>38</w:t>
              </w:r>
            </w:hyperlink>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Item 4.</w:t>
            </w:r>
          </w:p>
        </w:tc>
        <w:tc>
          <w:tcPr>
            <w:tcW w:w="64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Mine Safety Disclosures</w:t>
            </w:r>
          </w:p>
        </w:tc>
        <w:tc>
          <w:tcPr>
            <w:tcW w:w="138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72351b5f4bb419d960b281d78564b3a_217">
              <w:r>
                <w:rPr>
                  <w:rStyle w:val="InternetLink"/>
                  <w:rFonts w:ascii="Times New Roman;serif" w:hAnsi="Times New Roman;serif"/>
                  <w:b w:val="false"/>
                  <w:color w:val="0000FF"/>
                  <w:sz w:val="18"/>
                  <w:u w:val="single"/>
                </w:rPr>
                <w:t>38</w:t>
              </w:r>
            </w:hyperlink>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Item 5.</w:t>
            </w:r>
          </w:p>
        </w:tc>
        <w:tc>
          <w:tcPr>
            <w:tcW w:w="64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Information</w:t>
            </w:r>
          </w:p>
        </w:tc>
        <w:tc>
          <w:tcPr>
            <w:tcW w:w="138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72351b5f4bb419d960b281d78564b3a_220">
              <w:r>
                <w:rPr>
                  <w:rStyle w:val="InternetLink"/>
                  <w:rFonts w:ascii="Times New Roman;serif" w:hAnsi="Times New Roman;serif"/>
                  <w:b w:val="false"/>
                  <w:color w:val="0000FF"/>
                  <w:sz w:val="18"/>
                  <w:u w:val="single"/>
                </w:rPr>
                <w:t>38</w:t>
              </w:r>
            </w:hyperlink>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Item 6.</w:t>
            </w:r>
          </w:p>
        </w:tc>
        <w:tc>
          <w:tcPr>
            <w:tcW w:w="64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Exhibits</w:t>
            </w:r>
          </w:p>
        </w:tc>
        <w:tc>
          <w:tcPr>
            <w:tcW w:w="138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72351b5f4bb419d960b281d78564b3a_223">
              <w:r>
                <w:rPr>
                  <w:rStyle w:val="InternetLink"/>
                  <w:rFonts w:ascii="Times New Roman;serif" w:hAnsi="Times New Roman;serif"/>
                  <w:b w:val="false"/>
                  <w:color w:val="0000FF"/>
                  <w:sz w:val="18"/>
                  <w:u w:val="single"/>
                </w:rPr>
                <w:t>39</w:t>
              </w:r>
            </w:hyperlink>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Signatures</w:t>
            </w:r>
          </w:p>
        </w:tc>
        <w:tc>
          <w:tcPr>
            <w:tcW w:w="138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72351b5f4bb419d960b281d78564b3a_226">
              <w:r>
                <w:rPr>
                  <w:rStyle w:val="InternetLink"/>
                  <w:rFonts w:ascii="Times New Roman;serif" w:hAnsi="Times New Roman;serif"/>
                  <w:b w:val="false"/>
                  <w:color w:val="0000FF"/>
                  <w:sz w:val="18"/>
                  <w:u w:val="single"/>
                </w:rPr>
                <w:t>39</w:t>
              </w:r>
            </w:hyperlink>
          </w:p>
        </w:tc>
      </w:tr>
    </w:tbl>
    <w:p>
      <w:pPr>
        <w:pStyle w:val="TextBody"/>
        <w:bidi w:val="0"/>
        <w:spacing w:before="12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251460"/>
                <wp:effectExtent l="0" t="0" r="0" b="0"/>
                <wp:wrapNone/>
                <wp:docPr id="3" name="Frame2"/>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12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120"/>
                        <w:jc w:val="both"/>
                        <w:rPr/>
                      </w:pPr>
                      <w:r>
                        <w:rPr/>
                      </w:r>
                    </w:p>
                  </w:txbxContent>
                </v:textbox>
                <w10:wrap type="none"/>
              </v:rect>
            </w:pict>
          </mc:Fallback>
        </mc:AlternateContent>
      </w:r>
    </w:p>
    <w:p>
      <w:pPr>
        <w:pStyle w:val="TextBody"/>
        <w:bidi w:val="0"/>
        <w:spacing w:before="120" w:after="120"/>
        <w:jc w:val="both"/>
        <w:rPr/>
      </w:pPr>
      <w:r>
        <w:rPr/>
      </w:r>
    </w:p>
    <w:p>
      <w:pPr>
        <w:pStyle w:val="TextBody"/>
        <w:bidi w:val="0"/>
        <w:spacing w:before="120" w:after="120"/>
        <w:jc w:val="both"/>
        <w:rPr/>
      </w:pPr>
      <w:r>
        <w:rPr/>
      </w:r>
    </w:p>
    <w:p>
      <w:pPr>
        <w:pStyle w:val="TextBody"/>
        <w:bidi w:val="0"/>
        <w:spacing w:lineRule="auto" w:line="288" w:before="120" w:after="120"/>
        <w:jc w:val="center"/>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Certain statements contained in this Quarterly Report on Form 10-Q for the three months ended March 31, 2026, (the “Quarterly Report”) that are not historical facts are intended to constitute “forward-looking statements” entitled to the safe-harbor provisions of Section 21E of the Securities Exchange Act of 1934, as amended (the “Exchange Act”). These statements may involve risks and uncertainties. These statements often include words such as “anticipate,” “believe,” “budgeted,” “contemplate,” “estimate,” “expect,” “forecast,” “guidance,” “may,” “outlook,” “plan,” “projection,” “should,” “target,” “will,” “would” or similar expressions, but these words are not the exclusive means for identifying such statements. These forward-looking statements include statements regarding Power Solutions International, Inc.’s, a Delaware corporation (“Power Solutions,” “PSI” or the “Company”), projected sales, potential profitability and liquidity, strategic initiatives, future business strategies, warranty mitigation efforts and market opportunities, improvements in its business, improvement of product margins, and product market conditions and trends. These statements are not guarantees of performance or results, and they involve risks, uncertainties and assumptions. Although the Company believes that these forward-looking statements are based on reasonable assumptions, there are many factors that could affect the Company’s results of operations and liquidity and could cause actual results, performance or achievements to differ materially from those expressed in, or implied by, the Company’s forward-looking statements.</w:t>
      </w:r>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The Company cautions that the risks, uncertainties and other factors that could cause its actual results to differ materially from those expressed in, or implied by, the forward-looking statements include, without limitation: the timing and ultimate conversion of Power Systems orders into revenue, including data-center-related orders, and the volume and timing of related shipments; quarterly variability in product mix and the corresponding effect on gross profit and gross margin; the cost, pace, throughput and operational outcomes of capacity ramp-up activities at the Company’s Wisconsin operations, including the duration and magnitude of related production costs; the level and persistence of customer demand in the power systems, industrial and transportation end markets; volatility in oil and gas prices and corresponding demand for related products; supply-chain disruptions, component availability and supplier performance; macroeconomic, regulatory and trade conditions, including U.S. tariffs and trade restrictions; integration of recent and future acquisitions, including the acquisition of MTL Manufacturing and Equipment; the outcome of pending or threatened litigation and regulatory inquiries, including the previously disclosed putative federal securities class action; changes in management or other personnel, including the timing of any related disclosures; the ability to recruit and retain key employees; the impact of changes in our effective tax rate or applicable tax legislation; and the other risks and uncertainties described in the Company’s Annual Report on Form 10-K for the fiscal year ended December 31, 2025 and in the Company’s subsequent filings with the U.S. Securities and Exchange Commission (the “SEC”), all of which are incorporated by reference into this press release.</w:t>
      </w:r>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The Company’s forward-looking statements speak only as of the date of this filing. Except as required by law, the Company expressly disclaims any intention or obligation to revise or update any forward-looking statement, whether as a result of new information, future events or otherwise. Investors are cautioned not to place undue reliance on any forward-looking statements.</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AVAILABLE INFORMATION</w:t>
      </w:r>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The Company is subject to the reporting and information requirements of the Exchange Act, and as a result, it is obligated to file annual, quarterly and current reports, proxy and information statements and other information with the SEC. The Company makes these filings available free of charge on its website (http://www.psiengines.com) as soon as reasonably practicable after it electronically files them with, or furnishes them to, the SEC. Information on the Company’s website does not constitute part of this Quarterly Report. In addition, the SEC maintains a website (http://www.sec.gov) that contains the annual, quarterly and current reports, proxy and information statements, and other information the Company electronically files with, or furnishes to, the SEC.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222885"/>
                <wp:effectExtent l="0" t="0" r="0" b="0"/>
                <wp:wrapNone/>
                <wp:docPr id="4" name="Frame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120" w:after="120"/>
        <w:jc w:val="both"/>
        <w:rPr/>
      </w:pPr>
      <w:r>
        <w:rPr/>
      </w:r>
    </w:p>
    <w:p>
      <w:pPr>
        <w:pStyle w:val="TextBody"/>
        <w:bidi w:val="0"/>
        <w:spacing w:before="120" w:after="120"/>
        <w:jc w:val="both"/>
        <w:rPr/>
      </w:pPr>
      <w:r>
        <w:rPr/>
      </w:r>
    </w:p>
    <w:p>
      <w:pPr>
        <w:pStyle w:val="TextBody"/>
        <w:bidi w:val="0"/>
        <w:spacing w:lineRule="auto" w:line="288" w:before="240" w:after="120"/>
        <w:jc w:val="center"/>
        <w:rPr>
          <w:rFonts w:ascii="Times New Roman;serif" w:hAnsi="Times New Roman;serif"/>
          <w:b/>
          <w:color w:val="000000"/>
          <w:sz w:val="20"/>
        </w:rPr>
      </w:pPr>
      <w:r>
        <w:rPr>
          <w:rFonts w:ascii="Times New Roman;serif" w:hAnsi="Times New Roman;serif"/>
          <w:b/>
          <w:color w:val="000000"/>
          <w:sz w:val="20"/>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erif" w:hAnsi="Times New Roman;serif"/>
          <w:b/>
          <w:color w:val="000000"/>
          <w:sz w:val="20"/>
        </w:rPr>
      </w:pPr>
      <w:r>
        <w:rPr>
          <w:rFonts w:ascii="Times New Roman;serif" w:hAnsi="Times New Roman;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60"/>
        <w:jc w:val="center"/>
        <w:rPr>
          <w:rFonts w:ascii="Times New Roman;serif" w:hAnsi="Times New Roman;serif"/>
          <w:b/>
          <w:color w:val="000000"/>
          <w:sz w:val="20"/>
        </w:rPr>
      </w:pPr>
      <w:r>
        <w:rPr>
          <w:rFonts w:ascii="Times New Roman;serif" w:hAnsi="Times New Roman;serif"/>
          <w:b/>
          <w:color w:val="000000"/>
          <w:sz w:val="20"/>
        </w:rPr>
        <w:t>POWER SOLUTIONS INTERNATIONAL, INC.</w:t>
      </w:r>
    </w:p>
    <w:p>
      <w:pPr>
        <w:pStyle w:val="TextBody"/>
        <w:bidi w:val="0"/>
        <w:spacing w:lineRule="auto" w:line="288" w:before="60" w:after="6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tbl>
      <w:tblPr>
        <w:tblW w:w="10205" w:type="dxa"/>
        <w:jc w:val="center"/>
        <w:tblInd w:w="0" w:type="dxa"/>
        <w:tblLayout w:type="fixed"/>
        <w:tblCellMar>
          <w:top w:w="28" w:type="dxa"/>
          <w:left w:w="28" w:type="dxa"/>
          <w:bottom w:w="28" w:type="dxa"/>
          <w:right w:w="28" w:type="dxa"/>
        </w:tblCellMar>
      </w:tblPr>
      <w:tblGrid>
        <w:gridCol w:w="2695"/>
        <w:gridCol w:w="1904"/>
        <w:gridCol w:w="1911"/>
        <w:gridCol w:w="109"/>
        <w:gridCol w:w="109"/>
        <w:gridCol w:w="109"/>
        <w:gridCol w:w="304"/>
        <w:gridCol w:w="1145"/>
        <w:gridCol w:w="169"/>
        <w:gridCol w:w="109"/>
        <w:gridCol w:w="109"/>
        <w:gridCol w:w="109"/>
        <w:gridCol w:w="256"/>
        <w:gridCol w:w="962"/>
        <w:gridCol w:w="205"/>
      </w:tblGrid>
      <w:tr>
        <w:trPr/>
        <w:tc>
          <w:tcPr>
            <w:tcW w:w="2695" w:type="dxa"/>
            <w:tcBorders/>
            <w:vAlign w:val="center"/>
          </w:tcPr>
          <w:p>
            <w:pPr>
              <w:pStyle w:val="TableContents"/>
              <w:bidi w:val="0"/>
              <w:spacing w:before="0" w:after="283"/>
              <w:jc w:val="left"/>
              <w:rPr>
                <w:sz w:val="4"/>
                <w:szCs w:val="4"/>
              </w:rPr>
            </w:pPr>
            <w:r>
              <w:rPr>
                <w:sz w:val="4"/>
                <w:szCs w:val="4"/>
              </w:rPr>
            </w:r>
          </w:p>
        </w:tc>
        <w:tc>
          <w:tcPr>
            <w:tcW w:w="1904" w:type="dxa"/>
            <w:tcBorders/>
            <w:vAlign w:val="center"/>
          </w:tcPr>
          <w:p>
            <w:pPr>
              <w:pStyle w:val="TableContents"/>
              <w:bidi w:val="0"/>
              <w:spacing w:before="0" w:after="283"/>
              <w:jc w:val="left"/>
              <w:rPr>
                <w:sz w:val="4"/>
                <w:szCs w:val="4"/>
              </w:rPr>
            </w:pPr>
            <w:r>
              <w:rPr>
                <w:sz w:val="4"/>
                <w:szCs w:val="4"/>
              </w:rPr>
            </w:r>
          </w:p>
        </w:tc>
        <w:tc>
          <w:tcPr>
            <w:tcW w:w="19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6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 thousands, except par values)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March 31, 2026 (unaudited)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December 31, 2025</w:t>
            </w:r>
          </w:p>
        </w:tc>
      </w:tr>
      <w:tr>
        <w:trPr/>
        <w:tc>
          <w:tcPr>
            <w:tcW w:w="6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45,089 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41,250 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4,448 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3,698 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Accounts receivable, net of allowances of $1,399 and $967 as of March 31, 2026 and December 31, 2025, respectively; (from related parties $200 and $415 as of March 31, 2026 and December 31, 2025,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73,690 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90,446 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5,348 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6,442 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Inventories,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129,243 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127,363 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4,293 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4,500 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Contract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11,567 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15,965 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1,152 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1,256 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274,830 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290,920 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plant and equipment,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32,281 </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23,014 </w:t>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right-of-use assets,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61,164 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52,911 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 assets,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1,607 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1,236 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Goodwill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34,921 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29,835 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tax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12,188 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13,322 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Customs-related deposits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13,148 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12,893 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543 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614 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430,682 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424,745 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 xml:space="preserve">LIABILITIES AND STOCKHOLDERS’ EQUITY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Accounts payable (to related parties $3,300 and $4,126 as of March 31, 2026 and December 31, 2025,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42,544 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48,196 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maturities of 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1,804 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3" w:type="dxa"/>
            <w:gridSpan w:val="3"/>
            <w:tcBorders/>
            <w:vAlign w:val="center"/>
          </w:tcPr>
          <w:p>
            <w:pPr>
              <w:pStyle w:val="TableContents"/>
              <w:bidi w:val="0"/>
              <w:spacing w:before="0" w:after="283"/>
              <w:jc w:val="left"/>
              <w:rPr>
                <w:sz w:val="4"/>
                <w:szCs w:val="4"/>
              </w:rPr>
            </w:pPr>
            <w:r>
              <w:rPr>
                <w:sz w:val="4"/>
                <w:szCs w:val="4"/>
              </w:rPr>
            </w:r>
          </w:p>
        </w:tc>
      </w:tr>
      <w:tr>
        <w:trPr/>
        <w:tc>
          <w:tcPr>
            <w:tcW w:w="6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Finance lease liability, 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364 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355 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liability, 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7,351 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6,346 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3" w:type="dxa"/>
            <w:gridSpan w:val="3"/>
            <w:tcBorders/>
            <w:vAlign w:val="center"/>
          </w:tcPr>
          <w:p>
            <w:pPr>
              <w:pStyle w:val="TableContents"/>
              <w:bidi w:val="0"/>
              <w:spacing w:before="0" w:after="283"/>
              <w:jc w:val="left"/>
              <w:rPr>
                <w:sz w:val="4"/>
                <w:szCs w:val="4"/>
              </w:rPr>
            </w:pPr>
            <w:r>
              <w:rPr>
                <w:sz w:val="4"/>
                <w:szCs w:val="4"/>
              </w:rPr>
            </w:r>
          </w:p>
        </w:tc>
      </w:tr>
      <w:tr>
        <w:trPr/>
        <w:tc>
          <w:tcPr>
            <w:tcW w:w="65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Other accrued liabilities (to related parties $88 and $60 as of March 31, 2026 and December 31, 2025,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28,310 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37,353 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80,373 </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92,278 </w:t>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3" w:type="dxa"/>
            <w:gridSpan w:val="3"/>
            <w:tcBorders/>
            <w:vAlign w:val="center"/>
          </w:tcPr>
          <w:p>
            <w:pPr>
              <w:pStyle w:val="TableContents"/>
              <w:bidi w:val="0"/>
              <w:spacing w:before="0" w:after="283"/>
              <w:jc w:val="left"/>
              <w:rPr>
                <w:sz w:val="4"/>
                <w:szCs w:val="4"/>
              </w:rPr>
            </w:pPr>
            <w:r>
              <w:rPr>
                <w:sz w:val="4"/>
                <w:szCs w:val="4"/>
              </w:rPr>
            </w:r>
          </w:p>
        </w:tc>
      </w:tr>
      <w:tr>
        <w:trPr/>
        <w:tc>
          <w:tcPr>
            <w:tcW w:w="65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3" w:type="dxa"/>
            <w:gridSpan w:val="3"/>
            <w:tcBorders/>
            <w:vAlign w:val="center"/>
          </w:tcPr>
          <w:p>
            <w:pPr>
              <w:pStyle w:val="TableContents"/>
              <w:bidi w:val="0"/>
              <w:spacing w:before="0" w:after="283"/>
              <w:jc w:val="left"/>
              <w:rPr>
                <w:sz w:val="4"/>
                <w:szCs w:val="4"/>
              </w:rPr>
            </w:pPr>
            <w:r>
              <w:rPr>
                <w:sz w:val="4"/>
                <w:szCs w:val="4"/>
              </w:rPr>
            </w:r>
          </w:p>
        </w:tc>
      </w:tr>
      <w:tr>
        <w:trPr/>
        <w:tc>
          <w:tcPr>
            <w:tcW w:w="6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debt, net of current maturities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5,050 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Revolving line of credit, long-term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95,000 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95,000 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Finance lease liability, long-term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1,223 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1,224 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liability, long-term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55,628 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49,397 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Noncurrent contract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1,666 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1,699 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5,965 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6,528 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244,905 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246,136 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Commitments and Contingencies (Note 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3" w:type="dxa"/>
            <w:gridSpan w:val="3"/>
            <w:tcBorders/>
            <w:vAlign w:val="center"/>
          </w:tcPr>
          <w:p>
            <w:pPr>
              <w:pStyle w:val="TableContents"/>
              <w:bidi w:val="0"/>
              <w:spacing w:before="0" w:after="283"/>
              <w:jc w:val="left"/>
              <w:rPr>
                <w:sz w:val="4"/>
                <w:szCs w:val="4"/>
              </w:rPr>
            </w:pPr>
            <w:r>
              <w:rPr>
                <w:sz w:val="4"/>
                <w:szCs w:val="4"/>
              </w:rPr>
            </w:r>
          </w:p>
        </w:tc>
      </w:tr>
      <w:tr>
        <w:trPr/>
        <w:tc>
          <w:tcPr>
            <w:tcW w:w="65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3" w:type="dxa"/>
            <w:gridSpan w:val="3"/>
            <w:tcBorders/>
            <w:vAlign w:val="center"/>
          </w:tcPr>
          <w:p>
            <w:pPr>
              <w:pStyle w:val="TableContents"/>
              <w:bidi w:val="0"/>
              <w:spacing w:before="0" w:after="283"/>
              <w:jc w:val="left"/>
              <w:rPr>
                <w:sz w:val="4"/>
                <w:szCs w:val="4"/>
              </w:rPr>
            </w:pPr>
            <w:r>
              <w:rPr>
                <w:sz w:val="4"/>
                <w:szCs w:val="4"/>
              </w:rPr>
            </w:r>
          </w:p>
        </w:tc>
      </w:tr>
      <w:tr>
        <w:trPr/>
        <w:tc>
          <w:tcPr>
            <w:tcW w:w="65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3" w:type="dxa"/>
            <w:gridSpan w:val="3"/>
            <w:tcBorders/>
            <w:vAlign w:val="center"/>
          </w:tcPr>
          <w:p>
            <w:pPr>
              <w:pStyle w:val="TableContents"/>
              <w:bidi w:val="0"/>
              <w:spacing w:before="0" w:after="283"/>
              <w:jc w:val="left"/>
              <w:rPr>
                <w:sz w:val="4"/>
                <w:szCs w:val="4"/>
              </w:rPr>
            </w:pPr>
            <w:r>
              <w:rPr>
                <w:sz w:val="4"/>
                <w:szCs w:val="4"/>
              </w:rPr>
            </w:r>
          </w:p>
        </w:tc>
      </w:tr>
      <w:tr>
        <w:trPr/>
        <w:tc>
          <w:tcPr>
            <w:tcW w:w="65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3" w:type="dxa"/>
            <w:gridSpan w:val="3"/>
            <w:tcBorders/>
            <w:vAlign w:val="center"/>
          </w:tcPr>
          <w:p>
            <w:pPr>
              <w:pStyle w:val="TableContents"/>
              <w:bidi w:val="0"/>
              <w:spacing w:before="0" w:after="283"/>
              <w:jc w:val="left"/>
              <w:rPr>
                <w:sz w:val="4"/>
                <w:szCs w:val="4"/>
              </w:rPr>
            </w:pPr>
            <w:r>
              <w:rPr>
                <w:sz w:val="4"/>
                <w:szCs w:val="4"/>
              </w:rPr>
            </w:r>
          </w:p>
        </w:tc>
      </w:tr>
      <w:tr>
        <w:trPr/>
        <w:tc>
          <w:tcPr>
            <w:tcW w:w="6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3" w:type="dxa"/>
            <w:gridSpan w:val="3"/>
            <w:tcBorders/>
            <w:vAlign w:val="center"/>
          </w:tcPr>
          <w:p>
            <w:pPr>
              <w:pStyle w:val="TableContents"/>
              <w:bidi w:val="0"/>
              <w:spacing w:before="0" w:after="283"/>
              <w:jc w:val="left"/>
              <w:rPr>
                <w:sz w:val="4"/>
                <w:szCs w:val="4"/>
              </w:rPr>
            </w:pPr>
            <w:r>
              <w:rPr>
                <w:sz w:val="4"/>
                <w:szCs w:val="4"/>
              </w:rPr>
            </w:r>
          </w:p>
        </w:tc>
      </w:tr>
      <w:tr>
        <w:trPr/>
        <w:tc>
          <w:tcPr>
            <w:tcW w:w="65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Common stock – $0.001 par value; 50,000 shares authorized; 23,117 shares issued; 23,051 and 23,041 shares outstanding at March 31, 2026 and December 31, 2025,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Additional paid-in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157,878 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157,602 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Retained earnings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29,776 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22,476 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Treasury stock, at cost, 66 and 76 shares at March 31, 2026 and December 31, 2025,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(1,900)</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(1,492)</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185,777 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178,609 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LIABILITIES AND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430,682 </w:t>
            </w:r>
          </w:p>
        </w:tc>
        <w:tc>
          <w:tcPr>
            <w:tcW w:w="1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424,745 </w:t>
            </w:r>
          </w:p>
        </w:tc>
        <w:tc>
          <w:tcPr>
            <w:tcW w:w="2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i/>
          <w:color w:val="000000"/>
          <w:sz w:val="16"/>
        </w:rPr>
      </w:pPr>
      <w:r>
        <w:rPr>
          <w:rFonts w:ascii="Times New Roman;serif" w:hAnsi="Times New Roman;serif"/>
          <w:b w:val="false"/>
          <w:i/>
          <w:color w:val="000000"/>
          <w:sz w:val="16"/>
        </w:rPr>
        <w:t>See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222885"/>
                <wp:effectExtent l="0" t="0" r="0" b="0"/>
                <wp:wrapNone/>
                <wp:docPr id="5" name="Frame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120" w:after="120"/>
        <w:jc w:val="both"/>
        <w:rPr/>
      </w:pPr>
      <w:r>
        <w:rPr/>
      </w:r>
    </w:p>
    <w:p>
      <w:pPr>
        <w:pStyle w:val="TextBody"/>
        <w:bidi w:val="0"/>
        <w:spacing w:before="120" w:after="120"/>
        <w:jc w:val="both"/>
        <w:rPr/>
      </w:pPr>
      <w:r>
        <w:rPr/>
      </w:r>
    </w:p>
    <w:p>
      <w:pPr>
        <w:pStyle w:val="TextBody"/>
        <w:bidi w:val="0"/>
        <w:spacing w:lineRule="auto" w:line="288" w:before="60" w:after="60"/>
        <w:jc w:val="center"/>
        <w:rPr>
          <w:rFonts w:ascii="Times New Roman;serif" w:hAnsi="Times New Roman;serif"/>
          <w:b/>
          <w:color w:val="000000"/>
          <w:sz w:val="20"/>
        </w:rPr>
      </w:pPr>
      <w:r>
        <w:rPr>
          <w:rFonts w:ascii="Times New Roman;serif" w:hAnsi="Times New Roman;serif"/>
          <w:b/>
          <w:color w:val="000000"/>
          <w:sz w:val="20"/>
        </w:rPr>
        <w:t>POWER SOLUTIONS INTERNATIONAL, INC.</w:t>
      </w:r>
    </w:p>
    <w:p>
      <w:pPr>
        <w:pStyle w:val="TextBody"/>
        <w:bidi w:val="0"/>
        <w:spacing w:lineRule="auto" w:line="288" w:before="60" w:after="60"/>
        <w:jc w:val="center"/>
        <w:rPr>
          <w:rFonts w:ascii="Times New Roman;serif" w:hAnsi="Times New Roman;serif"/>
          <w:b/>
          <w:color w:val="000000"/>
          <w:sz w:val="20"/>
        </w:rPr>
      </w:pPr>
      <w:r>
        <w:rPr>
          <w:rFonts w:ascii="Times New Roman;serif" w:hAnsi="Times New Roman;serif"/>
          <w:b/>
          <w:color w:val="000000"/>
          <w:sz w:val="20"/>
        </w:rPr>
        <w:t>CONDENSED CONSOLIDATED STATEMENTS OF INCOME</w:t>
      </w:r>
    </w:p>
    <w:p>
      <w:pPr>
        <w:pStyle w:val="TextBody"/>
        <w:bidi w:val="0"/>
        <w:spacing w:lineRule="auto" w:line="288" w:before="60" w:after="6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2569"/>
        <w:gridCol w:w="2128"/>
        <w:gridCol w:w="2138"/>
        <w:gridCol w:w="109"/>
        <w:gridCol w:w="109"/>
        <w:gridCol w:w="109"/>
        <w:gridCol w:w="242"/>
        <w:gridCol w:w="912"/>
        <w:gridCol w:w="135"/>
        <w:gridCol w:w="135"/>
        <w:gridCol w:w="135"/>
        <w:gridCol w:w="135"/>
        <w:gridCol w:w="242"/>
        <w:gridCol w:w="912"/>
        <w:gridCol w:w="195"/>
      </w:tblGrid>
      <w:tr>
        <w:trPr/>
        <w:tc>
          <w:tcPr>
            <w:tcW w:w="2569" w:type="dxa"/>
            <w:tcBorders/>
            <w:vAlign w:val="center"/>
          </w:tcPr>
          <w:p>
            <w:pPr>
              <w:pStyle w:val="TableContents"/>
              <w:bidi w:val="0"/>
              <w:spacing w:before="0" w:after="283"/>
              <w:jc w:val="left"/>
              <w:rPr>
                <w:sz w:val="4"/>
                <w:szCs w:val="4"/>
              </w:rPr>
            </w:pPr>
            <w:r>
              <w:rPr>
                <w:sz w:val="4"/>
                <w:szCs w:val="4"/>
              </w:rPr>
            </w:r>
          </w:p>
        </w:tc>
        <w:tc>
          <w:tcPr>
            <w:tcW w:w="2128" w:type="dxa"/>
            <w:tcBorders/>
            <w:vAlign w:val="center"/>
          </w:tcPr>
          <w:p>
            <w:pPr>
              <w:pStyle w:val="TableContents"/>
              <w:bidi w:val="0"/>
              <w:spacing w:before="0" w:after="283"/>
              <w:jc w:val="left"/>
              <w:rPr>
                <w:sz w:val="4"/>
                <w:szCs w:val="4"/>
              </w:rPr>
            </w:pPr>
            <w:r>
              <w:rPr>
                <w:sz w:val="4"/>
                <w:szCs w:val="4"/>
              </w:rPr>
            </w:r>
          </w:p>
        </w:tc>
        <w:tc>
          <w:tcPr>
            <w:tcW w:w="2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68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 thousands, except per share 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Three Months Ended March 31,</w:t>
            </w:r>
          </w:p>
        </w:tc>
      </w:tr>
      <w:tr>
        <w:trPr/>
        <w:tc>
          <w:tcPr>
            <w:tcW w:w="6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68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Net sales</w:t>
            </w:r>
          </w:p>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(to related parties $9 and $464 for the three months ended March 31, 2026 and 2025,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128,592 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135,446 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Cost of sales</w:t>
            </w:r>
          </w:p>
          <w:p>
            <w:pPr>
              <w:pStyle w:val="TableContents"/>
              <w:bidi w:val="0"/>
              <w:spacing w:lineRule="auto" w:line="240" w:before="0" w:after="0"/>
              <w:jc w:val="left"/>
              <w:rPr/>
            </w:pPr>
            <w:r>
              <w:rPr>
                <w:rFonts w:ascii="Times New Roman;serif" w:hAnsi="Times New Roman;serif"/>
                <w:b w:val="false"/>
                <w:color w:val="000000"/>
                <w:sz w:val="18"/>
              </w:rPr>
              <w:t xml:space="preserve">(derived from related party net sales </w:t>
            </w:r>
            <w:r>
              <w:rPr>
                <w:rFonts w:ascii="Times New Roman;serif" w:hAnsi="Times New Roman;serif"/>
                <w:b w:val="false"/>
                <w:color w:val="000000"/>
                <w:sz w:val="18"/>
                <w:shd w:fill="FFFFFF" w:val="clear"/>
              </w:rPr>
              <w:t>$5</w:t>
            </w:r>
            <w:r>
              <w:rPr>
                <w:color w:val="000000"/>
              </w:rPr>
              <w:t xml:space="preserve"> </w:t>
            </w:r>
            <w:r>
              <w:rPr>
                <w:rFonts w:ascii="Times New Roman;serif" w:hAnsi="Times New Roman;serif"/>
                <w:b w:val="false"/>
                <w:color w:val="000000"/>
                <w:sz w:val="18"/>
              </w:rPr>
              <w:t xml:space="preserve">and </w:t>
            </w:r>
            <w:r>
              <w:rPr>
                <w:rFonts w:ascii="Times New Roman;serif" w:hAnsi="Times New Roman;serif"/>
                <w:b w:val="false"/>
                <w:color w:val="000000"/>
                <w:sz w:val="18"/>
                <w:shd w:fill="FFFFFF" w:val="clear"/>
              </w:rPr>
              <w:t>$316</w:t>
            </w:r>
            <w:r>
              <w:rPr>
                <w:color w:val="000000"/>
              </w:rPr>
              <w:t xml:space="preserve"> </w:t>
            </w:r>
            <w:r>
              <w:rPr>
                <w:rFonts w:ascii="Times New Roman;serif" w:hAnsi="Times New Roman;serif"/>
                <w:b w:val="false"/>
                <w:color w:val="000000"/>
                <w:sz w:val="18"/>
              </w:rPr>
              <w:t>for the three months ended March 31, 2026 and 2025,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99,168 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95,152 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29,424 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40,294 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4,805 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4,244 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12,977 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11,109 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r>
      <w:tr>
        <w:trPr/>
        <w:tc>
          <w:tcPr>
            <w:tcW w:w="6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249 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307 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18,031 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15,660 </w:t>
            </w:r>
          </w:p>
        </w:tc>
        <w:tc>
          <w:tcPr>
            <w:tcW w:w="19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11,393 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24,634 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expense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Interest expense (from related parties $0 and $415 for the three months ended March 31, 2026 and 2025,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1,745 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1,766 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r>
      <w:tr>
        <w:trPr/>
        <w:tc>
          <w:tcPr>
            <w:tcW w:w="68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r>
      <w:tr>
        <w:trPr/>
        <w:tc>
          <w:tcPr>
            <w:tcW w:w="68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r>
      <w:tr>
        <w:trPr/>
        <w:tc>
          <w:tcPr>
            <w:tcW w:w="6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expense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other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1,660 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1,766 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Income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9,733 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22,868 </w:t>
            </w:r>
          </w:p>
        </w:tc>
        <w:tc>
          <w:tcPr>
            <w:tcW w:w="19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2,433 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3,786 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7,300 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19,082 </w:t>
            </w:r>
          </w:p>
        </w:tc>
        <w:tc>
          <w:tcPr>
            <w:tcW w:w="19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r>
      <w:tr>
        <w:trPr/>
        <w:tc>
          <w:tcPr>
            <w:tcW w:w="68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r>
      <w:tr>
        <w:trPr/>
        <w:tc>
          <w:tcPr>
            <w:tcW w:w="68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Weighted-average common shares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23,046 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23,005 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23,063 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23,061 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Earnings per common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0.32 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0.83 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0.32 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0.83 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i/>
          <w:color w:val="000000"/>
          <w:sz w:val="16"/>
        </w:rPr>
      </w:pPr>
      <w:r>
        <w:rPr>
          <w:rFonts w:ascii="Times New Roman;serif" w:hAnsi="Times New Roman;serif"/>
          <w:b w:val="false"/>
          <w:i/>
          <w:color w:val="000000"/>
          <w:sz w:val="16"/>
        </w:rPr>
        <w:t>See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222885"/>
                <wp:effectExtent l="0" t="0" r="0" b="0"/>
                <wp:wrapNone/>
                <wp:docPr id="6" name="Frame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before="120" w:after="120"/>
        <w:jc w:val="both"/>
        <w:rPr/>
      </w:pPr>
      <w:r>
        <w:rPr/>
      </w:r>
    </w:p>
    <w:p>
      <w:pPr>
        <w:pStyle w:val="TextBody"/>
        <w:bidi w:val="0"/>
        <w:spacing w:before="120" w:after="120"/>
        <w:jc w:val="both"/>
        <w:rPr/>
      </w:pPr>
      <w:r>
        <w:rPr/>
      </w:r>
    </w:p>
    <w:p>
      <w:pPr>
        <w:pStyle w:val="TextBody"/>
        <w:bidi w:val="0"/>
        <w:spacing w:lineRule="auto" w:line="288" w:before="60" w:after="60"/>
        <w:jc w:val="center"/>
        <w:rPr>
          <w:rFonts w:ascii="Times New Roman;serif" w:hAnsi="Times New Roman;serif"/>
          <w:b/>
          <w:color w:val="000000"/>
          <w:sz w:val="20"/>
        </w:rPr>
      </w:pPr>
      <w:r>
        <w:rPr>
          <w:rFonts w:ascii="Times New Roman;serif" w:hAnsi="Times New Roman;serif"/>
          <w:b/>
          <w:color w:val="000000"/>
          <w:sz w:val="20"/>
        </w:rPr>
        <w:t>POWER SOLUTIONS INTERNATIONAL, INC.</w:t>
      </w:r>
    </w:p>
    <w:p>
      <w:pPr>
        <w:pStyle w:val="TextBody"/>
        <w:bidi w:val="0"/>
        <w:spacing w:lineRule="auto" w:line="288" w:before="60" w:after="6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CONDENSED CONSOLIDATED STATEMENTS OF STOCKHOLDERS’ EQUITY</w:t>
      </w:r>
    </w:p>
    <w:p>
      <w:pPr>
        <w:pStyle w:val="TextBody"/>
        <w:bidi w:val="0"/>
        <w:spacing w:lineRule="auto" w:line="288" w:before="60" w:after="6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(UNAUDITED)</w:t>
      </w:r>
    </w:p>
    <w:p>
      <w:pPr>
        <w:pStyle w:val="TextBody"/>
        <w:bidi w:val="0"/>
        <w:spacing w:before="60" w:after="60"/>
        <w:jc w:val="center"/>
        <w:rPr/>
      </w:pPr>
      <w:r>
        <w:rPr/>
      </w:r>
    </w:p>
    <w:tbl>
      <w:tblPr>
        <w:tblW w:w="10205" w:type="dxa"/>
        <w:jc w:val="left"/>
        <w:tblInd w:w="0" w:type="dxa"/>
        <w:tblLayout w:type="fixed"/>
        <w:tblCellMar>
          <w:top w:w="28" w:type="dxa"/>
          <w:left w:w="28" w:type="dxa"/>
          <w:bottom w:w="28" w:type="dxa"/>
          <w:right w:w="28" w:type="dxa"/>
        </w:tblCellMar>
      </w:tblPr>
      <w:tblGrid>
        <w:gridCol w:w="947"/>
        <w:gridCol w:w="661"/>
        <w:gridCol w:w="663"/>
        <w:gridCol w:w="109"/>
        <w:gridCol w:w="109"/>
        <w:gridCol w:w="109"/>
        <w:gridCol w:w="287"/>
        <w:gridCol w:w="485"/>
        <w:gridCol w:w="161"/>
        <w:gridCol w:w="109"/>
        <w:gridCol w:w="109"/>
        <w:gridCol w:w="109"/>
        <w:gridCol w:w="243"/>
        <w:gridCol w:w="912"/>
        <w:gridCol w:w="134"/>
        <w:gridCol w:w="109"/>
        <w:gridCol w:w="109"/>
        <w:gridCol w:w="109"/>
        <w:gridCol w:w="335"/>
        <w:gridCol w:w="1133"/>
        <w:gridCol w:w="188"/>
        <w:gridCol w:w="109"/>
        <w:gridCol w:w="109"/>
        <w:gridCol w:w="109"/>
        <w:gridCol w:w="212"/>
        <w:gridCol w:w="638"/>
        <w:gridCol w:w="118"/>
        <w:gridCol w:w="109"/>
        <w:gridCol w:w="109"/>
        <w:gridCol w:w="109"/>
        <w:gridCol w:w="260"/>
        <w:gridCol w:w="980"/>
        <w:gridCol w:w="213"/>
      </w:tblGrid>
      <w:tr>
        <w:trPr/>
        <w:tc>
          <w:tcPr>
            <w:tcW w:w="947"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22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7" w:type="dxa"/>
            <w:gridSpan w:val="27"/>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Three Months Ended</w:t>
            </w:r>
          </w:p>
        </w:tc>
      </w:tr>
      <w:tr>
        <w:trPr/>
        <w:tc>
          <w:tcPr>
            <w:tcW w:w="22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Common Stock</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Additional Paid-in Capital</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Retained Earnings (Accumulated Deficit)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Treasury Stock</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Stockholders’ Equity</w:t>
            </w:r>
          </w:p>
        </w:tc>
      </w:tr>
      <w:tr>
        <w:trPr/>
        <w:tc>
          <w:tcPr>
            <w:tcW w:w="22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at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157,602 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22,476 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(1,492)</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178,609 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7,300 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7,300 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3" w:type="dxa"/>
            <w:gridSpan w:val="3"/>
            <w:tcBorders/>
            <w:vAlign w:val="center"/>
          </w:tcPr>
          <w:p>
            <w:pPr>
              <w:pStyle w:val="TableContents"/>
              <w:bidi w:val="0"/>
              <w:spacing w:before="0" w:after="283"/>
              <w:jc w:val="left"/>
              <w:rPr>
                <w:sz w:val="4"/>
                <w:szCs w:val="4"/>
              </w:rPr>
            </w:pPr>
            <w:r>
              <w:rPr>
                <w:sz w:val="4"/>
                <w:szCs w:val="4"/>
              </w:rPr>
            </w:r>
          </w:p>
        </w:tc>
      </w:tr>
      <w:tr>
        <w:trPr/>
        <w:tc>
          <w:tcPr>
            <w:tcW w:w="22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3" w:type="dxa"/>
            <w:gridSpan w:val="3"/>
            <w:tcBorders/>
            <w:vAlign w:val="center"/>
          </w:tcPr>
          <w:p>
            <w:pPr>
              <w:pStyle w:val="TableContents"/>
              <w:bidi w:val="0"/>
              <w:spacing w:before="0" w:after="283"/>
              <w:jc w:val="left"/>
              <w:rPr>
                <w:sz w:val="4"/>
                <w:szCs w:val="4"/>
              </w:rPr>
            </w:pPr>
            <w:r>
              <w:rPr>
                <w:sz w:val="4"/>
                <w:szCs w:val="4"/>
              </w:rPr>
            </w:r>
          </w:p>
        </w:tc>
      </w:tr>
      <w:tr>
        <w:trPr/>
        <w:tc>
          <w:tcPr>
            <w:tcW w:w="22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3" w:type="dxa"/>
            <w:gridSpan w:val="3"/>
            <w:tcBorders/>
            <w:vAlign w:val="center"/>
          </w:tcPr>
          <w:p>
            <w:pPr>
              <w:pStyle w:val="TableContents"/>
              <w:bidi w:val="0"/>
              <w:spacing w:before="0" w:after="283"/>
              <w:jc w:val="left"/>
              <w:rPr>
                <w:sz w:val="4"/>
                <w:szCs w:val="4"/>
              </w:rPr>
            </w:pPr>
            <w:r>
              <w:rPr>
                <w:sz w:val="4"/>
                <w:szCs w:val="4"/>
              </w:rPr>
            </w:r>
          </w:p>
        </w:tc>
      </w:tr>
      <w:tr>
        <w:trPr/>
        <w:tc>
          <w:tcPr>
            <w:tcW w:w="22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3" w:type="dxa"/>
            <w:gridSpan w:val="3"/>
            <w:tcBorders/>
            <w:vAlign w:val="center"/>
          </w:tcPr>
          <w:p>
            <w:pPr>
              <w:pStyle w:val="TableContents"/>
              <w:bidi w:val="0"/>
              <w:spacing w:before="0" w:after="283"/>
              <w:jc w:val="left"/>
              <w:rPr>
                <w:sz w:val="4"/>
                <w:szCs w:val="4"/>
              </w:rPr>
            </w:pPr>
            <w:r>
              <w:rPr>
                <w:sz w:val="4"/>
                <w:szCs w:val="4"/>
              </w:rPr>
            </w:r>
          </w:p>
        </w:tc>
      </w:tr>
      <w:tr>
        <w:trPr/>
        <w:tc>
          <w:tcPr>
            <w:tcW w:w="22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3" w:type="dxa"/>
            <w:gridSpan w:val="3"/>
            <w:tcBorders/>
            <w:vAlign w:val="center"/>
          </w:tcPr>
          <w:p>
            <w:pPr>
              <w:pStyle w:val="TableContents"/>
              <w:bidi w:val="0"/>
              <w:spacing w:before="0" w:after="283"/>
              <w:jc w:val="left"/>
              <w:rPr>
                <w:sz w:val="4"/>
                <w:szCs w:val="4"/>
              </w:rPr>
            </w:pPr>
            <w:r>
              <w:rPr>
                <w:sz w:val="4"/>
                <w:szCs w:val="4"/>
              </w:rPr>
            </w:r>
          </w:p>
        </w:tc>
      </w:tr>
      <w:tr>
        <w:trPr/>
        <w:tc>
          <w:tcPr>
            <w:tcW w:w="22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 Appreciation Rights (“SAR”) issued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3" w:type="dxa"/>
            <w:gridSpan w:val="3"/>
            <w:tcBorders/>
            <w:vAlign w:val="center"/>
          </w:tcPr>
          <w:p>
            <w:pPr>
              <w:pStyle w:val="TableContents"/>
              <w:bidi w:val="0"/>
              <w:spacing w:before="0" w:after="283"/>
              <w:jc w:val="left"/>
              <w:rPr>
                <w:sz w:val="4"/>
                <w:szCs w:val="4"/>
              </w:rPr>
            </w:pPr>
            <w:r>
              <w:rPr>
                <w:sz w:val="4"/>
                <w:szCs w:val="4"/>
              </w:rPr>
            </w:r>
          </w:p>
        </w:tc>
      </w:tr>
      <w:tr>
        <w:trPr/>
        <w:tc>
          <w:tcPr>
            <w:tcW w:w="22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424 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424 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3" w:type="dxa"/>
            <w:gridSpan w:val="3"/>
            <w:tcBorders/>
            <w:vAlign w:val="center"/>
          </w:tcPr>
          <w:p>
            <w:pPr>
              <w:pStyle w:val="TableContents"/>
              <w:bidi w:val="0"/>
              <w:spacing w:before="0" w:after="283"/>
              <w:jc w:val="left"/>
              <w:rPr>
                <w:sz w:val="4"/>
                <w:szCs w:val="4"/>
              </w:rPr>
            </w:pPr>
            <w:r>
              <w:rPr>
                <w:sz w:val="4"/>
                <w:szCs w:val="4"/>
              </w:rPr>
            </w:r>
          </w:p>
        </w:tc>
      </w:tr>
      <w:tr>
        <w:trPr/>
        <w:tc>
          <w:tcPr>
            <w:tcW w:w="22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Repurchases to settle tax withholding obligations for stock-based compensation awards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(556)</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(556)</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3" w:type="dxa"/>
            <w:gridSpan w:val="3"/>
            <w:tcBorders/>
            <w:vAlign w:val="center"/>
          </w:tcPr>
          <w:p>
            <w:pPr>
              <w:pStyle w:val="TableContents"/>
              <w:bidi w:val="0"/>
              <w:spacing w:before="0" w:after="283"/>
              <w:jc w:val="left"/>
              <w:rPr>
                <w:sz w:val="4"/>
                <w:szCs w:val="4"/>
              </w:rPr>
            </w:pPr>
            <w:r>
              <w:rPr>
                <w:sz w:val="4"/>
                <w:szCs w:val="4"/>
              </w:rPr>
            </w:r>
          </w:p>
        </w:tc>
      </w:tr>
      <w:tr>
        <w:trPr/>
        <w:tc>
          <w:tcPr>
            <w:tcW w:w="22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3" w:type="dxa"/>
            <w:gridSpan w:val="3"/>
            <w:tcBorders/>
            <w:vAlign w:val="center"/>
          </w:tcPr>
          <w:p>
            <w:pPr>
              <w:pStyle w:val="TableContents"/>
              <w:bidi w:val="0"/>
              <w:spacing w:before="0" w:after="283"/>
              <w:jc w:val="left"/>
              <w:rPr>
                <w:sz w:val="4"/>
                <w:szCs w:val="4"/>
              </w:rPr>
            </w:pPr>
            <w:r>
              <w:rPr>
                <w:sz w:val="4"/>
                <w:szCs w:val="4"/>
              </w:rPr>
            </w:r>
          </w:p>
        </w:tc>
      </w:tr>
      <w:tr>
        <w:trPr/>
        <w:tc>
          <w:tcPr>
            <w:tcW w:w="22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3" w:type="dxa"/>
            <w:gridSpan w:val="3"/>
            <w:tcBorders/>
            <w:vAlign w:val="center"/>
          </w:tcPr>
          <w:p>
            <w:pPr>
              <w:pStyle w:val="TableContents"/>
              <w:bidi w:val="0"/>
              <w:spacing w:before="0" w:after="283"/>
              <w:jc w:val="left"/>
              <w:rPr>
                <w:sz w:val="4"/>
                <w:szCs w:val="4"/>
              </w:rPr>
            </w:pPr>
            <w:r>
              <w:rPr>
                <w:sz w:val="4"/>
                <w:szCs w:val="4"/>
              </w:rPr>
            </w:r>
          </w:p>
        </w:tc>
      </w:tr>
      <w:tr>
        <w:trPr/>
        <w:tc>
          <w:tcPr>
            <w:tcW w:w="22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3" w:type="dxa"/>
            <w:gridSpan w:val="3"/>
            <w:tcBorders/>
            <w:vAlign w:val="center"/>
          </w:tcPr>
          <w:p>
            <w:pPr>
              <w:pStyle w:val="TableContents"/>
              <w:bidi w:val="0"/>
              <w:spacing w:before="0" w:after="283"/>
              <w:jc w:val="left"/>
              <w:rPr>
                <w:sz w:val="4"/>
                <w:szCs w:val="4"/>
              </w:rPr>
            </w:pPr>
            <w:r>
              <w:rPr>
                <w:sz w:val="4"/>
                <w:szCs w:val="4"/>
              </w:rPr>
            </w:r>
          </w:p>
        </w:tc>
      </w:tr>
      <w:tr>
        <w:trPr/>
        <w:tc>
          <w:tcPr>
            <w:tcW w:w="22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3" w:type="dxa"/>
            <w:gridSpan w:val="3"/>
            <w:tcBorders/>
            <w:vAlign w:val="center"/>
          </w:tcPr>
          <w:p>
            <w:pPr>
              <w:pStyle w:val="TableContents"/>
              <w:bidi w:val="0"/>
              <w:spacing w:before="0" w:after="283"/>
              <w:jc w:val="left"/>
              <w:rPr>
                <w:sz w:val="4"/>
                <w:szCs w:val="4"/>
              </w:rPr>
            </w:pPr>
            <w:r>
              <w:rPr>
                <w:sz w:val="4"/>
                <w:szCs w:val="4"/>
              </w:rPr>
            </w:r>
          </w:p>
        </w:tc>
      </w:tr>
      <w:tr>
        <w:trPr/>
        <w:tc>
          <w:tcPr>
            <w:tcW w:w="22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3" w:type="dxa"/>
            <w:gridSpan w:val="3"/>
            <w:tcBorders/>
            <w:vAlign w:val="center"/>
          </w:tcPr>
          <w:p>
            <w:pPr>
              <w:pStyle w:val="TableContents"/>
              <w:bidi w:val="0"/>
              <w:spacing w:before="0" w:after="283"/>
              <w:jc w:val="left"/>
              <w:rPr>
                <w:sz w:val="4"/>
                <w:szCs w:val="4"/>
              </w:rPr>
            </w:pPr>
            <w:r>
              <w:rPr>
                <w:sz w:val="4"/>
                <w:szCs w:val="4"/>
              </w:rPr>
            </w:r>
          </w:p>
        </w:tc>
      </w:tr>
      <w:tr>
        <w:trPr/>
        <w:tc>
          <w:tcPr>
            <w:tcW w:w="22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at March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157,878 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29,776 </w:t>
            </w:r>
          </w:p>
        </w:tc>
        <w:tc>
          <w:tcPr>
            <w:tcW w:w="18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(1,900)</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185,777 </w:t>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at December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157,561 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(91,511)</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(823)</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65,250 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19,082 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19,082 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 Appreciation Rights (“SAR”) issued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Repurchases to settle tax withholding obligations for stock-based compensation awards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at March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157,648 </w:t>
            </w:r>
          </w:p>
        </w:tc>
        <w:tc>
          <w:tcPr>
            <w:tcW w:w="1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(72,429)</w:t>
            </w:r>
          </w:p>
        </w:tc>
        <w:tc>
          <w:tcPr>
            <w:tcW w:w="1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(899)</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84,343 </w:t>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60"/>
        <w:jc w:val="left"/>
        <w:rPr/>
      </w:pPr>
      <w:r>
        <w:rPr/>
      </w:r>
    </w:p>
    <w:p>
      <w:pPr>
        <w:pStyle w:val="TextBody"/>
        <w:bidi w:val="0"/>
        <w:spacing w:lineRule="auto" w:line="288" w:before="0" w:after="60"/>
        <w:jc w:val="left"/>
        <w:rPr>
          <w:rFonts w:ascii="Times New Roman;serif" w:hAnsi="Times New Roman;serif"/>
          <w:b w:val="false"/>
          <w:i/>
          <w:color w:val="000000"/>
          <w:sz w:val="16"/>
        </w:rPr>
      </w:pPr>
      <w:r>
        <w:rPr>
          <w:rFonts w:ascii="Times New Roman;serif" w:hAnsi="Times New Roman;serif"/>
          <w:b w:val="false"/>
          <w:i/>
          <w:color w:val="000000"/>
          <w:sz w:val="16"/>
        </w:rPr>
        <w:t xml:space="preserve">See Notes to Condensed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222885"/>
                <wp:effectExtent l="0" t="0" r="0" b="0"/>
                <wp:wrapNone/>
                <wp:docPr id="7" name="Frame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before="120" w:after="120"/>
        <w:jc w:val="both"/>
        <w:rPr/>
      </w:pPr>
      <w:r>
        <w:rPr/>
      </w:r>
    </w:p>
    <w:p>
      <w:pPr>
        <w:pStyle w:val="TextBody"/>
        <w:bidi w:val="0"/>
        <w:spacing w:before="120" w:after="120"/>
        <w:jc w:val="both"/>
        <w:rPr/>
      </w:pPr>
      <w:r>
        <w:rPr/>
      </w:r>
    </w:p>
    <w:p>
      <w:pPr>
        <w:pStyle w:val="TextBody"/>
        <w:bidi w:val="0"/>
        <w:spacing w:lineRule="auto" w:line="288" w:before="60" w:after="60"/>
        <w:jc w:val="center"/>
        <w:rPr>
          <w:rFonts w:ascii="Times New Roman;serif" w:hAnsi="Times New Roman;serif"/>
          <w:b/>
          <w:color w:val="000000"/>
          <w:sz w:val="20"/>
        </w:rPr>
      </w:pPr>
      <w:r>
        <w:rPr>
          <w:rFonts w:ascii="Times New Roman;serif" w:hAnsi="Times New Roman;serif"/>
          <w:b/>
          <w:color w:val="000000"/>
          <w:sz w:val="20"/>
        </w:rPr>
        <w:t>POWER SOLUTIONS INTERNATIONAL, INC.</w:t>
      </w:r>
    </w:p>
    <w:p>
      <w:pPr>
        <w:pStyle w:val="TextBody"/>
        <w:bidi w:val="0"/>
        <w:spacing w:lineRule="auto" w:line="288" w:before="60" w:after="6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CONDENSED CONSOLIDATED STATEMENTS OF CASH FLOWS</w:t>
      </w:r>
    </w:p>
    <w:p>
      <w:pPr>
        <w:pStyle w:val="TextBody"/>
        <w:bidi w:val="0"/>
        <w:spacing w:lineRule="auto" w:line="288" w:before="60" w:after="60"/>
        <w:jc w:val="center"/>
        <w:rPr>
          <w:rFonts w:ascii="Times New Roman;serif" w:hAnsi="Times New Roman;serif"/>
          <w:b/>
          <w:color w:val="000000"/>
          <w:sz w:val="20"/>
        </w:rPr>
      </w:pPr>
      <w:r>
        <w:rPr>
          <w:rFonts w:ascii="Times New Roman;serif" w:hAnsi="Times New Roman;serif"/>
          <w:b/>
          <w:color w:val="000000"/>
          <w:sz w:val="20"/>
        </w:rPr>
        <w:t>(UNAUDITED)</w:t>
      </w:r>
    </w:p>
    <w:tbl>
      <w:tblPr>
        <w:tblW w:w="9849" w:type="dxa"/>
        <w:jc w:val="center"/>
        <w:tblInd w:w="0" w:type="dxa"/>
        <w:tblLayout w:type="fixed"/>
        <w:tblCellMar>
          <w:top w:w="28" w:type="dxa"/>
          <w:left w:w="28" w:type="dxa"/>
          <w:bottom w:w="28" w:type="dxa"/>
          <w:right w:w="28" w:type="dxa"/>
        </w:tblCellMar>
      </w:tblPr>
      <w:tblGrid>
        <w:gridCol w:w="2275"/>
        <w:gridCol w:w="2005"/>
        <w:gridCol w:w="2020"/>
        <w:gridCol w:w="109"/>
        <w:gridCol w:w="109"/>
        <w:gridCol w:w="109"/>
        <w:gridCol w:w="278"/>
        <w:gridCol w:w="916"/>
        <w:gridCol w:w="154"/>
        <w:gridCol w:w="154"/>
        <w:gridCol w:w="154"/>
        <w:gridCol w:w="154"/>
        <w:gridCol w:w="278"/>
        <w:gridCol w:w="916"/>
        <w:gridCol w:w="218"/>
      </w:tblGrid>
      <w:tr>
        <w:trPr/>
        <w:tc>
          <w:tcPr>
            <w:tcW w:w="2275" w:type="dxa"/>
            <w:tcBorders/>
            <w:vAlign w:val="center"/>
          </w:tcPr>
          <w:p>
            <w:pPr>
              <w:pStyle w:val="TableContents"/>
              <w:bidi w:val="0"/>
              <w:spacing w:before="0" w:after="283"/>
              <w:jc w:val="left"/>
              <w:rPr>
                <w:sz w:val="4"/>
                <w:szCs w:val="4"/>
              </w:rPr>
            </w:pPr>
            <w:r>
              <w:rPr>
                <w:sz w:val="4"/>
                <w:szCs w:val="4"/>
              </w:rPr>
            </w:r>
          </w:p>
        </w:tc>
        <w:tc>
          <w:tcPr>
            <w:tcW w:w="2005" w:type="dxa"/>
            <w:tcBorders/>
            <w:vAlign w:val="center"/>
          </w:tcPr>
          <w:p>
            <w:pPr>
              <w:pStyle w:val="TableContents"/>
              <w:bidi w:val="0"/>
              <w:spacing w:before="0" w:after="283"/>
              <w:jc w:val="left"/>
              <w:rPr>
                <w:sz w:val="4"/>
                <w:szCs w:val="4"/>
              </w:rPr>
            </w:pPr>
            <w:r>
              <w:rPr>
                <w:sz w:val="4"/>
                <w:szCs w:val="4"/>
              </w:rPr>
            </w:r>
          </w:p>
        </w:tc>
        <w:tc>
          <w:tcPr>
            <w:tcW w:w="20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r>
      <w:tr>
        <w:trPr/>
        <w:tc>
          <w:tcPr>
            <w:tcW w:w="63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Three Months Ended March 31,</w:t>
            </w:r>
          </w:p>
        </w:tc>
      </w:tr>
      <w:tr>
        <w:trPr/>
        <w:tc>
          <w:tcPr>
            <w:tcW w:w="6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6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 xml:space="preserve">CASH FLOWS FROM OPERATING ACTIVITIES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19,082 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income to 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307 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975 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Noncash lease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1,684 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financing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r>
      <w:tr>
        <w:trPr/>
        <w:tc>
          <w:tcPr>
            <w:tcW w:w="6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r>
      <w:tr>
        <w:trPr/>
        <w:tc>
          <w:tcPr>
            <w:tcW w:w="6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r>
      <w:tr>
        <w:trPr/>
        <w:tc>
          <w:tcPr>
            <w:tcW w:w="6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r>
      <w:tr>
        <w:trPr/>
        <w:tc>
          <w:tcPr>
            <w:tcW w:w="6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(credit) for losses in accounts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Increase in allowance for inventory obsolescence,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r>
      <w:tr>
        <w:trPr/>
        <w:tc>
          <w:tcPr>
            <w:tcW w:w="6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adjustments,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operating assets and liabilities, net of effects of business combinations: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(12,619)</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(19,294)</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Contract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4,077 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r>
      <w:tr>
        <w:trPr/>
        <w:tc>
          <w:tcPr>
            <w:tcW w:w="6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1,571 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(4,316)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7,014 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taxes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986 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expenses and 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(10,434)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9,272 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(4,797)</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19,130 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8,811 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 xml:space="preserve">CASH FLOWS FROM INVESTING ACTIVITIES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 expenditures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(3,403)</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r>
      <w:tr>
        <w:trPr/>
        <w:tc>
          <w:tcPr>
            <w:tcW w:w="6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r>
      <w:tr>
        <w:trPr/>
        <w:tc>
          <w:tcPr>
            <w:tcW w:w="6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Business acquisition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(11,911)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r>
      <w:tr>
        <w:trPr/>
        <w:tc>
          <w:tcPr>
            <w:tcW w:w="6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r>
      <w:tr>
        <w:trPr/>
        <w:tc>
          <w:tcPr>
            <w:tcW w:w="6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cash used in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(13,801)</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(3,403)</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 xml:space="preserve">CASH FROM FINANCING ACTIVITIES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r>
      <w:tr>
        <w:trPr/>
        <w:tc>
          <w:tcPr>
            <w:tcW w:w="6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r>
      <w:tr>
        <w:trPr/>
        <w:tc>
          <w:tcPr>
            <w:tcW w:w="6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Repayment of long-term debt and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r>
      <w:tr>
        <w:trPr/>
        <w:tc>
          <w:tcPr>
            <w:tcW w:w="6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Repayment of short-term financings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(10,000)</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r>
      <w:tr>
        <w:trPr/>
        <w:tc>
          <w:tcPr>
            <w:tcW w:w="6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r>
      <w:tr>
        <w:trPr/>
        <w:tc>
          <w:tcPr>
            <w:tcW w:w="6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r>
      <w:tr>
        <w:trPr/>
        <w:tc>
          <w:tcPr>
            <w:tcW w:w="6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r>
      <w:tr>
        <w:trPr/>
        <w:tc>
          <w:tcPr>
            <w:tcW w:w="6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r>
      <w:tr>
        <w:trPr/>
        <w:tc>
          <w:tcPr>
            <w:tcW w:w="6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Repurchases to settle tax withholding obligations for stock-based compensation awards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financing activities,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cash used in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(10,240)</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increase (decrease) in cash, cash equivalents, and 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4,589 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(4,832)</w:t>
            </w:r>
          </w:p>
        </w:tc>
        <w:tc>
          <w:tcPr>
            <w:tcW w:w="2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cash equivalents, and restricted cash at beginning of the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44,948 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58,491 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cash equivalents, and restricted cash at end of the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49,537 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53,659 </w:t>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011" w:type="dxa"/>
        <w:jc w:val="center"/>
        <w:tblInd w:w="0" w:type="dxa"/>
        <w:tblLayout w:type="fixed"/>
        <w:tblCellMar>
          <w:top w:w="28" w:type="dxa"/>
          <w:left w:w="28" w:type="dxa"/>
          <w:bottom w:w="28" w:type="dxa"/>
          <w:right w:w="28" w:type="dxa"/>
        </w:tblCellMar>
      </w:tblPr>
      <w:tblGrid>
        <w:gridCol w:w="2678"/>
        <w:gridCol w:w="2357"/>
        <w:gridCol w:w="2375"/>
        <w:gridCol w:w="109"/>
        <w:gridCol w:w="109"/>
        <w:gridCol w:w="109"/>
        <w:gridCol w:w="196"/>
        <w:gridCol w:w="646"/>
        <w:gridCol w:w="109"/>
        <w:gridCol w:w="109"/>
        <w:gridCol w:w="109"/>
        <w:gridCol w:w="109"/>
        <w:gridCol w:w="196"/>
        <w:gridCol w:w="646"/>
        <w:gridCol w:w="154"/>
      </w:tblGrid>
      <w:tr>
        <w:trPr/>
        <w:tc>
          <w:tcPr>
            <w:tcW w:w="2678" w:type="dxa"/>
            <w:tcBorders/>
            <w:vAlign w:val="center"/>
          </w:tcPr>
          <w:p>
            <w:pPr>
              <w:pStyle w:val="TableContents"/>
              <w:bidi w:val="0"/>
              <w:spacing w:before="0" w:after="283"/>
              <w:jc w:val="left"/>
              <w:rPr>
                <w:sz w:val="4"/>
                <w:szCs w:val="4"/>
              </w:rPr>
            </w:pPr>
            <w:r>
              <w:rPr>
                <w:sz w:val="4"/>
                <w:szCs w:val="4"/>
              </w:rPr>
            </w:r>
          </w:p>
        </w:tc>
        <w:tc>
          <w:tcPr>
            <w:tcW w:w="2357" w:type="dxa"/>
            <w:tcBorders/>
            <w:vAlign w:val="center"/>
          </w:tcPr>
          <w:p>
            <w:pPr>
              <w:pStyle w:val="TableContents"/>
              <w:bidi w:val="0"/>
              <w:spacing w:before="0" w:after="283"/>
              <w:jc w:val="left"/>
              <w:rPr>
                <w:sz w:val="4"/>
                <w:szCs w:val="4"/>
              </w:rPr>
            </w:pPr>
            <w:r>
              <w:rPr>
                <w:sz w:val="4"/>
                <w:szCs w:val="4"/>
              </w:rPr>
            </w:r>
          </w:p>
        </w:tc>
        <w:tc>
          <w:tcPr>
            <w:tcW w:w="23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4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March 31,</w:t>
            </w:r>
          </w:p>
        </w:tc>
      </w:tr>
      <w:tr>
        <w:trPr/>
        <w:tc>
          <w:tcPr>
            <w:tcW w:w="7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7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Reconciliation of cash, cash equivalents, and restricted cash to the Consolidated Balance Sheets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45,089 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cash, cash equivalents, and 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49,537 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53,659 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i/>
          <w:color w:val="000000"/>
          <w:sz w:val="16"/>
        </w:rPr>
      </w:pPr>
      <w:r>
        <w:rPr>
          <w:rFonts w:ascii="Times New Roman;serif" w:hAnsi="Times New Roman;serif"/>
          <w:b w:val="false"/>
          <w:i/>
          <w:color w:val="000000"/>
          <w:sz w:val="16"/>
        </w:rPr>
        <w:t>See Notes to Condensed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222885"/>
                <wp:effectExtent l="0" t="0" r="0" b="0"/>
                <wp:wrapNone/>
                <wp:docPr id="8" name="Frame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before="120" w:after="120"/>
        <w:jc w:val="both"/>
        <w:rPr/>
      </w:pPr>
      <w:r>
        <w:rPr/>
      </w:r>
    </w:p>
    <w:p>
      <w:pPr>
        <w:pStyle w:val="TextBody"/>
        <w:bidi w:val="0"/>
        <w:spacing w:before="120" w:after="120"/>
        <w:jc w:val="both"/>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POWER SOLUTIONS INTERNATIONAL,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erif" w:hAnsi="Times New Roman;serif"/>
          <w:b/>
          <w:color w:val="000000"/>
          <w:sz w:val="20"/>
        </w:rPr>
      </w:pPr>
      <w:r>
        <w:rPr>
          <w:rFonts w:ascii="Times New Roman;serif" w:hAnsi="Times New Roman;serif"/>
          <w:b/>
          <w:color w:val="000000"/>
          <w:sz w:val="20"/>
        </w:rPr>
        <w:t xml:space="preserve">Note 1.    Summary of Significant Accounting Policies and Other Information </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Nature of Business Operations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Power Solutions International, Inc. (“Power Solutions,” “PSI” or the “Company”), a Delaware corporation, is a global producer and distributor of a broad range of high-performance, certified, low-emission power systems, including alternative-fueled power systems for original equipment manufacturers (“OEMs”) of off-highway industrial equipment and large custom-engineered integrated electrical power generation systems.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Company’s customers include large, industry-leading and multinational organizations. The Company’s products and services are sold predominantly to customers throughout North America as well as to customers located throughout the Pacific Rim and Europe. The Company’s power systems are highly engineered, comprehensive systems which, through the Company’s technologically sophisticated development and manufacturing processes, including its in-house design, prototyping, testing and engineering capabilities and its analysis and determination of the specific components to be integrated into a given power system (driven in large part by emission standards and cost considerations), allow the Company to provide its customers with power systems customized to meet specific OEM application requirements, other customers’ technical specifications and requirements imposed by environmental regulatory bodies.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power system configurations range from a basic engine integrated with appropriate fuel system components to completely packaged power systems that include any combination of cooling systems, electronic systems, air intake systems, fuel systems, housings, power takeoff systems, exhaust systems, hydraulic systems, enclosures, brackets, hoses, tubes and other assembled componentry. The Company also designs and manufactures large, custom-engineered integrated electrical power generation systems for both standby and prime power applications. The Company purchases engines from third-party suppliers and produces internally designed engines, all of which are then integrated into its power systems.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Of the other components that the Company integrates into its power systems, a substantial portion consist of internally designed components and components for which it coordinates significant design efforts with third-party suppliers, with the remainder consisting largely of parts that are sourced off-the-shelf from third-party suppliers. Some of the key components (including purchased engines) embody proprietary intellectual property of the Company’s suppliers. As a result of its design and manufacturing capabilities, the Company is able to provide its customers with a power system that can be incorporated into a customer’s specified application. In addition to the certified products described above, the Company sells diesel, gasoline and non-certified power systems and aftermarket components.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During the quarter, the Company acquired MTL Manufacturing &amp; Equipment, Inc. (“MTL”), which is engages in the welding, fabrication, painting, and assembly of steel components. The acquisition expands the Company’s manufacturing capabilities and vertical integration, and it is expected to support future growth and operational efficiencies.</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Stock Ownership and Control</w:t>
      </w:r>
    </w:p>
    <w:p>
      <w:pPr>
        <w:pStyle w:val="TextBody"/>
        <w:bidi w:val="0"/>
        <w:spacing w:lineRule="auto" w:line="288" w:before="120" w:after="120"/>
        <w:jc w:val="both"/>
        <w:rPr/>
      </w:pPr>
      <w:r>
        <w:rPr>
          <w:rFonts w:ascii="Times New Roman;serif" w:hAnsi="Times New Roman;serif"/>
          <w:b w:val="false"/>
          <w:color w:val="000000"/>
          <w:sz w:val="20"/>
        </w:rPr>
        <w:t xml:space="preserve">Weichai America Corp., a wholly-owned subsidiary of Weichai Power Co., Ltd. (HK2338, SZ000338) (herein collectively referred to as “Weichai”), </w:t>
      </w:r>
      <w:r>
        <w:rPr>
          <w:rFonts w:ascii="Times New Roman;serif" w:hAnsi="Times New Roman;serif"/>
          <w:b w:val="false"/>
          <w:color w:val="000000"/>
          <w:sz w:val="20"/>
          <w:shd w:fill="FFFFFF" w:val="clear"/>
        </w:rPr>
        <w:t xml:space="preserve">owns approximately 46.0% of the outstanding shares of the Company’s Common Stock as of March 31, 2026. </w:t>
      </w:r>
      <w:r>
        <w:rPr>
          <w:rFonts w:ascii="Times New Roman;serif" w:hAnsi="Times New Roman;serif"/>
          <w:b w:val="false"/>
          <w:color w:val="000000"/>
          <w:sz w:val="20"/>
        </w:rPr>
        <w:t xml:space="preserve">Weichai has entered into an Investor Rights Agreement (the “Rights Agreement”) with the Company. The Rights Agreement provides Weichai with representation on the Company’s Board of Directors (the “Board”) and management representation rights. Weichai currently has four representatives on the Board, which constitutes the majority of the directors serving on the Board. In addition, the Company and Weichai have entered into a Shareholders Agreement with the Company’s founders (the “Founders”), </w:t>
      </w:r>
      <w:r>
        <w:rPr>
          <w:rFonts w:ascii="Times New Roman;serif" w:hAnsi="Times New Roman;serif"/>
          <w:b w:val="false"/>
          <w:color w:val="000000"/>
          <w:sz w:val="20"/>
          <w:shd w:fill="FFFFFF" w:val="clear"/>
        </w:rPr>
        <w:t xml:space="preserve">pursuant to which the Founders have agreed to vote in favor of Weichai’s designees to the Board and for certain other matters. The Founders currently own between 5% - 10% of the Company’s Common Stock as of March 31, 2026. As a result, Weichai is able to exercise control over </w:t>
      </w:r>
      <w:r>
        <w:rPr>
          <w:rFonts w:ascii="Times New Roman;serif" w:hAnsi="Times New Roman;serif"/>
          <w:b w:val="false"/>
          <w:color w:val="000000"/>
          <w:sz w:val="20"/>
        </w:rPr>
        <w:t>matters requiring stockholders’ approval, including the election of directors, amendment of the Company’s Certificate of Incorporation (the “Charter”) and approval of significant corporate transactions. This control could have the effect of delaying or preventing a change of control of the Company or changes in management and will make the approval of certain transactions impractical without the support of Weichai.</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According to the Rights Agreement, during any period when the Company is a “controlled company” within the meaning of the Nasdaq Listing Rules, it will take such measures as to avail itself of the “controlled company” exemptions available under Rule 5615 of the Nasdaq Listing Rules from Rules 5605(b), (d) and (e) to the extent applicable.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222885"/>
                <wp:effectExtent l="0" t="0" r="0" b="0"/>
                <wp:wrapNone/>
                <wp:docPr id="9" name="Frame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before="120" w:after="120"/>
        <w:jc w:val="both"/>
        <w:rPr/>
      </w:pPr>
      <w:r>
        <w:rPr/>
      </w:r>
    </w:p>
    <w:p>
      <w:pPr>
        <w:pStyle w:val="TextBody"/>
        <w:bidi w:val="0"/>
        <w:spacing w:before="120" w:after="120"/>
        <w:jc w:val="both"/>
        <w:rPr/>
      </w:pPr>
      <w:r>
        <w:rPr/>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Basis of Presentation and Consolidation</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 is filing this Form 10-Q for the quarterly period ended March 31, 2026, which contains unaudited consolidated financial statements as of March 31, 2026 and for the three months ended March 31, 2026 and 2025.</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consolidated financial statements include the accounts of Power Solutions International, Inc. and its wholly-owned subsidiaries and majority-owned subsidiaries in which the Company exercises control. The consolidated financial statements were prepared in accordance with generally accepted accounting principles in the United States (“U.S. GAAP”) and rules and regulations of the SEC for interim financial reporting. All intercompany balances and transactions have been eliminated in consolidation.</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Certain information and note disclosures normally included in the Company’s annual financial statements prepared in accordance with U.S. GAAP have been condensed or omitted. The accompanying unaudited Consolidated Financial Statements have been prepared in accordance with the instructions to Form 10-Q and include all of the information and disclosures required by U.S GAAP for interim financial reporting. These unaudited Consolidated Financial Statements should be read in conjunction with the Consolidated Financial Statements of the Company and related footnotes for the year ended December 31, 2025, included in the 2025 Annual Report on Form 10-K, filed with the SEC on March 2, 2026 (the “2025 Annual Report”). There have been no material changes in the Company’s significant accounting policies as compared to the significant accounting policies described in the Company’s 2025 Annual Report. The accompanying interim financial information is unaudited; however, the Company believes the financial information reflects all adjustments (consisting of items of a normal recurring nature) necessary for a fair presentation of its financial position, results of operations and cash flows in conformity with U.S. GAAP. Operating results for interim periods are not necessarily indicative of annual operating results.</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Segments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 operates as one business and geographic operating segment. Operating segments are defined as components of a business that can earn revenues and incur expenses for which discrete financial information is available that is evaluated on a regular basis by the chief operating decision maker (“CODM”). The Company’s CODM is its principal executive officer, who decides how to allocate resources and assess performance. A single management team reports to the CODM, who manages the entire business. The Company’s CODM reviews consolidated statements of income to make decisions, allocate resources and assess performance, and the CODM does not evaluate the profit or loss from any separate geography or product line.</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Concentrations</w:t>
      </w:r>
    </w:p>
    <w:p>
      <w:pPr>
        <w:pStyle w:val="TextBody"/>
        <w:bidi w:val="0"/>
        <w:spacing w:lineRule="auto" w:line="288" w:before="120" w:after="1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following table presents customers individually accounting for more than 10% of the Company’s net sales:</w:t>
      </w:r>
    </w:p>
    <w:tbl>
      <w:tblPr>
        <w:tblW w:w="4955" w:type="dxa"/>
        <w:jc w:val="left"/>
        <w:tblInd w:w="0" w:type="dxa"/>
        <w:tblLayout w:type="fixed"/>
        <w:tblCellMar>
          <w:top w:w="28" w:type="dxa"/>
          <w:left w:w="28" w:type="dxa"/>
          <w:bottom w:w="28" w:type="dxa"/>
          <w:right w:w="28" w:type="dxa"/>
        </w:tblCellMar>
      </w:tblPr>
      <w:tblGrid>
        <w:gridCol w:w="353"/>
        <w:gridCol w:w="310"/>
        <w:gridCol w:w="311"/>
        <w:gridCol w:w="109"/>
        <w:gridCol w:w="109"/>
        <w:gridCol w:w="109"/>
        <w:gridCol w:w="271"/>
        <w:gridCol w:w="271"/>
        <w:gridCol w:w="638"/>
        <w:gridCol w:w="271"/>
        <w:gridCol w:w="271"/>
        <w:gridCol w:w="271"/>
        <w:gridCol w:w="271"/>
        <w:gridCol w:w="271"/>
        <w:gridCol w:w="638"/>
        <w:gridCol w:w="109"/>
        <w:gridCol w:w="109"/>
        <w:gridCol w:w="109"/>
        <w:gridCol w:w="154"/>
      </w:tblGrid>
      <w:tr>
        <w:trPr/>
        <w:tc>
          <w:tcPr>
            <w:tcW w:w="353"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3"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9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8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813"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Customer 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6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6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Customer 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6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6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813"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Customer 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6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813"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813"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813"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customers individually accounting for more than 10% of the Company’s trade accounts receivable:</w:t>
      </w:r>
    </w:p>
    <w:tbl>
      <w:tblPr>
        <w:tblW w:w="5422" w:type="dxa"/>
        <w:jc w:val="left"/>
        <w:tblInd w:w="0" w:type="dxa"/>
        <w:tblLayout w:type="fixed"/>
        <w:tblCellMar>
          <w:top w:w="28" w:type="dxa"/>
          <w:left w:w="28" w:type="dxa"/>
          <w:bottom w:w="28" w:type="dxa"/>
          <w:right w:w="28" w:type="dxa"/>
        </w:tblCellMar>
      </w:tblPr>
      <w:tblGrid>
        <w:gridCol w:w="359"/>
        <w:gridCol w:w="315"/>
        <w:gridCol w:w="316"/>
        <w:gridCol w:w="109"/>
        <w:gridCol w:w="109"/>
        <w:gridCol w:w="109"/>
        <w:gridCol w:w="398"/>
        <w:gridCol w:w="398"/>
        <w:gridCol w:w="943"/>
        <w:gridCol w:w="109"/>
        <w:gridCol w:w="109"/>
        <w:gridCol w:w="109"/>
        <w:gridCol w:w="427"/>
        <w:gridCol w:w="427"/>
        <w:gridCol w:w="1185"/>
      </w:tblGrid>
      <w:tr>
        <w:trPr/>
        <w:tc>
          <w:tcPr>
            <w:tcW w:w="35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r>
      <w:tr>
        <w:trPr/>
        <w:tc>
          <w:tcPr>
            <w:tcW w:w="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December 31, 2025</w:t>
            </w:r>
          </w:p>
        </w:tc>
      </w:tr>
      <w:tr>
        <w:trPr/>
        <w:tc>
          <w:tcPr>
            <w:tcW w:w="9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39" w:type="dxa"/>
            <w:gridSpan w:val="3"/>
            <w:tcBorders/>
            <w:vAlign w:val="center"/>
          </w:tcPr>
          <w:p>
            <w:pPr>
              <w:pStyle w:val="TableContents"/>
              <w:bidi w:val="0"/>
              <w:spacing w:before="0" w:after="283"/>
              <w:jc w:val="left"/>
              <w:rPr>
                <w:sz w:val="4"/>
                <w:szCs w:val="4"/>
              </w:rPr>
            </w:pPr>
            <w:r>
              <w:rPr>
                <w:sz w:val="4"/>
                <w:szCs w:val="4"/>
              </w:rPr>
            </w:r>
          </w:p>
        </w:tc>
      </w:tr>
      <w:tr>
        <w:trPr/>
        <w:tc>
          <w:tcPr>
            <w:tcW w:w="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Customer 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9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11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Customer 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9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1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9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39" w:type="dxa"/>
            <w:gridSpan w:val="3"/>
            <w:tcBorders/>
            <w:vAlign w:val="center"/>
          </w:tcPr>
          <w:p>
            <w:pPr>
              <w:pStyle w:val="TableContents"/>
              <w:bidi w:val="0"/>
              <w:spacing w:before="0" w:after="283"/>
              <w:jc w:val="left"/>
              <w:rPr>
                <w:sz w:val="4"/>
                <w:szCs w:val="4"/>
              </w:rPr>
            </w:pPr>
            <w:r>
              <w:rPr>
                <w:sz w:val="4"/>
                <w:szCs w:val="4"/>
              </w:rPr>
            </w:r>
          </w:p>
        </w:tc>
      </w:tr>
      <w:tr>
        <w:trPr/>
        <w:tc>
          <w:tcPr>
            <w:tcW w:w="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Customer 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1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9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39" w:type="dxa"/>
            <w:gridSpan w:val="3"/>
            <w:tcBorders/>
            <w:vAlign w:val="center"/>
          </w:tcPr>
          <w:p>
            <w:pPr>
              <w:pStyle w:val="TableContents"/>
              <w:bidi w:val="0"/>
              <w:spacing w:before="0" w:after="283"/>
              <w:jc w:val="left"/>
              <w:rPr>
                <w:sz w:val="4"/>
                <w:szCs w:val="4"/>
              </w:rPr>
            </w:pPr>
            <w:r>
              <w:rPr>
                <w:sz w:val="4"/>
                <w:szCs w:val="4"/>
              </w:rPr>
            </w:r>
          </w:p>
        </w:tc>
      </w:tr>
      <w:tr>
        <w:trPr/>
        <w:tc>
          <w:tcPr>
            <w:tcW w:w="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Customer 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9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1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120" w:after="1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following table presents suppliers individually accounting for more than 10% of the Company’s purchases:</w:t>
      </w:r>
    </w:p>
    <w:tbl>
      <w:tblPr>
        <w:tblW w:w="4881" w:type="dxa"/>
        <w:jc w:val="left"/>
        <w:tblInd w:w="0" w:type="dxa"/>
        <w:tblLayout w:type="fixed"/>
        <w:tblCellMar>
          <w:top w:w="28" w:type="dxa"/>
          <w:left w:w="28" w:type="dxa"/>
          <w:bottom w:w="28" w:type="dxa"/>
          <w:right w:w="28" w:type="dxa"/>
        </w:tblCellMar>
      </w:tblPr>
      <w:tblGrid>
        <w:gridCol w:w="326"/>
        <w:gridCol w:w="286"/>
        <w:gridCol w:w="288"/>
        <w:gridCol w:w="109"/>
        <w:gridCol w:w="109"/>
        <w:gridCol w:w="109"/>
        <w:gridCol w:w="271"/>
        <w:gridCol w:w="271"/>
        <w:gridCol w:w="638"/>
        <w:gridCol w:w="271"/>
        <w:gridCol w:w="271"/>
        <w:gridCol w:w="271"/>
        <w:gridCol w:w="271"/>
        <w:gridCol w:w="271"/>
        <w:gridCol w:w="638"/>
        <w:gridCol w:w="109"/>
        <w:gridCol w:w="109"/>
        <w:gridCol w:w="109"/>
        <w:gridCol w:w="154"/>
      </w:tblGrid>
      <w:tr>
        <w:trPr/>
        <w:tc>
          <w:tcPr>
            <w:tcW w:w="32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3"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9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81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Supplier 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6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6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813"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813"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813"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720"/>
        <w:jc w:val="both"/>
        <w:rPr>
          <w:rFonts w:ascii="Times New Roman;serif" w:hAnsi="Times New Roman;serif"/>
          <w:b w:val="false"/>
          <w:color w:val="000000"/>
          <w:sz w:val="16"/>
        </w:rPr>
      </w:pPr>
      <w:r>
        <w:rPr>
          <w:rFonts w:ascii="Times New Roman;serif" w:hAnsi="Times New Roman;serif"/>
          <w:b w:val="false"/>
          <w:color w:val="000000"/>
          <w:sz w:val="16"/>
        </w:rPr>
        <w:t>**Less than 10% of the total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222885"/>
                <wp:effectExtent l="0" t="0" r="0" b="0"/>
                <wp:wrapNone/>
                <wp:docPr id="10" name="Frame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before="120" w:after="120"/>
        <w:jc w:val="both"/>
        <w:rPr/>
      </w:pPr>
      <w:r>
        <w:rPr/>
      </w:r>
    </w:p>
    <w:p>
      <w:pPr>
        <w:pStyle w:val="TextBody"/>
        <w:bidi w:val="0"/>
        <w:spacing w:before="120" w:after="120"/>
        <w:jc w:val="both"/>
        <w:rPr/>
      </w:pPr>
      <w:r>
        <w:rPr/>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Use of Estimates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preparation of consolidated financial statements in conformity with U.S. GAAP requires that management make estimates and assumptions that affect the reported amounts of assets and liabilities and disclosure of contingent assets and liabilities at the date of the consolidated financial statements and the reported amounts of revenue and expenses during the reporting period. Significant estimates and assumptions include the valuation of allowances for uncollectible receivables, inventory reserves, warranty reserves, stock-based compensation, evaluation of goodwill, other intangibles, property, plant and equipment for impairment, income tax valuation allowances and determination of useful lives of long-lived assets. Actual results could materially differ from those estimates.</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Restricted Cash</w:t>
      </w:r>
    </w:p>
    <w:p>
      <w:pPr>
        <w:pStyle w:val="TextBody"/>
        <w:bidi w:val="0"/>
        <w:spacing w:lineRule="auto" w:line="288" w:before="120" w:after="120"/>
        <w:jc w:val="both"/>
        <w:rPr/>
      </w:pPr>
      <w:r>
        <w:rPr>
          <w:rFonts w:ascii="Times New Roman;serif" w:hAnsi="Times New Roman;serif"/>
          <w:b w:val="false"/>
          <w:color w:val="000000"/>
          <w:sz w:val="20"/>
        </w:rPr>
        <w:t xml:space="preserve">Restricted cash consists of funds that are contractually restricted as to usage or withdrawal due to required minimum levels of cash collateral for letters of credits and contractual agreements with customers. As of </w:t>
      </w:r>
      <w:r>
        <w:rPr>
          <w:rFonts w:ascii="Times New Roman;serif" w:hAnsi="Times New Roman;serif"/>
          <w:b w:val="false"/>
          <w:color w:val="000000"/>
          <w:sz w:val="20"/>
          <w:shd w:fill="FFFFFF" w:val="clear"/>
        </w:rPr>
        <w:t xml:space="preserve">March 31, 2026 and </w:t>
      </w:r>
      <w:r>
        <w:rPr>
          <w:rFonts w:ascii="Times New Roman;serif" w:hAnsi="Times New Roman;serif"/>
          <w:b w:val="false"/>
          <w:color w:val="000000"/>
          <w:sz w:val="20"/>
        </w:rPr>
        <w:t xml:space="preserve">December 31, 2025, </w:t>
      </w:r>
      <w:r>
        <w:rPr>
          <w:rFonts w:ascii="Times New Roman;serif" w:hAnsi="Times New Roman;serif"/>
          <w:b w:val="false"/>
          <w:color w:val="000000"/>
          <w:sz w:val="20"/>
          <w:shd w:fill="FFFFFF" w:val="clear"/>
        </w:rPr>
        <w:t xml:space="preserve">the Company had restricted cash of </w:t>
      </w:r>
      <w:r>
        <w:rPr>
          <w:rFonts w:ascii="Times New Roman;serif" w:hAnsi="Times New Roman;serif"/>
          <w:b w:val="false"/>
          <w:color w:val="000000"/>
          <w:sz w:val="20"/>
        </w:rPr>
        <w:t>$4.4 million</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$3.7 million</w:t>
      </w:r>
      <w:r>
        <w:rPr>
          <w:rFonts w:ascii="Times New Roman;serif" w:hAnsi="Times New Roman;serif"/>
          <w:b w:val="false"/>
          <w:color w:val="000000"/>
          <w:sz w:val="20"/>
          <w:shd w:fill="FFFFFF" w:val="clear"/>
        </w:rPr>
        <w:t xml:space="preserve">, respectively, which includes $1.4 million restricted cash held in escrow which could be required to be refunded to the customer if conditions occur as defined in the agreement with the customer. The Company has not recognized revenue associated with the restricted cash. The liability is included within </w:t>
      </w:r>
      <w:r>
        <w:rPr>
          <w:rFonts w:ascii="Times New Roman;serif" w:hAnsi="Times New Roman;serif"/>
          <w:b w:val="false"/>
          <w:i/>
          <w:color w:val="000000"/>
          <w:sz w:val="20"/>
          <w:shd w:fill="FFFFFF" w:val="clear"/>
        </w:rPr>
        <w:t>Noncurrent Contract Liabilities</w:t>
      </w:r>
      <w:r>
        <w:rPr>
          <w:color w:val="000000"/>
          <w:shd w:fill="FFFFFF" w:val="clear"/>
        </w:rPr>
        <w:t xml:space="preserve"> </w:t>
      </w:r>
      <w:r>
        <w:rPr>
          <w:rFonts w:ascii="Times New Roman;serif" w:hAnsi="Times New Roman;serif"/>
          <w:b w:val="false"/>
          <w:color w:val="000000"/>
          <w:sz w:val="20"/>
          <w:shd w:fill="FFFFFF" w:val="clear"/>
        </w:rPr>
        <w:t>on the Consolidated Balance Sheet.</w:t>
      </w:r>
    </w:p>
    <w:p>
      <w:pPr>
        <w:pStyle w:val="TextBody"/>
        <w:bidi w:val="0"/>
        <w:spacing w:lineRule="auto" w:line="288" w:before="120" w:after="12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Inventories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inventories consist primarily of engines and parts. Engines are valued at the lower of cost, including estimated freight-in or net realizable value. Parts are valued at the lower of cost or net realizable value, except for integral parts provided by customers for installation on custom ordered engines. Such parts are accounted for as noncash consideration which is valued at fair value. Net realizable value approximates replacement cost. Cost is principally determined using the first-in, first-out method and includes material, labor and manufacturing overhead. It is the Company’s policy to review inventories on a continuing basis for obsolete, excess and slow-moving items and to record valuation adjustments for such items in order to eliminate non-recoverable costs from inventory. Valuation adjustments are recorded in an inventory reserve account and reduce the cost basis of the inventory in the period in which the reduced valuation is determined. Inventory reserves are established based on quantities on hand, usage and sales history, customer orders, projected demand and utilization within a current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222885"/>
                <wp:effectExtent l="0" t="0" r="0" b="0"/>
                <wp:wrapNone/>
                <wp:docPr id="11" name="Frame1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before="120" w:after="120"/>
        <w:jc w:val="both"/>
        <w:rPr/>
      </w:pPr>
      <w:r>
        <w:rPr/>
      </w:r>
    </w:p>
    <w:p>
      <w:pPr>
        <w:pStyle w:val="TextBody"/>
        <w:bidi w:val="0"/>
        <w:spacing w:before="120" w:after="12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future power system. Specific analysis of individual items or groups of items is performed based on these same criteria, as well as on changes in market conditions or any other identified conditions.</w:t>
      </w:r>
    </w:p>
    <w:p>
      <w:pPr>
        <w:pStyle w:val="TextBody"/>
        <w:bidi w:val="0"/>
        <w:spacing w:lineRule="auto" w:line="288" w:before="120" w:after="1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Inventories consist of the following:</w:t>
      </w:r>
    </w:p>
    <w:tbl>
      <w:tblPr>
        <w:tblW w:w="5993" w:type="dxa"/>
        <w:jc w:val="left"/>
        <w:tblInd w:w="0" w:type="dxa"/>
        <w:tblLayout w:type="fixed"/>
        <w:tblCellMar>
          <w:top w:w="28" w:type="dxa"/>
          <w:left w:w="28" w:type="dxa"/>
          <w:bottom w:w="28" w:type="dxa"/>
          <w:right w:w="28" w:type="dxa"/>
        </w:tblCellMar>
      </w:tblPr>
      <w:tblGrid>
        <w:gridCol w:w="566"/>
        <w:gridCol w:w="496"/>
        <w:gridCol w:w="498"/>
        <w:gridCol w:w="109"/>
        <w:gridCol w:w="109"/>
        <w:gridCol w:w="109"/>
        <w:gridCol w:w="327"/>
        <w:gridCol w:w="1230"/>
        <w:gridCol w:w="182"/>
        <w:gridCol w:w="109"/>
        <w:gridCol w:w="109"/>
        <w:gridCol w:w="109"/>
        <w:gridCol w:w="368"/>
        <w:gridCol w:w="1383"/>
        <w:gridCol w:w="289"/>
      </w:tblGrid>
      <w:tr>
        <w:trPr/>
        <w:tc>
          <w:tcPr>
            <w:tcW w:w="56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230"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383"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r>
      <w:tr>
        <w:trPr/>
        <w:tc>
          <w:tcPr>
            <w:tcW w:w="156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(in thousands)</w:t>
            </w:r>
          </w:p>
          <w:p>
            <w:pPr>
              <w:pStyle w:val="TableContents"/>
              <w:bidi w:val="0"/>
              <w:spacing w:before="0" w:after="0"/>
              <w:jc w:val="left"/>
              <w:rPr/>
            </w:pPr>
            <w:r>
              <w:rPr/>
            </w:r>
          </w:p>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Inventories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December 31, 2025</w:t>
            </w:r>
          </w:p>
        </w:tc>
      </w:tr>
      <w:tr>
        <w:trPr/>
        <w:tc>
          <w:tcPr>
            <w:tcW w:w="15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Raw materials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108,983 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105,225 </w:t>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Work in process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3,665 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5,103 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Finished goods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25,253 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25,288 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inventories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137,901 </w:t>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135,616 </w:t>
            </w:r>
          </w:p>
        </w:tc>
        <w:tc>
          <w:tcPr>
            <w:tcW w:w="2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Inventory allowance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(8,658)</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(8,253)</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Inventories,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129,243 </w:t>
            </w:r>
          </w:p>
        </w:tc>
        <w:tc>
          <w:tcPr>
            <w:tcW w:w="1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127,363 </w:t>
            </w:r>
          </w:p>
        </w:tc>
        <w:tc>
          <w:tcPr>
            <w:tcW w:w="2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Activity in the Company’s inventory allowance was as follows:</w:t>
      </w:r>
    </w:p>
    <w:tbl>
      <w:tblPr>
        <w:tblW w:w="6006" w:type="dxa"/>
        <w:jc w:val="left"/>
        <w:tblInd w:w="0" w:type="dxa"/>
        <w:tblLayout w:type="fixed"/>
        <w:tblCellMar>
          <w:top w:w="28" w:type="dxa"/>
          <w:left w:w="28" w:type="dxa"/>
          <w:bottom w:w="28" w:type="dxa"/>
          <w:right w:w="28" w:type="dxa"/>
        </w:tblCellMar>
      </w:tblPr>
      <w:tblGrid>
        <w:gridCol w:w="890"/>
        <w:gridCol w:w="784"/>
        <w:gridCol w:w="786"/>
        <w:gridCol w:w="109"/>
        <w:gridCol w:w="109"/>
        <w:gridCol w:w="109"/>
        <w:gridCol w:w="301"/>
        <w:gridCol w:w="856"/>
        <w:gridCol w:w="167"/>
        <w:gridCol w:w="167"/>
        <w:gridCol w:w="167"/>
        <w:gridCol w:w="167"/>
        <w:gridCol w:w="301"/>
        <w:gridCol w:w="856"/>
        <w:gridCol w:w="237"/>
      </w:tblGrid>
      <w:tr>
        <w:trPr/>
        <w:tc>
          <w:tcPr>
            <w:tcW w:w="890"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24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Three Months Ended March 31,</w:t>
            </w:r>
          </w:p>
        </w:tc>
      </w:tr>
      <w:tr>
        <w:trPr/>
        <w:tc>
          <w:tcPr>
            <w:tcW w:w="24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Inventory Allowance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5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24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at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8,253 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8,135 </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Charged to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527 </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237 </w:t>
            </w:r>
          </w:p>
        </w:tc>
        <w:tc>
          <w:tcPr>
            <w:tcW w:w="2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Write-offs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at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8,658 </w:t>
            </w:r>
          </w:p>
        </w:tc>
        <w:tc>
          <w:tcPr>
            <w:tcW w:w="16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8,341 </w:t>
            </w:r>
          </w:p>
        </w:tc>
        <w:tc>
          <w:tcPr>
            <w:tcW w:w="23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pPr>
      <w:r>
        <w:rPr>
          <w:rFonts w:ascii="Times New Roman;serif" w:hAnsi="Times New Roman;serif"/>
          <w:b w:val="false"/>
          <w:color w:val="000000"/>
          <w:sz w:val="20"/>
        </w:rPr>
        <w:t xml:space="preserve">As of </w:t>
      </w:r>
      <w:r>
        <w:rPr>
          <w:rFonts w:ascii="Times New Roman;serif" w:hAnsi="Times New Roman;serif"/>
          <w:b w:val="false"/>
          <w:color w:val="000000"/>
          <w:sz w:val="20"/>
          <w:shd w:fill="FFFFFF" w:val="clear"/>
        </w:rPr>
        <w:t xml:space="preserve">March 31, 2026 and </w:t>
      </w:r>
      <w:r>
        <w:rPr>
          <w:rFonts w:ascii="Times New Roman;serif" w:hAnsi="Times New Roman;serif"/>
          <w:b w:val="false"/>
          <w:color w:val="000000"/>
          <w:sz w:val="20"/>
        </w:rPr>
        <w:t>December 31, 2025</w:t>
      </w:r>
      <w:r>
        <w:rPr>
          <w:rFonts w:ascii="Times New Roman;serif" w:hAnsi="Times New Roman;serif"/>
          <w:b w:val="false"/>
          <w:color w:val="000000"/>
          <w:sz w:val="20"/>
          <w:shd w:fill="FFFFFF" w:val="clear"/>
        </w:rPr>
        <w:t>,</w:t>
      </w:r>
      <w:r>
        <w:rPr>
          <w:color w:val="000000"/>
        </w:rPr>
        <w:t xml:space="preserve"> </w:t>
      </w:r>
      <w:r>
        <w:rPr>
          <w:rFonts w:ascii="Times New Roman;serif" w:hAnsi="Times New Roman;serif"/>
          <w:b w:val="false"/>
          <w:color w:val="000000"/>
          <w:sz w:val="20"/>
        </w:rPr>
        <w:t xml:space="preserve">the Company’s inventory included </w:t>
      </w:r>
      <w:r>
        <w:rPr>
          <w:rFonts w:ascii="Times New Roman;serif" w:hAnsi="Times New Roman;serif"/>
          <w:b w:val="false"/>
          <w:color w:val="000000"/>
          <w:sz w:val="20"/>
          <w:shd w:fill="FFFFFF" w:val="clear"/>
        </w:rPr>
        <w:t>$0.1 million</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color w:val="000000"/>
          <w:sz w:val="20"/>
          <w:shd w:fill="FFFFFF" w:val="clear"/>
        </w:rPr>
        <w:t>$0.2 million, respectively,</w:t>
      </w:r>
      <w:r>
        <w:rPr>
          <w:color w:val="000000"/>
        </w:rPr>
        <w:t xml:space="preserve"> </w:t>
      </w:r>
      <w:r>
        <w:rPr>
          <w:rFonts w:ascii="Times New Roman;serif" w:hAnsi="Times New Roman;serif"/>
          <w:b w:val="false"/>
          <w:color w:val="000000"/>
          <w:sz w:val="20"/>
        </w:rPr>
        <w:t xml:space="preserve">of raw materials provided by its customers for installation in the fulfillment of its performance obligations to these customers and recorded an associated contract liability. See </w:t>
      </w:r>
      <w:r>
        <w:rPr>
          <w:rFonts w:ascii="Times New Roman;serif" w:hAnsi="Times New Roman;serif"/>
          <w:b w:val="false"/>
          <w:color w:val="000000"/>
          <w:sz w:val="20"/>
          <w:shd w:fill="FFFFFF" w:val="clear"/>
        </w:rPr>
        <w:t>Note 3.</w:t>
      </w:r>
      <w:r>
        <w:rPr>
          <w:color w:val="000000"/>
        </w:rPr>
        <w:t xml:space="preserve"> </w:t>
      </w:r>
      <w:r>
        <w:rPr>
          <w:rFonts w:ascii="Times New Roman;serif" w:hAnsi="Times New Roman;serif"/>
          <w:b w:val="false"/>
          <w:i/>
          <w:color w:val="000000"/>
          <w:sz w:val="20"/>
          <w:shd w:fill="FFFFFF" w:val="clear"/>
        </w:rPr>
        <w:t>Revenue</w:t>
      </w:r>
      <w:r>
        <w:rPr>
          <w:color w:val="000000"/>
        </w:rPr>
        <w:t xml:space="preserve"> </w:t>
      </w:r>
      <w:r>
        <w:rPr>
          <w:rFonts w:ascii="Times New Roman;serif" w:hAnsi="Times New Roman;serif"/>
          <w:b w:val="false"/>
          <w:color w:val="000000"/>
          <w:sz w:val="20"/>
        </w:rPr>
        <w:t>for further information regarding contract assets and contract liabilities.</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Other Accrued Liabilities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Other accrued liabilities consisted of the following:</w:t>
      </w:r>
    </w:p>
    <w:tbl>
      <w:tblPr>
        <w:tblW w:w="7072" w:type="dxa"/>
        <w:jc w:val="left"/>
        <w:tblInd w:w="0" w:type="dxa"/>
        <w:tblLayout w:type="fixed"/>
        <w:tblCellMar>
          <w:top w:w="28" w:type="dxa"/>
          <w:left w:w="28" w:type="dxa"/>
          <w:bottom w:w="28" w:type="dxa"/>
          <w:right w:w="28" w:type="dxa"/>
        </w:tblCellMar>
      </w:tblPr>
      <w:tblGrid>
        <w:gridCol w:w="955"/>
        <w:gridCol w:w="839"/>
        <w:gridCol w:w="846"/>
        <w:gridCol w:w="109"/>
        <w:gridCol w:w="109"/>
        <w:gridCol w:w="109"/>
        <w:gridCol w:w="358"/>
        <w:gridCol w:w="1182"/>
        <w:gridCol w:w="199"/>
        <w:gridCol w:w="109"/>
        <w:gridCol w:w="109"/>
        <w:gridCol w:w="109"/>
        <w:gridCol w:w="401"/>
        <w:gridCol w:w="1323"/>
        <w:gridCol w:w="315"/>
      </w:tblGrid>
      <w:tr>
        <w:trPr/>
        <w:tc>
          <w:tcPr>
            <w:tcW w:w="955"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(in thousands)</w:t>
            </w:r>
          </w:p>
          <w:p>
            <w:pPr>
              <w:pStyle w:val="TableContents"/>
              <w:bidi w:val="0"/>
              <w:spacing w:before="0" w:after="0"/>
              <w:jc w:val="left"/>
              <w:rPr/>
            </w:pPr>
            <w:r>
              <w:rPr/>
            </w:r>
          </w:p>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Other Accrued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December 31, 2025</w:t>
            </w:r>
          </w:p>
        </w:tc>
      </w:tr>
      <w:tr>
        <w:trPr/>
        <w:tc>
          <w:tcPr>
            <w:tcW w:w="26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product warranty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6,319 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6,634 </w:t>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Accrued litigation </w:t>
            </w:r>
            <w:r>
              <w:rPr>
                <w:rFonts w:ascii="Times New Roman;serif" w:hAnsi="Times New Roman;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1,547 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1,400 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Contract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2,597 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3,486 </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compensation and benefits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9,171 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19,565 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39" w:type="dxa"/>
            <w:gridSpan w:val="3"/>
            <w:tcBorders/>
            <w:vAlign w:val="center"/>
          </w:tcPr>
          <w:p>
            <w:pPr>
              <w:pStyle w:val="TableContents"/>
              <w:bidi w:val="0"/>
              <w:spacing w:before="0" w:after="283"/>
              <w:jc w:val="left"/>
              <w:rPr>
                <w:sz w:val="4"/>
                <w:szCs w:val="4"/>
              </w:rPr>
            </w:pPr>
            <w:r>
              <w:rPr>
                <w:sz w:val="4"/>
                <w:szCs w:val="4"/>
              </w:rPr>
            </w:r>
          </w:p>
        </w:tc>
      </w:tr>
      <w:tr>
        <w:trPr/>
        <w:tc>
          <w:tcPr>
            <w:tcW w:w="26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39" w:type="dxa"/>
            <w:gridSpan w:val="3"/>
            <w:tcBorders/>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268 </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39" w:type="dxa"/>
            <w:gridSpan w:val="3"/>
            <w:tcBorders/>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Stock appreciation rights liability </w:t>
            </w:r>
            <w:r>
              <w:rPr>
                <w:rFonts w:ascii="Times New Roman;serif" w:hAnsi="Times New Roman;serif"/>
                <w:b w:val="false"/>
                <w:color w:val="000000"/>
                <w:sz w:val="12"/>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1,554 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1,070 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Non-interest bearing note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753 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740 </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Customs accrual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1,965 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1,248 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Taxes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730 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257 </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3,420 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2,685 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28,310 </w:t>
            </w:r>
          </w:p>
        </w:tc>
        <w:tc>
          <w:tcPr>
            <w:tcW w:w="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37,353 </w:t>
            </w:r>
          </w:p>
        </w:tc>
        <w:tc>
          <w:tcPr>
            <w:tcW w:w="3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pPr>
      <w:r>
        <w:rPr>
          <w:rFonts w:ascii="Times New Roman;serif" w:hAnsi="Times New Roman;serif"/>
          <w:b w:val="false"/>
          <w:color w:val="000000"/>
          <w:sz w:val="10"/>
        </w:rPr>
        <w:t xml:space="preserve">1 </w:t>
      </w:r>
      <w:r>
        <w:rPr>
          <w:rFonts w:ascii="Times New Roman;serif" w:hAnsi="Times New Roman;serif"/>
          <w:b w:val="false"/>
          <w:color w:val="000000"/>
          <w:sz w:val="16"/>
        </w:rPr>
        <w:t>As of March 31, 2026 and December 31, 2025</w:t>
      </w:r>
      <w:r>
        <w:rPr>
          <w:color w:val="000000"/>
          <w:shd w:fill="FFFFFF" w:val="clear"/>
        </w:rPr>
        <w:t xml:space="preserve"> </w:t>
      </w:r>
      <w:r>
        <w:rPr>
          <w:rFonts w:ascii="Times New Roman;serif" w:hAnsi="Times New Roman;serif"/>
          <w:b w:val="false"/>
          <w:color w:val="000000"/>
          <w:sz w:val="16"/>
          <w:shd w:fill="FFFFFF" w:val="clear"/>
        </w:rPr>
        <w:t xml:space="preserve">accrued </w:t>
      </w:r>
      <w:r>
        <w:rPr>
          <w:rFonts w:ascii="Times New Roman;serif" w:hAnsi="Times New Roman;serif"/>
          <w:b w:val="false"/>
          <w:color w:val="000000"/>
          <w:sz w:val="16"/>
        </w:rPr>
        <w:t xml:space="preserve">litigation includes accruals related to various ongoing legal matters including associated legal fees. See </w:t>
      </w:r>
      <w:r>
        <w:rPr>
          <w:rFonts w:ascii="Times New Roman;serif" w:hAnsi="Times New Roman;serif"/>
          <w:b w:val="false"/>
          <w:color w:val="000000"/>
          <w:sz w:val="16"/>
          <w:shd w:fill="FFFFFF" w:val="clear"/>
        </w:rPr>
        <w:t>Note 11.</w:t>
      </w:r>
      <w:r>
        <w:rPr>
          <w:color w:val="000000"/>
        </w:rPr>
        <w:t xml:space="preserve"> </w:t>
      </w:r>
      <w:r>
        <w:rPr>
          <w:rFonts w:ascii="Times New Roman;serif" w:hAnsi="Times New Roman;serif"/>
          <w:b w:val="false"/>
          <w:i/>
          <w:color w:val="000000"/>
          <w:sz w:val="16"/>
          <w:shd w:fill="FFFFFF" w:val="clear"/>
        </w:rPr>
        <w:t>Commitments and Contingencies</w:t>
      </w:r>
      <w:r>
        <w:rPr>
          <w:color w:val="000000"/>
        </w:rPr>
        <w:t xml:space="preserve"> </w:t>
      </w:r>
      <w:r>
        <w:rPr>
          <w:rFonts w:ascii="Times New Roman;serif" w:hAnsi="Times New Roman;serif"/>
          <w:b w:val="false"/>
          <w:color w:val="000000"/>
          <w:sz w:val="16"/>
        </w:rPr>
        <w:t>for further information regarding the various ongoing legal matters.</w:t>
      </w:r>
    </w:p>
    <w:p>
      <w:pPr>
        <w:pStyle w:val="TextBody"/>
        <w:bidi w:val="0"/>
        <w:spacing w:lineRule="auto" w:line="288" w:before="120" w:after="120"/>
        <w:jc w:val="both"/>
        <w:rPr/>
      </w:pPr>
      <w:r>
        <w:rPr>
          <w:rFonts w:ascii="Times New Roman;serif" w:hAnsi="Times New Roman;serif"/>
          <w:b w:val="false"/>
          <w:color w:val="000000"/>
          <w:sz w:val="10"/>
        </w:rPr>
        <w:t>2</w:t>
      </w:r>
      <w:r>
        <w:rPr>
          <w:color w:val="000000"/>
        </w:rPr>
        <w:t xml:space="preserve"> </w:t>
      </w:r>
      <w:r>
        <w:rPr>
          <w:rFonts w:ascii="Times New Roman;serif" w:hAnsi="Times New Roman;serif"/>
          <w:b w:val="false"/>
          <w:color w:val="000000"/>
          <w:sz w:val="16"/>
        </w:rPr>
        <w:t>The Company has an incentive compensation plan, which authorizes the granting of a variety of different types of awards including, but not limited to, non-qualified stock options, incentive stock options, Stock Appreciation Rights (“SARs”), Restricted Stock Awards (“RSAs”)</w:t>
      </w:r>
      <w:r>
        <w:rPr>
          <w:rFonts w:ascii="Times New Roman;serif" w:hAnsi="Times New Roman;serif"/>
          <w:b w:val="false"/>
          <w:color w:val="000000"/>
          <w:sz w:val="20"/>
        </w:rPr>
        <w:t xml:space="preserve">, </w:t>
      </w:r>
      <w:r>
        <w:rPr>
          <w:rFonts w:ascii="Times New Roman;serif" w:hAnsi="Times New Roman;serif"/>
          <w:b w:val="false"/>
          <w:color w:val="000000"/>
          <w:sz w:val="16"/>
        </w:rPr>
        <w:t>deferred stock and performance units to its executive officers, employees, consultants and Directors. T</w:t>
      </w:r>
      <w:r>
        <w:rPr>
          <w:rFonts w:ascii="Times New Roman;serif" w:hAnsi="Times New Roman;serif"/>
          <w:b w:val="false"/>
          <w:color w:val="000000"/>
          <w:sz w:val="16"/>
          <w:shd w:fill="FFFFFF" w:val="clear"/>
        </w:rPr>
        <w:t xml:space="preserve">he </w:t>
      </w:r>
      <w:r>
        <w:rPr>
          <w:rFonts w:ascii="Times New Roman;serif" w:hAnsi="Times New Roman;serif"/>
          <w:b w:val="false"/>
          <w:color w:val="000000"/>
          <w:sz w:val="16"/>
        </w:rPr>
        <w:t>SAR</w:t>
      </w:r>
      <w:r>
        <w:rPr>
          <w:color w:val="000000"/>
          <w:shd w:fill="FFFFFF" w:val="clear"/>
        </w:rPr>
        <w:t xml:space="preserve"> </w:t>
      </w:r>
      <w:r>
        <w:rPr>
          <w:rFonts w:ascii="Times New Roman;serif" w:hAnsi="Times New Roman;serif"/>
          <w:b w:val="false"/>
          <w:color w:val="000000"/>
          <w:sz w:val="16"/>
          <w:shd w:fill="FFFFFF" w:val="clear"/>
        </w:rPr>
        <w:t xml:space="preserve">awards granted for the year ended March 31, 2026 and </w:t>
      </w:r>
      <w:r>
        <w:rPr>
          <w:rFonts w:ascii="Times New Roman;serif" w:hAnsi="Times New Roman;serif"/>
          <w:b w:val="false"/>
          <w:color w:val="000000"/>
          <w:sz w:val="16"/>
        </w:rPr>
        <w:t>December 31, 2025</w:t>
      </w:r>
      <w:r>
        <w:rPr>
          <w:color w:val="000000"/>
          <w:shd w:fill="FFFFFF" w:val="clear"/>
        </w:rPr>
        <w:t xml:space="preserve"> </w:t>
      </w:r>
      <w:r>
        <w:rPr>
          <w:rFonts w:ascii="Times New Roman;serif" w:hAnsi="Times New Roman;serif"/>
          <w:b w:val="false"/>
          <w:color w:val="000000"/>
          <w:sz w:val="16"/>
          <w:shd w:fill="FFFFFF" w:val="clear"/>
        </w:rPr>
        <w:t xml:space="preserve">were all liability classified awards and remained outstanding. </w:t>
      </w:r>
      <w:r>
        <w:rPr>
          <w:rFonts w:ascii="Times New Roman;serif" w:hAnsi="Times New Roman;serif"/>
          <w:b w:val="false"/>
          <w:color w:val="000000"/>
          <w:sz w:val="16"/>
        </w:rPr>
        <w:t xml:space="preserve">See Note 14. </w:t>
      </w:r>
      <w:r>
        <w:rPr>
          <w:rFonts w:ascii="Times New Roman;serif" w:hAnsi="Times New Roman;serif"/>
          <w:b w:val="false"/>
          <w:i/>
          <w:color w:val="000000"/>
          <w:sz w:val="16"/>
        </w:rPr>
        <w:t>Stock-Based Compensation</w:t>
      </w:r>
      <w:r>
        <w:rPr>
          <w:color w:val="000000"/>
        </w:rPr>
        <w:t xml:space="preserve"> </w:t>
      </w:r>
      <w:r>
        <w:rPr>
          <w:rFonts w:ascii="Times New Roman;serif" w:hAnsi="Times New Roman;serif"/>
          <w:b w:val="false"/>
          <w:color w:val="000000"/>
          <w:sz w:val="16"/>
        </w:rPr>
        <w:t>in the Company’s 2025 Annual Report for additional information on the SARs and RSAs.</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Warranty Costs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offers a standard limited warranty on the workmanship of its products that in most cases covers defects for a defined period. Warranties for certified emission products are mandated by the U.S. Environmental Protection Agency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222885"/>
                <wp:effectExtent l="0" t="0" r="0" b="0"/>
                <wp:wrapNone/>
                <wp:docPr id="12" name="Frame1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before="120" w:after="120"/>
        <w:jc w:val="both"/>
        <w:rPr/>
      </w:pPr>
      <w:r>
        <w:rPr/>
      </w:r>
    </w:p>
    <w:p>
      <w:pPr>
        <w:pStyle w:val="TextBody"/>
        <w:bidi w:val="0"/>
        <w:spacing w:before="120" w:after="120"/>
        <w:jc w:val="both"/>
        <w:rPr/>
      </w:pPr>
      <w:r>
        <w:rPr/>
      </w:r>
    </w:p>
    <w:p>
      <w:pPr>
        <w:pStyle w:val="TextBody"/>
        <w:bidi w:val="0"/>
        <w:spacing w:lineRule="auto" w:line="288" w:before="120" w:after="120"/>
        <w:jc w:val="both"/>
        <w:rPr>
          <w:color w:val="000000"/>
        </w:rPr>
      </w:pPr>
      <w:r>
        <w:rPr>
          <w:color w:val="000000"/>
        </w:rPr>
        <w:t>“</w:t>
      </w:r>
      <w:r>
        <w:rPr>
          <w:rFonts w:ascii="Times New Roman;serif" w:hAnsi="Times New Roman;serif"/>
          <w:b w:val="false"/>
          <w:color w:val="000000"/>
          <w:sz w:val="20"/>
        </w:rPr>
        <w:t xml:space="preserve">EPA”) and/or the California Air Resources Board (the “CARB”) and are longer than the Company’s standard warranty on certain emission-related products. The Company’s products also carry limited warranties from suppliers. The Company’s warranties generally apply to engines fully manufactured by the Company and to the modifications the Company makes to supplier base products. Costs related to supplier warranty claims are generally borne by the supplier and passed through to the end customer.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Warranty estimates are based on historical experience and represent the projected cost associated with the product. A liability and related expense are recognized at the time products are sold. The Company adjusts estimates when it is determined that actual costs may differ from initial or previous estimates. The Company’s warranty liability is generally affected by failure rates, repair costs and the timing of failures. Future events and circumstances related to these factors could materially change the estimates and require adjustments to the warranty liability. In addition, new product launches require a greater use of judgment in developing estimates until historical experience becomes available.</w:t>
      </w:r>
    </w:p>
    <w:p>
      <w:pPr>
        <w:pStyle w:val="TextBody"/>
        <w:bidi w:val="0"/>
        <w:spacing w:lineRule="auto" w:line="288" w:before="120" w:after="120"/>
        <w:jc w:val="both"/>
        <w:rPr/>
      </w:pPr>
      <w:r>
        <w:rPr>
          <w:rFonts w:ascii="Times New Roman;serif" w:hAnsi="Times New Roman;serif"/>
          <w:b w:val="false"/>
          <w:color w:val="000000"/>
          <w:sz w:val="20"/>
          <w:shd w:fill="FFFFFF" w:val="clear"/>
        </w:rPr>
        <w:t>Accrued product warranty activities i</w:t>
      </w:r>
      <w:r>
        <w:rPr>
          <w:rFonts w:ascii="Times New Roman;serif" w:hAnsi="Times New Roman;serif"/>
          <w:b w:val="false"/>
          <w:color w:val="000000"/>
          <w:sz w:val="20"/>
        </w:rPr>
        <w:t xml:space="preserve">ncluded in </w:t>
      </w:r>
      <w:r>
        <w:rPr>
          <w:rFonts w:ascii="Times New Roman;serif" w:hAnsi="Times New Roman;serif"/>
          <w:b w:val="false"/>
          <w:i/>
          <w:color w:val="000000"/>
          <w:sz w:val="20"/>
        </w:rPr>
        <w:t>Other noncurrent liabilities</w:t>
      </w:r>
      <w:r>
        <w:rPr>
          <w:color w:val="000000"/>
        </w:rPr>
        <w:t xml:space="preserve"> </w:t>
      </w:r>
      <w:r>
        <w:rPr>
          <w:rFonts w:ascii="Times New Roman;serif" w:hAnsi="Times New Roman;serif"/>
          <w:b w:val="false"/>
          <w:color w:val="000000"/>
          <w:sz w:val="20"/>
        </w:rPr>
        <w:t>on the Consolidated Balance Sheet</w:t>
      </w:r>
      <w:r>
        <w:rPr>
          <w:color w:val="000000"/>
          <w:shd w:fill="FFFFFF" w:val="clear"/>
        </w:rPr>
        <w:t xml:space="preserve"> </w:t>
      </w:r>
      <w:r>
        <w:rPr>
          <w:rFonts w:ascii="Times New Roman;serif" w:hAnsi="Times New Roman;serif"/>
          <w:b w:val="false"/>
          <w:color w:val="000000"/>
          <w:sz w:val="20"/>
          <w:shd w:fill="FFFFFF" w:val="clear"/>
        </w:rPr>
        <w:t>are presented below:</w:t>
      </w:r>
    </w:p>
    <w:tbl>
      <w:tblPr>
        <w:tblW w:w="7181" w:type="dxa"/>
        <w:jc w:val="left"/>
        <w:tblInd w:w="0" w:type="dxa"/>
        <w:tblLayout w:type="fixed"/>
        <w:tblCellMar>
          <w:top w:w="28" w:type="dxa"/>
          <w:left w:w="28" w:type="dxa"/>
          <w:bottom w:w="28" w:type="dxa"/>
          <w:right w:w="28" w:type="dxa"/>
        </w:tblCellMar>
      </w:tblPr>
      <w:tblGrid>
        <w:gridCol w:w="1313"/>
        <w:gridCol w:w="1157"/>
        <w:gridCol w:w="1160"/>
        <w:gridCol w:w="109"/>
        <w:gridCol w:w="109"/>
        <w:gridCol w:w="109"/>
        <w:gridCol w:w="289"/>
        <w:gridCol w:w="821"/>
        <w:gridCol w:w="161"/>
        <w:gridCol w:w="161"/>
        <w:gridCol w:w="161"/>
        <w:gridCol w:w="161"/>
        <w:gridCol w:w="289"/>
        <w:gridCol w:w="954"/>
        <w:gridCol w:w="227"/>
      </w:tblGrid>
      <w:tr>
        <w:trPr/>
        <w:tc>
          <w:tcPr>
            <w:tcW w:w="1313"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Three Months Ended March 31,</w:t>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Accrued Product Warranty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8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at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8,193 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13,972 </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Current period provision </w:t>
            </w:r>
            <w:r>
              <w:rPr>
                <w:rFonts w:ascii="Times New Roman;serif" w:hAnsi="Times New Roman;serif"/>
                <w:b w:val="false"/>
                <w:color w:val="000000"/>
                <w:sz w:val="12"/>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993 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1" w:type="dxa"/>
            <w:gridSpan w:val="3"/>
            <w:tcBorders/>
            <w:vAlign w:val="center"/>
          </w:tcPr>
          <w:p>
            <w:pPr>
              <w:pStyle w:val="TableContents"/>
              <w:bidi w:val="0"/>
              <w:spacing w:before="0" w:after="283"/>
              <w:jc w:val="left"/>
              <w:rPr>
                <w:sz w:val="4"/>
                <w:szCs w:val="4"/>
              </w:rPr>
            </w:pPr>
            <w:r>
              <w:rPr>
                <w:sz w:val="4"/>
                <w:szCs w:val="4"/>
              </w:rPr>
            </w:r>
          </w:p>
        </w:tc>
        <w:tc>
          <w:tcPr>
            <w:tcW w:w="483"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Changes in estimates for preexisting warranties </w:t>
            </w:r>
            <w:r>
              <w:rPr>
                <w:rFonts w:ascii="Times New Roman;serif" w:hAnsi="Times New Roman;serif"/>
                <w:b w:val="false"/>
                <w:color w:val="000000"/>
                <w:sz w:val="12"/>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(282)</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made during the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(1,359)</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(3,287)</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1" w:type="dxa"/>
            <w:gridSpan w:val="3"/>
            <w:tcBorders/>
            <w:vAlign w:val="center"/>
          </w:tcPr>
          <w:p>
            <w:pPr>
              <w:pStyle w:val="TableContents"/>
              <w:bidi w:val="0"/>
              <w:spacing w:before="0" w:after="283"/>
              <w:jc w:val="left"/>
              <w:rPr>
                <w:sz w:val="4"/>
                <w:szCs w:val="4"/>
              </w:rPr>
            </w:pPr>
            <w:r>
              <w:rPr>
                <w:sz w:val="4"/>
                <w:szCs w:val="4"/>
              </w:rPr>
            </w:r>
          </w:p>
        </w:tc>
        <w:tc>
          <w:tcPr>
            <w:tcW w:w="483"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at 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7,459 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11,396 </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current portion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6,319 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8,375 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 xml:space="preserve">Noncurrent accrued product warranty </w:t>
              <w:br/>
              <w:t>(included with Other Noncurrent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1,140 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3,021 </w:t>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ind w:left="0" w:right="0" w:hanging="720"/>
        <w:jc w:val="both"/>
        <w:rPr/>
      </w:pPr>
      <w:r>
        <w:rPr>
          <w:rFonts w:ascii="Times New Roman;serif" w:hAnsi="Times New Roman;serif"/>
          <w:b w:val="false"/>
          <w:color w:val="000000"/>
          <w:sz w:val="16"/>
          <w:shd w:fill="FFFFFF" w:val="clear"/>
        </w:rPr>
        <w:t>*Warranty costs, net of supplier recoveries and other adjustments, were $0.6 million</w:t>
      </w:r>
      <w:r>
        <w:rPr>
          <w:color w:val="000000"/>
          <w:shd w:fill="FFFFFF" w:val="clear"/>
        </w:rPr>
        <w:t xml:space="preserve"> </w:t>
      </w:r>
      <w:r>
        <w:rPr>
          <w:rFonts w:ascii="Times New Roman;serif" w:hAnsi="Times New Roman;serif"/>
          <w:b w:val="false"/>
          <w:color w:val="000000"/>
          <w:sz w:val="16"/>
          <w:shd w:fill="FFFFFF" w:val="clear"/>
        </w:rPr>
        <w:t>for both the three months ended March 31, 2026 and 2025. Supplier recoveries were $0.0 million and $0.1 million for the three months ended March 31, 2026 and 2025, respectively.</w:t>
      </w:r>
    </w:p>
    <w:p>
      <w:pPr>
        <w:pStyle w:val="TextBody"/>
        <w:bidi w:val="0"/>
        <w:spacing w:lineRule="auto" w:line="276" w:before="0" w:after="0"/>
        <w:ind w:left="0" w:right="0" w:hanging="720"/>
        <w:jc w:val="both"/>
        <w:rPr/>
      </w:pPr>
      <w:r>
        <w:rPr>
          <w:rFonts w:ascii="Times New Roman;serif" w:hAnsi="Times New Roman;serif"/>
          <w:b w:val="false"/>
          <w:color w:val="000000"/>
          <w:sz w:val="16"/>
          <w:shd w:fill="FFFFFF" w:val="clear"/>
        </w:rPr>
        <w:t xml:space="preserve">**Changes in estimates for preexisting warranties reflect changes in the Company’s estimate of warranty costs for products sold in prior periods. Such adjustments typically occur when claims experience deviates from historical and expected trends. During the </w:t>
      </w:r>
      <w:r>
        <w:rPr>
          <w:rFonts w:ascii="Times New Roman;serif" w:hAnsi="Times New Roman;serif"/>
          <w:b w:val="false"/>
          <w:color w:val="000000"/>
          <w:sz w:val="16"/>
        </w:rPr>
        <w:t>three</w:t>
      </w:r>
      <w:r>
        <w:rPr>
          <w:color w:val="000000"/>
          <w:shd w:fill="FFFFFF" w:val="clear"/>
        </w:rPr>
        <w:t xml:space="preserve"> </w:t>
      </w:r>
      <w:r>
        <w:rPr>
          <w:rFonts w:ascii="Times New Roman;serif" w:hAnsi="Times New Roman;serif"/>
          <w:b w:val="false"/>
          <w:color w:val="000000"/>
          <w:sz w:val="16"/>
          <w:shd w:fill="FFFFFF" w:val="clear"/>
        </w:rPr>
        <w:t xml:space="preserve">months ended March 31, 2026, the Company recorded a benefit for changes in estimates of preexisting warranties of $0.1 million, or $0.00 per diluted share. During the </w:t>
      </w:r>
      <w:r>
        <w:rPr>
          <w:rFonts w:ascii="Times New Roman;serif" w:hAnsi="Times New Roman;serif"/>
          <w:b w:val="false"/>
          <w:color w:val="000000"/>
          <w:sz w:val="16"/>
        </w:rPr>
        <w:t>three</w:t>
      </w:r>
      <w:r>
        <w:rPr>
          <w:color w:val="000000"/>
          <w:shd w:fill="FFFFFF" w:val="clear"/>
        </w:rPr>
        <w:t xml:space="preserve"> </w:t>
      </w:r>
      <w:r>
        <w:rPr>
          <w:rFonts w:ascii="Times New Roman;serif" w:hAnsi="Times New Roman;serif"/>
          <w:b w:val="false"/>
          <w:color w:val="000000"/>
          <w:sz w:val="16"/>
          <w:shd w:fill="FFFFFF" w:val="clear"/>
        </w:rPr>
        <w:t xml:space="preserve">months ended March 31, 2025, the Company recorded a benefit for changes in estimates of preexisting warranties $0.3 million, or $0.01 per diluted share. </w:t>
      </w:r>
    </w:p>
    <w:p>
      <w:pPr>
        <w:pStyle w:val="TextBody"/>
        <w:bidi w:val="0"/>
        <w:spacing w:lineRule="auto" w:line="288" w:before="120" w:after="120"/>
        <w:jc w:val="both"/>
        <w:rPr/>
      </w:pPr>
      <w:r>
        <w:rPr>
          <w:rFonts w:ascii="Times New Roman;serif" w:hAnsi="Times New Roman;serif"/>
          <w:b/>
          <w:i/>
          <w:color w:val="000000"/>
          <w:sz w:val="20"/>
          <w:shd w:fill="FFFFFF" w:val="clear"/>
        </w:rPr>
        <w:t xml:space="preserve">Recently Issued Accounting Pronouncements </w:t>
      </w:r>
      <w:r>
        <w:rPr>
          <w:color w:val="000000"/>
          <w:shd w:fill="FFFFFF" w:val="clear"/>
        </w:rPr>
        <w:t xml:space="preserve">– </w:t>
      </w:r>
      <w:r>
        <w:rPr>
          <w:rFonts w:ascii="Times New Roman;serif" w:hAnsi="Times New Roman;serif"/>
          <w:b/>
          <w:i/>
          <w:color w:val="000000"/>
          <w:sz w:val="20"/>
          <w:shd w:fill="FFFFFF" w:val="clear"/>
        </w:rPr>
        <w:t>Adopted</w:t>
      </w:r>
    </w:p>
    <w:p>
      <w:pPr>
        <w:pStyle w:val="TextBody"/>
        <w:bidi w:val="0"/>
        <w:spacing w:lineRule="auto" w:line="288" w:before="0" w:after="0"/>
        <w:jc w:val="both"/>
        <w:rPr/>
      </w:pPr>
      <w:r>
        <w:rPr>
          <w:rFonts w:ascii="Times New Roman;serif" w:hAnsi="Times New Roman;serif"/>
          <w:b w:val="false"/>
          <w:color w:val="000000"/>
          <w:sz w:val="20"/>
        </w:rPr>
        <w:t>In July 2025, the FASB issued ASU 2025</w:t>
        <w:noBreakHyphen/>
        <w:t xml:space="preserve">05, </w:t>
      </w:r>
      <w:r>
        <w:rPr>
          <w:rFonts w:ascii="Times New Roman;serif" w:hAnsi="Times New Roman;serif"/>
          <w:b w:val="false"/>
          <w:i/>
          <w:color w:val="000000"/>
          <w:sz w:val="20"/>
        </w:rPr>
        <w:t>Financial Instruments—Credit Losses (Topic 326): Measurement of Credit Losses for Accounts Receivable and Contract Assets</w:t>
      </w:r>
      <w:r>
        <w:rPr>
          <w:rFonts w:ascii="Times New Roman;serif" w:hAnsi="Times New Roman;serif"/>
          <w:b w:val="false"/>
          <w:color w:val="000000"/>
          <w:sz w:val="20"/>
        </w:rPr>
        <w:t xml:space="preserve">. The ASU provides a practical expedient that permits entities to assume that current economic conditions as of the balance sheet date will remain unchanged for the remaining life of current accounts receivable and current contract assets arising from transactions accounted for under Topic 606, </w:t>
      </w:r>
      <w:r>
        <w:rPr>
          <w:rFonts w:ascii="Times New Roman;serif" w:hAnsi="Times New Roman;serif"/>
          <w:b w:val="false"/>
          <w:i/>
          <w:color w:val="000000"/>
          <w:sz w:val="20"/>
        </w:rPr>
        <w:t>Revenue from Contracts with Customers</w:t>
      </w:r>
      <w:r>
        <w:rPr>
          <w:color w:val="000000"/>
        </w:rPr>
        <w:t xml:space="preserve"> </w:t>
      </w:r>
      <w:r>
        <w:rPr>
          <w:rFonts w:ascii="Times New Roman;serif" w:hAnsi="Times New Roman;serif"/>
          <w:b w:val="false"/>
          <w:color w:val="000000"/>
          <w:sz w:val="20"/>
        </w:rPr>
        <w:t>when estimating expected credit losses. The Company adopted ASU 2025</w:t>
        <w:noBreakHyphen/>
        <w:t>05 effective January 1, 2026 and elected the practical expedient for its current accounts receivable and current contract assets. The adoption of this guidance did not have a material impact on the Company’s consolidated financial statements or related disclosures.</w:t>
      </w:r>
    </w:p>
    <w:p>
      <w:pPr>
        <w:pStyle w:val="TextBody"/>
        <w:bidi w:val="0"/>
        <w:spacing w:lineRule="auto" w:line="288" w:before="120" w:after="12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Recently Issued Accounting Pronouncements – Not Yet Adopted</w:t>
      </w:r>
    </w:p>
    <w:p>
      <w:pPr>
        <w:pStyle w:val="TextBody"/>
        <w:bidi w:val="0"/>
        <w:spacing w:lineRule="auto" w:line="288" w:before="120" w:after="120"/>
        <w:jc w:val="both"/>
        <w:rPr/>
      </w:pPr>
      <w:r>
        <w:rPr>
          <w:rFonts w:ascii="Times New Roman;serif" w:hAnsi="Times New Roman;serif"/>
          <w:b w:val="false"/>
          <w:color w:val="000000"/>
          <w:sz w:val="20"/>
        </w:rPr>
        <w:t xml:space="preserve">In November 2024, the FASB issued ASU 2024-03, </w:t>
      </w:r>
      <w:r>
        <w:rPr>
          <w:rFonts w:ascii="Times New Roman;serif" w:hAnsi="Times New Roman;serif"/>
          <w:b w:val="false"/>
          <w:i/>
          <w:color w:val="000000"/>
          <w:sz w:val="20"/>
        </w:rPr>
        <w:t xml:space="preserve">Income Statement - Reporting Comprehensive Income: Expense Disaggregation Disclosures (Subtopic 220-40). </w:t>
      </w:r>
      <w:r>
        <w:rPr>
          <w:rFonts w:ascii="Times New Roman;serif" w:hAnsi="Times New Roman;serif"/>
          <w:b w:val="false"/>
          <w:color w:val="000000"/>
          <w:sz w:val="20"/>
        </w:rPr>
        <w:t>This update requires entities to provide more detailed disclosures about the components of significant expense categories, enhancing the transparency and decision usefulness of financial statements. The amendments in this update are intended to provide investors with additional information about specific expense categories in the notes to the financial statements at interim and annual reporting periods. The updated standard is effective for annual periods beginning after December 15, 2026, and interim reporting periods thereafter, although early adoption is permitted. While we anticipate that the adoption of this standard will require additional disclosures, the Company is currently assessing the impact of the amendment to this standard on its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222885"/>
                <wp:effectExtent l="0" t="0" r="0" b="0"/>
                <wp:wrapNone/>
                <wp:docPr id="13" name="Frame1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before="120" w:after="120"/>
        <w:jc w:val="both"/>
        <w:rPr/>
      </w:pPr>
      <w:r>
        <w:rPr/>
      </w:r>
    </w:p>
    <w:p>
      <w:pPr>
        <w:pStyle w:val="TextBody"/>
        <w:bidi w:val="0"/>
        <w:spacing w:lineRule="auto" w:line="288" w:before="120" w:after="120"/>
        <w:jc w:val="both"/>
        <w:rPr/>
      </w:pPr>
      <w:r>
        <w:rPr>
          <w:rFonts w:ascii="Times New Roman;serif" w:hAnsi="Times New Roman;serif"/>
          <w:b/>
          <w:color w:val="000000"/>
          <w:sz w:val="20"/>
        </w:rPr>
        <w:t>Note 2.</w:t>
      </w:r>
      <w:r>
        <w:rPr>
          <w:color w:val="000000"/>
        </w:rPr>
        <w:t xml:space="preserve">     </w:t>
      </w:r>
      <w:r>
        <w:rPr>
          <w:rFonts w:ascii="Times New Roman;serif" w:hAnsi="Times New Roman;serif"/>
          <w:b/>
          <w:color w:val="000000"/>
          <w:sz w:val="20"/>
        </w:rPr>
        <w:t xml:space="preserve">Business Combination </w:t>
      </w:r>
    </w:p>
    <w:p>
      <w:pPr>
        <w:pStyle w:val="TextBody"/>
        <w:bidi w:val="0"/>
        <w:spacing w:lineRule="auto" w:line="288" w:before="120" w:after="120"/>
        <w:jc w:val="both"/>
        <w:rPr/>
      </w:pPr>
      <w:r>
        <w:rPr>
          <w:rFonts w:ascii="Times New Roman;serif" w:hAnsi="Times New Roman;serif"/>
          <w:b w:val="false"/>
          <w:color w:val="000000"/>
          <w:sz w:val="20"/>
        </w:rPr>
        <w:t xml:space="preserve">On January 9, 2026, the Company acquired 100% of the issued and outstanding equity interest of MTL, for a total purchase price of </w:t>
      </w:r>
      <w:r>
        <w:rPr>
          <w:rFonts w:ascii="Times New Roman;serif" w:hAnsi="Times New Roman;serif"/>
          <w:b w:val="false"/>
          <w:color w:val="000000"/>
          <w:sz w:val="20"/>
          <w:shd w:fill="FFFFFF" w:val="clear"/>
        </w:rPr>
        <w:t>$11.1 million</w:t>
      </w:r>
      <w:r>
        <w:rPr>
          <w:color w:val="000000"/>
        </w:rPr>
        <w:t xml:space="preserve"> </w:t>
      </w:r>
      <w:r>
        <w:rPr>
          <w:rFonts w:ascii="Times New Roman;serif" w:hAnsi="Times New Roman;serif"/>
          <w:b w:val="false"/>
          <w:color w:val="000000"/>
          <w:sz w:val="20"/>
        </w:rPr>
        <w:t>subject to customary working capital and other post-closing adjustments (the “Acquisition”). MTL is engaged in the welding, fabrication, painting, and assembly of steel components. The acquisition expands the Company’s manufacturing capabilities and vertical integration, and it is expected to support future growth and operational efficiencies. The transaction was accounted for as a business combination under ASC 805, Business Combinations (“ASC 805”), using the acquisition method of accounting. Accordingly, the Company recognized the assets acquired and liabilities assumed at their estimated fair values as of the acquisition date.</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Preliminary Purchase Price Consideration</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aggregate purchase price consisted of $10.0 million in cash and $1.1 million promissory note issued to the seller which bears interest at 8.0% per annum, and matures on January 9, 2031, with annual principal payments beginning in 2027. The note is secured by the acquired shares of MTL. Cash consideration paid at closing was subject to adjustment for estimated closing working capital and other items pursuant to the Stock Purchase Agreement. Any changes resulting from the final determination of these adjustments will be reflected as measurement period adjustments. The preliminary purchase price of MTL as of January 9, 2026 consists of the following:</w:t>
      </w:r>
    </w:p>
    <w:tbl>
      <w:tblPr>
        <w:tblW w:w="3846" w:type="dxa"/>
        <w:jc w:val="left"/>
        <w:tblInd w:w="0" w:type="dxa"/>
        <w:tblLayout w:type="fixed"/>
        <w:tblCellMar>
          <w:top w:w="28" w:type="dxa"/>
          <w:left w:w="28" w:type="dxa"/>
          <w:bottom w:w="28" w:type="dxa"/>
          <w:right w:w="28" w:type="dxa"/>
        </w:tblCellMar>
      </w:tblPr>
      <w:tblGrid>
        <w:gridCol w:w="1026"/>
        <w:gridCol w:w="903"/>
        <w:gridCol w:w="906"/>
        <w:gridCol w:w="196"/>
        <w:gridCol w:w="661"/>
        <w:gridCol w:w="154"/>
      </w:tblGrid>
      <w:tr>
        <w:trPr/>
        <w:tc>
          <w:tcPr>
            <w:tcW w:w="1026"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 thousands)</w:t>
            </w:r>
          </w:p>
        </w:tc>
        <w:tc>
          <w:tcPr>
            <w:tcW w:w="1011"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8"/>
              </w:rPr>
            </w:pPr>
            <w:r>
              <w:rPr>
                <w:rFonts w:ascii="Times New Roman;serif" w:hAnsi="Times New Roman;serif"/>
                <w:b/>
                <w:color w:val="000000"/>
                <w:sz w:val="18"/>
              </w:rPr>
              <w:t>Amount</w:t>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both"/>
              <w:rPr>
                <w:rFonts w:ascii="Times New Roman;serif" w:hAnsi="Times New Roman;serif"/>
                <w:b w:val="false"/>
                <w:color w:val="000000"/>
                <w:sz w:val="18"/>
              </w:rPr>
            </w:pPr>
            <w:r>
              <w:rPr>
                <w:rFonts w:ascii="Times New Roman;serif" w:hAnsi="Times New Roman;serif"/>
                <w:b w:val="false"/>
                <w:color w:val="000000"/>
                <w:sz w:val="18"/>
              </w:rPr>
              <w:t>Cash paid at closing</w:t>
            </w:r>
          </w:p>
        </w:tc>
        <w:tc>
          <w:tcPr>
            <w:tcW w:w="196" w:type="dxa"/>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18"/>
              </w:rPr>
            </w:pPr>
            <w:r>
              <w:rPr>
                <w:rFonts w:ascii="Times New Roman;serif" w:hAnsi="Times New Roman;serif"/>
                <w:b w:val="false"/>
                <w:color w:val="000000"/>
                <w:sz w:val="18"/>
              </w:rPr>
              <w:t>10,000 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18"/>
              </w:rPr>
            </w:pPr>
            <w:r>
              <w:rPr>
                <w:rFonts w:ascii="Times New Roman;serif" w:hAnsi="Times New Roman;serif"/>
                <w:b w:val="false"/>
                <w:color w:val="000000"/>
                <w:sz w:val="18"/>
              </w:rPr>
              <w:t>Promissory note to seller</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18"/>
              </w:rPr>
            </w:pPr>
            <w:r>
              <w:rPr>
                <w:rFonts w:ascii="Times New Roman;serif" w:hAnsi="Times New Roman;serif"/>
                <w:b w:val="false"/>
                <w:color w:val="000000"/>
                <w:sz w:val="18"/>
              </w:rPr>
              <w:t>1,125 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18"/>
              </w:rPr>
            </w:pPr>
            <w:r>
              <w:rPr>
                <w:rFonts w:ascii="Times New Roman;serif" w:hAnsi="Times New Roman;serif"/>
                <w:b w:val="false"/>
                <w:color w:val="000000"/>
                <w:sz w:val="18"/>
              </w:rPr>
              <w:t>Working capital and other adjustments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18"/>
              </w:rPr>
            </w:pPr>
            <w:r>
              <w:rPr>
                <w:rFonts w:ascii="Times New Roman;serif" w:hAnsi="Times New Roman;serif"/>
                <w:b w:val="false"/>
                <w:color w:val="000000"/>
                <w:sz w:val="18"/>
              </w:rPr>
              <w:t>2,068 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both"/>
              <w:rPr>
                <w:rFonts w:ascii="Times New Roman;serif" w:hAnsi="Times New Roman;serif"/>
                <w:b/>
                <w:color w:val="000000"/>
                <w:sz w:val="18"/>
              </w:rPr>
            </w:pPr>
            <w:r>
              <w:rPr>
                <w:rFonts w:ascii="Times New Roman;serif" w:hAnsi="Times New Roman;serif"/>
                <w:b/>
                <w:color w:val="000000"/>
                <w:sz w:val="18"/>
              </w:rPr>
              <w:t>Total consideration transferred</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6"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6" w:before="0" w:after="283"/>
              <w:jc w:val="right"/>
              <w:rPr/>
            </w:pPr>
            <w:r>
              <w:rPr>
                <w:rFonts w:ascii="Times New Roman;serif" w:hAnsi="Times New Roman;serif"/>
                <w:b/>
                <w:color w:val="000000"/>
                <w:sz w:val="18"/>
              </w:rPr>
              <w:t>13,193</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Preliminary Purchase Price Allocation</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 accordance with ASC 805, the identifiable assets acquired and liabilities assumed were recorded at their estimated fair values as of January 9, 2026. The components of the preliminary allocation of the purchase price are summarized below:</w:t>
      </w:r>
    </w:p>
    <w:tbl>
      <w:tblPr>
        <w:tblW w:w="4415" w:type="dxa"/>
        <w:jc w:val="left"/>
        <w:tblInd w:w="0" w:type="dxa"/>
        <w:tblLayout w:type="fixed"/>
        <w:tblCellMar>
          <w:top w:w="28" w:type="dxa"/>
          <w:left w:w="28" w:type="dxa"/>
          <w:bottom w:w="28" w:type="dxa"/>
          <w:right w:w="28" w:type="dxa"/>
        </w:tblCellMar>
      </w:tblPr>
      <w:tblGrid>
        <w:gridCol w:w="1237"/>
        <w:gridCol w:w="1089"/>
        <w:gridCol w:w="1093"/>
        <w:gridCol w:w="196"/>
        <w:gridCol w:w="646"/>
        <w:gridCol w:w="154"/>
      </w:tblGrid>
      <w:tr>
        <w:trPr/>
        <w:tc>
          <w:tcPr>
            <w:tcW w:w="1237"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 thousands)</w:t>
            </w:r>
          </w:p>
        </w:tc>
        <w:tc>
          <w:tcPr>
            <w:tcW w:w="996"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8"/>
              </w:rPr>
            </w:pPr>
            <w:r>
              <w:rPr>
                <w:rFonts w:ascii="Times New Roman;serif" w:hAnsi="Times New Roman;serif"/>
                <w:b/>
                <w:color w:val="000000"/>
                <w:sz w:val="18"/>
              </w:rPr>
              <w:t>Fair Value</w:t>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18"/>
              </w:rPr>
            </w:pPr>
            <w:r>
              <w:rPr>
                <w:rFonts w:ascii="Times New Roman;serif" w:hAnsi="Times New Roman;serif"/>
                <w:b w:val="false"/>
                <w:color w:val="000000"/>
                <w:sz w:val="18"/>
              </w:rPr>
              <w:t>Purchase Price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18"/>
              </w:rPr>
            </w:pPr>
            <w:r>
              <w:rPr>
                <w:rFonts w:ascii="Times New Roman;serif" w:hAnsi="Times New Roman;serif"/>
                <w:b w:val="false"/>
                <w:color w:val="000000"/>
                <w:sz w:val="18"/>
              </w:rPr>
              <w:t>13,193 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18"/>
              </w:rPr>
            </w:pPr>
            <w:r>
              <w:rPr>
                <w:rFonts w:ascii="Times New Roman;serif" w:hAnsi="Times New Roman;serif"/>
                <w:b w:val="false"/>
                <w:color w:val="000000"/>
                <w:sz w:val="18"/>
              </w:rPr>
              <w:t>3,095 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18"/>
              </w:rPr>
            </w:pPr>
            <w:r>
              <w:rPr>
                <w:rFonts w:ascii="Times New Roman;serif" w:hAnsi="Times New Roman;serif"/>
                <w:b w:val="false"/>
                <w:color w:val="000000"/>
                <w:sz w:val="18"/>
              </w:rPr>
              <w:t>Inventory</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18"/>
              </w:rPr>
            </w:pPr>
            <w:r>
              <w:rPr>
                <w:rFonts w:ascii="Times New Roman;serif" w:hAnsi="Times New Roman;serif"/>
                <w:b w:val="false"/>
                <w:color w:val="000000"/>
                <w:sz w:val="18"/>
              </w:rPr>
              <w:t>2,500 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18"/>
              </w:rPr>
            </w:pPr>
            <w:r>
              <w:rPr>
                <w:rFonts w:ascii="Times New Roman;serif" w:hAnsi="Times New Roman;serif"/>
                <w:b w:val="false"/>
                <w:color w:val="000000"/>
                <w:sz w:val="18"/>
              </w:rPr>
              <w:t>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18"/>
              </w:rPr>
            </w:pPr>
            <w:r>
              <w:rPr>
                <w:rFonts w:ascii="Times New Roman;serif" w:hAnsi="Times New Roman;serif"/>
                <w:b w:val="false"/>
                <w:color w:val="000000"/>
                <w:sz w:val="18"/>
              </w:rPr>
              <w:t>Property, plant &amp; equipment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18"/>
              </w:rPr>
            </w:pPr>
            <w:r>
              <w:rPr>
                <w:rFonts w:ascii="Times New Roman;serif" w:hAnsi="Times New Roman;serif"/>
                <w:b w:val="false"/>
                <w:color w:val="000000"/>
                <w:sz w:val="18"/>
              </w:rPr>
              <w:t>8,786 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lease-right-of-use assets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18"/>
              </w:rPr>
            </w:pPr>
            <w:r>
              <w:rPr>
                <w:rFonts w:ascii="Times New Roman;serif" w:hAnsi="Times New Roman;serif"/>
                <w:b w:val="false"/>
                <w:color w:val="000000"/>
                <w:sz w:val="18"/>
              </w:rPr>
              <w:t>7,507 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18"/>
              </w:rPr>
            </w:pPr>
            <w:r>
              <w:rPr>
                <w:rFonts w:ascii="Times New Roman;serif" w:hAnsi="Times New Roman;serif"/>
                <w:b w:val="false"/>
                <w:color w:val="000000"/>
                <w:sz w:val="18"/>
              </w:rPr>
              <w:t>Intangible - Trade name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18"/>
              </w:rPr>
            </w:pPr>
            <w:r>
              <w:rPr>
                <w:rFonts w:ascii="Times New Roman;serif" w:hAnsi="Times New Roman;serif"/>
                <w:b w:val="false"/>
                <w:color w:val="000000"/>
                <w:sz w:val="18"/>
              </w:rPr>
              <w:t>620 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18"/>
              </w:rPr>
            </w:pPr>
            <w:r>
              <w:rPr>
                <w:rFonts w:ascii="Times New Roman;serif" w:hAnsi="Times New Roman;serif"/>
                <w:b w:val="false"/>
                <w:color w:val="000000"/>
                <w:sz w:val="18"/>
              </w:rPr>
              <w:t>Accounts payables and other accrued liabilities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18"/>
              </w:rPr>
            </w:pPr>
            <w:r>
              <w:rPr>
                <w:rFonts w:ascii="Times New Roman;serif" w:hAnsi="Times New Roman;serif"/>
                <w:b w:val="false"/>
                <w:color w:val="000000"/>
                <w:sz w:val="18"/>
              </w:rPr>
              <w:t>(1,066)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18"/>
              </w:rPr>
            </w:pPr>
            <w:r>
              <w:rPr>
                <w:rFonts w:ascii="Times New Roman;serif" w:hAnsi="Times New Roman;serif"/>
                <w:b w:val="false"/>
                <w:color w:val="000000"/>
                <w:sz w:val="18"/>
              </w:rPr>
              <w:t>Notes payable and long-term debt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18"/>
              </w:rPr>
            </w:pPr>
            <w:r>
              <w:rPr>
                <w:rFonts w:ascii="Times New Roman;serif" w:hAnsi="Times New Roman;serif"/>
                <w:b w:val="false"/>
                <w:color w:val="000000"/>
                <w:sz w:val="18"/>
              </w:rPr>
              <w:t>(5,921)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18"/>
              </w:rPr>
            </w:pPr>
            <w:r>
              <w:rPr>
                <w:rFonts w:ascii="Times New Roman;serif" w:hAnsi="Times New Roman;serif"/>
                <w:b w:val="false"/>
                <w:color w:val="000000"/>
                <w:sz w:val="18"/>
              </w:rPr>
              <w:t>(7,507)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18"/>
              </w:rPr>
            </w:pPr>
            <w:r>
              <w:rPr>
                <w:rFonts w:ascii="Times New Roman;serif" w:hAnsi="Times New Roman;serif"/>
                <w:b w:val="false"/>
                <w:color w:val="000000"/>
                <w:sz w:val="18"/>
              </w:rPr>
              <w:t>Total identifiable net assets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18"/>
              </w:rPr>
            </w:pPr>
            <w:r>
              <w:rPr>
                <w:rFonts w:ascii="Times New Roman;serif" w:hAnsi="Times New Roman;serif"/>
                <w:b w:val="false"/>
                <w:color w:val="000000"/>
                <w:sz w:val="18"/>
              </w:rPr>
              <w:t>8,107 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18"/>
              </w:rPr>
            </w:pPr>
            <w:r>
              <w:rPr>
                <w:rFonts w:ascii="Times New Roman;serif" w:hAnsi="Times New Roman;serif"/>
                <w:b w:val="false"/>
                <w:color w:val="000000"/>
                <w:sz w:val="18"/>
              </w:rPr>
              <w:t>Goodwill</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18"/>
              </w:rPr>
            </w:pPr>
            <w:r>
              <w:rPr>
                <w:rFonts w:ascii="Times New Roman;serif" w:hAnsi="Times New Roman;serif"/>
                <w:b w:val="false"/>
                <w:color w:val="000000"/>
                <w:sz w:val="18"/>
              </w:rPr>
              <w:t>5,086 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Goodwill is calculated as the excess of the purchase price over the net assets acquired and primarily represents the future economic benefits expected from expected synergies, assembled workforce, expansion into new markets and is not deductible for U.S. federal income tax purposes. Identifiable intangible assets acquired in the transaction include trade names. For indefinite lived intangible assets, the Company applied the income approach through a relief from royalty method to fair value the trade name using Level 3 inputs. The Company amortizes trade names over 10 years.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fair values of assets acquired and liabilities assumed are preliminary and are based on the information that was available to management at the time of the unaudited financial statements were prepared. The Company may record measurement period adjustments in the period they are identified, with such adjustments reflected as if they had been recognized as of the acquisition date. The measurement period may extend up to 12 months after the acquisition date. The finalization of the Company’s purchase accounting assessment could result in change in the valuation of assets acquired and liabilities assumed.</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Consolidated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222885"/>
                <wp:effectExtent l="0" t="0" r="0" b="0"/>
                <wp:wrapNone/>
                <wp:docPr id="14" name="Frame1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before="120" w:after="120"/>
        <w:jc w:val="both"/>
        <w:rPr/>
      </w:pPr>
      <w:r>
        <w:rPr/>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MTL’s results of operations have been included in the Company’s consolidated financial statements from the acquisition date of January 9, 2026 through the end of the reporting period. Revenue and net income attributable to MTL for the periods presented were not material to the Company’s consolidated results. Pro forma financial information has not been presented because the impact of this acquisition was immaterial to our consolidated financial statements.</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Transaction Costs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 incurred less than $0.1 million of acquisition</w:t>
        <w:noBreakHyphen/>
        <w:t>related costs during the three months ended March 31, 2026 and $0.2 million in 2025, primarily consisting of legal, advisory, valuation, and integration expenses. These expenses are included in selling, general and administrative expenses in the Consolidated Statements of Income.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222885"/>
                <wp:effectExtent l="0" t="0" r="0" b="0"/>
                <wp:wrapNone/>
                <wp:docPr id="15" name="Frame1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before="120" w:after="120"/>
        <w:jc w:val="both"/>
        <w:rPr/>
      </w:pPr>
      <w:r>
        <w:rPr/>
      </w:r>
    </w:p>
    <w:p>
      <w:pPr>
        <w:pStyle w:val="TextBody"/>
        <w:bidi w:val="0"/>
        <w:spacing w:lineRule="auto" w:line="288" w:before="240" w:after="120"/>
        <w:jc w:val="both"/>
        <w:rPr>
          <w:rFonts w:ascii="Times New Roman;serif" w:hAnsi="Times New Roman;serif"/>
          <w:b/>
          <w:color w:val="000000"/>
          <w:sz w:val="20"/>
        </w:rPr>
      </w:pPr>
      <w:r>
        <w:rPr>
          <w:rFonts w:ascii="Times New Roman;serif" w:hAnsi="Times New Roman;serif"/>
          <w:b/>
          <w:color w:val="000000"/>
          <w:sz w:val="20"/>
        </w:rPr>
        <w:t xml:space="preserve">Note 3.    Revenue </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Disaggregation of Revenue</w:t>
      </w:r>
    </w:p>
    <w:p>
      <w:pPr>
        <w:pStyle w:val="TextBody"/>
        <w:bidi w:val="0"/>
        <w:spacing w:lineRule="auto" w:line="288" w:before="120" w:after="1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following table summarizes net sales by end market:</w:t>
      </w:r>
    </w:p>
    <w:tbl>
      <w:tblPr>
        <w:tblW w:w="5211" w:type="dxa"/>
        <w:jc w:val="left"/>
        <w:tblInd w:w="0" w:type="dxa"/>
        <w:tblLayout w:type="fixed"/>
        <w:tblCellMar>
          <w:top w:w="28" w:type="dxa"/>
          <w:left w:w="28" w:type="dxa"/>
          <w:bottom w:w="28" w:type="dxa"/>
          <w:right w:w="28" w:type="dxa"/>
        </w:tblCellMar>
      </w:tblPr>
      <w:tblGrid>
        <w:gridCol w:w="445"/>
        <w:gridCol w:w="392"/>
        <w:gridCol w:w="393"/>
        <w:gridCol w:w="109"/>
        <w:gridCol w:w="109"/>
        <w:gridCol w:w="109"/>
        <w:gridCol w:w="258"/>
        <w:gridCol w:w="971"/>
        <w:gridCol w:w="143"/>
        <w:gridCol w:w="143"/>
        <w:gridCol w:w="143"/>
        <w:gridCol w:w="143"/>
        <w:gridCol w:w="258"/>
        <w:gridCol w:w="971"/>
        <w:gridCol w:w="143"/>
        <w:gridCol w:w="109"/>
        <w:gridCol w:w="109"/>
        <w:gridCol w:w="109"/>
        <w:gridCol w:w="154"/>
      </w:tblGrid>
      <w:tr>
        <w:trPr/>
        <w:tc>
          <w:tcPr>
            <w:tcW w:w="445"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End Market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Power Systems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96,491 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106,647 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Industrial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26,557 </w:t>
            </w:r>
          </w:p>
        </w:tc>
        <w:tc>
          <w:tcPr>
            <w:tcW w:w="1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23,513 </w:t>
            </w:r>
          </w:p>
        </w:tc>
        <w:tc>
          <w:tcPr>
            <w:tcW w:w="1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Transportation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5,544 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5,286 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128,592 </w:t>
            </w:r>
          </w:p>
        </w:tc>
        <w:tc>
          <w:tcPr>
            <w:tcW w:w="14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135,446 </w:t>
            </w:r>
          </w:p>
        </w:tc>
        <w:tc>
          <w:tcPr>
            <w:tcW w:w="14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following table summarizes net sales by geographic area:</w:t>
      </w:r>
    </w:p>
    <w:tbl>
      <w:tblPr>
        <w:tblW w:w="7026" w:type="dxa"/>
        <w:jc w:val="left"/>
        <w:tblInd w:w="0" w:type="dxa"/>
        <w:tblLayout w:type="fixed"/>
        <w:tblCellMar>
          <w:top w:w="28" w:type="dxa"/>
          <w:left w:w="28" w:type="dxa"/>
          <w:bottom w:w="28" w:type="dxa"/>
          <w:right w:w="28" w:type="dxa"/>
        </w:tblCellMar>
      </w:tblPr>
      <w:tblGrid>
        <w:gridCol w:w="1101"/>
        <w:gridCol w:w="971"/>
        <w:gridCol w:w="973"/>
        <w:gridCol w:w="109"/>
        <w:gridCol w:w="109"/>
        <w:gridCol w:w="109"/>
        <w:gridCol w:w="258"/>
        <w:gridCol w:w="971"/>
        <w:gridCol w:w="143"/>
        <w:gridCol w:w="143"/>
        <w:gridCol w:w="143"/>
        <w:gridCol w:w="143"/>
        <w:gridCol w:w="258"/>
        <w:gridCol w:w="971"/>
        <w:gridCol w:w="143"/>
        <w:gridCol w:w="109"/>
        <w:gridCol w:w="109"/>
        <w:gridCol w:w="109"/>
        <w:gridCol w:w="154"/>
      </w:tblGrid>
      <w:tr>
        <w:trPr/>
        <w:tc>
          <w:tcPr>
            <w:tcW w:w="1101"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Geographic Area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United States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116,700 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127,656 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North America (outside of United States)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5,541 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4,013 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Pacific Rim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4,798 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2,781 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Europe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1,549 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971 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128,592 </w:t>
            </w:r>
          </w:p>
        </w:tc>
        <w:tc>
          <w:tcPr>
            <w:tcW w:w="1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135,446 </w:t>
            </w:r>
          </w:p>
        </w:tc>
        <w:tc>
          <w:tcPr>
            <w:tcW w:w="1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Contract Balances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Most of the Company’s contracts are for a period of less than one year; however, extended warranty contracts extend beyond one year. The timing of revenue recognition may differ from the time of invoicing to customers and these timing differences result in contract assets, or contract liabilities on the Company’s Consolidated Balance Sheets. Contract assets include amounts related to the contractual right to consideration for completed performance when the right to consideration is conditional. The Company records contract liabilities when cash payments are received or due in advance of performance. The fair value of noncash consideration of parts provided by customers is recorded in contract liabilities. Contract assets and contract liabilities are recognized at the contract level.</w:t>
      </w:r>
    </w:p>
    <w:tbl>
      <w:tblPr>
        <w:tblW w:w="10205" w:type="dxa"/>
        <w:jc w:val="left"/>
        <w:tblInd w:w="0" w:type="dxa"/>
        <w:tblLayout w:type="fixed"/>
        <w:tblCellMar>
          <w:top w:w="28" w:type="dxa"/>
          <w:left w:w="28" w:type="dxa"/>
          <w:bottom w:w="28" w:type="dxa"/>
          <w:right w:w="28" w:type="dxa"/>
        </w:tblCellMar>
      </w:tblPr>
      <w:tblGrid>
        <w:gridCol w:w="1529"/>
        <w:gridCol w:w="1324"/>
        <w:gridCol w:w="1327"/>
        <w:gridCol w:w="109"/>
        <w:gridCol w:w="109"/>
        <w:gridCol w:w="109"/>
        <w:gridCol w:w="316"/>
        <w:gridCol w:w="1046"/>
        <w:gridCol w:w="176"/>
        <w:gridCol w:w="109"/>
        <w:gridCol w:w="109"/>
        <w:gridCol w:w="109"/>
        <w:gridCol w:w="356"/>
        <w:gridCol w:w="1175"/>
        <w:gridCol w:w="197"/>
        <w:gridCol w:w="109"/>
        <w:gridCol w:w="109"/>
        <w:gridCol w:w="109"/>
        <w:gridCol w:w="349"/>
        <w:gridCol w:w="1151"/>
        <w:gridCol w:w="278"/>
      </w:tblGrid>
      <w:tr>
        <w:trPr/>
        <w:tc>
          <w:tcPr>
            <w:tcW w:w="1529"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before="0" w:after="283"/>
              <w:jc w:val="left"/>
              <w:rPr>
                <w:sz w:val="4"/>
                <w:szCs w:val="4"/>
              </w:rPr>
            </w:pPr>
            <w:r>
              <w:rPr>
                <w:sz w:val="4"/>
                <w:szCs w:val="4"/>
              </w:rPr>
            </w:r>
          </w:p>
        </w:tc>
        <w:tc>
          <w:tcPr>
            <w:tcW w:w="13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r>
      <w:tr>
        <w:trPr/>
        <w:tc>
          <w:tcPr>
            <w:tcW w:w="4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December 31, 2024</w:t>
            </w:r>
          </w:p>
        </w:tc>
      </w:tr>
      <w:tr>
        <w:trPr/>
        <w:tc>
          <w:tcPr>
            <w:tcW w:w="41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Short-term contract assets (included in </w:t>
            </w:r>
            <w:r>
              <w:rPr>
                <w:rFonts w:ascii="Times New Roman;serif" w:hAnsi="Times New Roman;serif"/>
                <w:b w:val="false"/>
                <w:i/>
                <w:color w:val="000000"/>
                <w:sz w:val="18"/>
              </w:rPr>
              <w:t>Contract assets</w:t>
            </w: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11,567 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15,965 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21,462 </w:t>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8" w:type="dxa"/>
            <w:gridSpan w:val="3"/>
            <w:tcBorders/>
            <w:vAlign w:val="center"/>
          </w:tcPr>
          <w:p>
            <w:pPr>
              <w:pStyle w:val="TableContents"/>
              <w:bidi w:val="0"/>
              <w:spacing w:before="0" w:after="283"/>
              <w:jc w:val="left"/>
              <w:rPr>
                <w:sz w:val="4"/>
                <w:szCs w:val="4"/>
              </w:rPr>
            </w:pPr>
            <w:r>
              <w:rPr>
                <w:sz w:val="4"/>
                <w:szCs w:val="4"/>
              </w:rPr>
            </w:r>
          </w:p>
        </w:tc>
      </w:tr>
      <w:tr>
        <w:trPr/>
        <w:tc>
          <w:tcPr>
            <w:tcW w:w="418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Short-term contract liabilities (included in </w:t>
            </w:r>
            <w:r>
              <w:rPr>
                <w:rFonts w:ascii="Times New Roman;serif" w:hAnsi="Times New Roman;serif"/>
                <w:b w:val="false"/>
                <w:i/>
                <w:color w:val="000000"/>
                <w:sz w:val="18"/>
              </w:rPr>
              <w:t>Other accrued liabilities</w:t>
            </w: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(2,597)</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(3,486)</w:t>
            </w:r>
          </w:p>
        </w:tc>
        <w:tc>
          <w:tcPr>
            <w:tcW w:w="1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(10,184)</w:t>
            </w:r>
          </w:p>
        </w:tc>
        <w:tc>
          <w:tcPr>
            <w:tcW w:w="2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Long-term contract liabilities (included in </w:t>
            </w:r>
            <w:r>
              <w:rPr>
                <w:rFonts w:ascii="Times New Roman;serif" w:hAnsi="Times New Roman;serif"/>
                <w:b w:val="false"/>
                <w:i/>
                <w:color w:val="000000"/>
                <w:sz w:val="18"/>
              </w:rPr>
              <w:t>Noncurrent contract liabilities</w:t>
            </w: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(1,666)</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(1,699)</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(1,877)</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contract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7,304 </w:t>
            </w:r>
          </w:p>
        </w:tc>
        <w:tc>
          <w:tcPr>
            <w:tcW w:w="17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7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10,780 </w:t>
            </w:r>
          </w:p>
        </w:tc>
        <w:tc>
          <w:tcPr>
            <w:tcW w:w="19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5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9,401 </w:t>
            </w:r>
          </w:p>
        </w:tc>
        <w:tc>
          <w:tcPr>
            <w:tcW w:w="27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jc w:val="both"/>
        <w:rPr/>
      </w:pPr>
      <w:r>
        <w:rPr>
          <w:rFonts w:ascii="Times New Roman;serif" w:hAnsi="Times New Roman;serif"/>
          <w:b w:val="false"/>
          <w:color w:val="000000"/>
          <w:sz w:val="20"/>
          <w:shd w:fill="FFFFFF" w:val="clear"/>
        </w:rPr>
        <w:t>During the three months ended March 31, 2026 and 2025, the Company recognized $1.3 million and $6.8 million, respectively, of revenue upon satisfaction of performance obligations related to amounts that were included in the net contract liabilities balan</w:t>
      </w:r>
      <w:r>
        <w:rPr>
          <w:rFonts w:ascii="Times New Roman;serif" w:hAnsi="Times New Roman;serif"/>
          <w:b w:val="false"/>
          <w:color w:val="000000"/>
          <w:sz w:val="20"/>
        </w:rPr>
        <w:t xml:space="preserve">ce as of December 31, 2025 and 2024, respectively. </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Remaining Performance Obligations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 has elected the practical expedient to not disclose remaining performance obligations that have expected original durations of one year or less. For performance obligations that extend beyond one year, the Company had $2.5 million of remaining performance obligations as of March 31, 2026, primarily related to extended warranties. The Company expects to recognize revenue related to these remaining performance obligations of approximately $0.7 million in 2026, $1.6 million in 2027, and $0.2 million in 2028.</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ind w:left="0" w:right="0" w:hanging="1080"/>
        <w:jc w:val="both"/>
        <w:rPr/>
      </w:pPr>
      <w:r>
        <w:rPr>
          <w:rFonts w:ascii="Times New Roman;serif" w:hAnsi="Times New Roman;serif"/>
          <w:b/>
          <w:color w:val="000000"/>
          <w:sz w:val="20"/>
        </w:rPr>
        <w:t>Note 4.    </w:t>
      </w:r>
      <w:r>
        <w:rPr>
          <w:rFonts w:ascii="Times New Roman;serif" w:hAnsi="Times New Roman;serif"/>
          <w:b/>
          <w:color w:val="000000"/>
          <w:sz w:val="20"/>
          <w:shd w:fill="FFFFFF" w:val="clear"/>
        </w:rPr>
        <w:t>Weichai Transactions</w:t>
      </w:r>
    </w:p>
    <w:p>
      <w:pPr>
        <w:pStyle w:val="TextBody"/>
        <w:bidi w:val="0"/>
        <w:spacing w:lineRule="auto" w:line="288" w:before="120" w:after="120"/>
        <w:ind w:left="0" w:right="0" w:hanging="720"/>
        <w:jc w:val="both"/>
        <w:rPr>
          <w:rFonts w:ascii="Times New Roman;serif" w:hAnsi="Times New Roman;serif"/>
          <w:b/>
          <w:color w:val="000000"/>
          <w:sz w:val="20"/>
        </w:rPr>
      </w:pPr>
      <w:r>
        <w:rPr>
          <w:rFonts w:ascii="Times New Roman;serif" w:hAnsi="Times New Roman;serif"/>
          <w:b/>
          <w:color w:val="000000"/>
          <w:sz w:val="20"/>
        </w:rPr>
        <w:t>Weichai Collaboration Arrangement and Related Party Transactions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and Weichai executed a strategic collaboration agreement (the “Collaboration Agreement”) on March 20, 2017, in order to achieve their respective strategic objectives and enhance the strategic cooperation alliance to share experiences,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222885"/>
                <wp:effectExtent l="0" t="0" r="0" b="0"/>
                <wp:wrapNone/>
                <wp:docPr id="16" name="Frame1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before="120" w:after="120"/>
        <w:jc w:val="both"/>
        <w:rPr/>
      </w:pPr>
      <w:r>
        <w:rPr/>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expertise and resources. On March 22, 2023, the Collaboration Agreement was extended for an additional term of three years, expiring in March 2026. The Company has received a renewal notice from Weichai and is in the process of negotiating the renewal of the Collaboration Agreement; however, no formal extension has been executed as of the date of this filing.</w:t>
      </w:r>
    </w:p>
    <w:p>
      <w:pPr>
        <w:pStyle w:val="TextBody"/>
        <w:bidi w:val="0"/>
        <w:spacing w:lineRule="auto" w:line="288" w:before="120" w:after="120"/>
        <w:jc w:val="both"/>
        <w:rPr/>
      </w:pPr>
      <w:r>
        <w:rPr>
          <w:rFonts w:ascii="Times New Roman;serif" w:hAnsi="Times New Roman;serif"/>
          <w:b w:val="false"/>
          <w:color w:val="000000"/>
          <w:sz w:val="20"/>
          <w:shd w:fill="FFFFFF" w:val="clear"/>
        </w:rPr>
        <w:t>The Company evaluates whether an arrangement is a collaborative arrangement at its inception ba</w:t>
      </w:r>
      <w:r>
        <w:rPr>
          <w:rFonts w:ascii="Times New Roman;serif" w:hAnsi="Times New Roman;serif"/>
          <w:b w:val="false"/>
          <w:color w:val="000000"/>
          <w:sz w:val="20"/>
        </w:rPr>
        <w:t xml:space="preserve">sed on the facts and circumstances specific to the arrangement. The Company also reevaluates whether an arrangement qualifies or continues to qualify as a collaborative arrangement whenever there is a change in either the roles of the participants or the participants’ exposure to significant risks and rewards dependent on the ultimate commercial success of the endeavor. For those collaborative arrangements where it is determined that the Company is the principal participant, costs incurred and revenue generated from third parties are recorded on a gross basis in the financial statements. Purchases of inventory from Weichai were </w:t>
      </w:r>
      <w:r>
        <w:rPr>
          <w:rFonts w:ascii="Times New Roman;serif" w:hAnsi="Times New Roman;serif"/>
          <w:b w:val="false"/>
          <w:color w:val="000000"/>
          <w:sz w:val="20"/>
          <w:shd w:fill="FFFFFF" w:val="clear"/>
        </w:rPr>
        <w:t>$3.9 million</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color w:val="000000"/>
          <w:sz w:val="20"/>
          <w:shd w:fill="FFFFFF" w:val="clear"/>
        </w:rPr>
        <w:t xml:space="preserve">$11.5 million for the three months ended </w:t>
      </w:r>
      <w:r>
        <w:rPr>
          <w:rFonts w:ascii="Times New Roman;serif" w:hAnsi="Times New Roman;serif"/>
          <w:b w:val="false"/>
          <w:color w:val="000000"/>
          <w:sz w:val="20"/>
        </w:rPr>
        <w:t xml:space="preserve">March 31, 2026 and </w:t>
      </w:r>
      <w:r>
        <w:rPr>
          <w:rFonts w:ascii="Times New Roman;serif" w:hAnsi="Times New Roman;serif"/>
          <w:b w:val="false"/>
          <w:color w:val="000000"/>
          <w:sz w:val="20"/>
          <w:shd w:fill="FFFFFF" w:val="clear"/>
        </w:rPr>
        <w:t>2025</w:t>
      </w:r>
      <w:r>
        <w:rPr>
          <w:rFonts w:ascii="Times New Roman;serif" w:hAnsi="Times New Roman;serif"/>
          <w:b w:val="false"/>
          <w:color w:val="000000"/>
          <w:sz w:val="20"/>
        </w:rPr>
        <w:t>, respectively.</w:t>
      </w:r>
    </w:p>
    <w:p>
      <w:pPr>
        <w:pStyle w:val="TextBody"/>
        <w:bidi w:val="0"/>
        <w:spacing w:lineRule="auto" w:line="288" w:before="120" w:after="120"/>
        <w:jc w:val="both"/>
        <w:rPr/>
      </w:pPr>
      <w:r>
        <w:rPr>
          <w:rFonts w:ascii="Times New Roman;serif" w:hAnsi="Times New Roman;serif"/>
          <w:b w:val="false"/>
          <w:color w:val="000000"/>
          <w:sz w:val="20"/>
          <w:shd w:fill="FFFFFF" w:val="clear"/>
        </w:rPr>
        <w:t xml:space="preserve">In January 2022, PSI </w:t>
      </w:r>
      <w:r>
        <w:rPr>
          <w:rFonts w:ascii="Times New Roman;serif" w:hAnsi="Times New Roman;serif"/>
          <w:b w:val="false"/>
          <w:color w:val="000000"/>
          <w:sz w:val="20"/>
        </w:rPr>
        <w:t xml:space="preserve">and Societe Internationale des Moteurs Baudouin (“Baudouin”), a subsidiary of Weichai, </w:t>
      </w:r>
      <w:r>
        <w:rPr>
          <w:rFonts w:ascii="Times New Roman;serif" w:hAnsi="Times New Roman;serif"/>
          <w:b w:val="false"/>
          <w:color w:val="000000"/>
          <w:sz w:val="20"/>
          <w:shd w:fill="FFFFFF" w:val="clear"/>
        </w:rPr>
        <w:t>entered</w:t>
      </w:r>
      <w:r>
        <w:rPr>
          <w:color w:val="000000"/>
        </w:rPr>
        <w:t xml:space="preserve"> </w:t>
      </w:r>
      <w:r>
        <w:rPr>
          <w:rFonts w:ascii="Times New Roman;serif" w:hAnsi="Times New Roman;serif"/>
          <w:b w:val="false"/>
          <w:color w:val="000000"/>
          <w:sz w:val="20"/>
        </w:rPr>
        <w:t>into an international distribution and sales agreement which enables Baudouin to bring PSI’s power systems line of products into the European, Middle Eastern, and African markets. In addition to sales, Baudouin will manage service, support, warranty claims, and technical requests. Refer to the Consolidated Balance Sheets and Statements of Income for detailed related party information.</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year ended December 31, 2025, the Company and KION North America Corporation ("KNA"), a subsidiary of Weichai, entered into an agreement to settle development costs incurred by the Company related to a 2.4L dual-fuel engine intended for use by KNA in the production of materials handling equipment. </w:t>
      </w:r>
    </w:p>
    <w:p>
      <w:pPr>
        <w:pStyle w:val="TextBody"/>
        <w:bidi w:val="0"/>
        <w:spacing w:lineRule="auto" w:line="288" w:before="120" w:after="120"/>
        <w:jc w:val="both"/>
        <w:rPr/>
      </w:pPr>
      <w:r>
        <w:rPr>
          <w:rFonts w:ascii="Times New Roman;serif" w:hAnsi="Times New Roman;serif"/>
          <w:b w:val="false"/>
          <w:color w:val="000000"/>
          <w:sz w:val="20"/>
        </w:rPr>
        <w:t>See Note 16.</w:t>
      </w:r>
      <w:r>
        <w:rPr>
          <w:color w:val="000000"/>
        </w:rPr>
        <w:t xml:space="preserve"> </w:t>
      </w:r>
      <w:r>
        <w:rPr>
          <w:rFonts w:ascii="Times New Roman;serif" w:hAnsi="Times New Roman;serif"/>
          <w:b w:val="false"/>
          <w:i/>
          <w:color w:val="000000"/>
          <w:sz w:val="20"/>
        </w:rPr>
        <w:t xml:space="preserve">Related Party Transactions </w:t>
      </w:r>
      <w:r>
        <w:rPr>
          <w:rFonts w:ascii="Times New Roman;serif" w:hAnsi="Times New Roman;serif"/>
          <w:b w:val="false"/>
          <w:color w:val="000000"/>
          <w:sz w:val="20"/>
        </w:rPr>
        <w:t>for information regarding the purchase agreement with Shandong Weichai Import &amp; Export Corporation (“SWIEC”), an affiliate of Weichai, KION North America Corporation ("KNA"), and manufacture of record (“MOR”) agreement with Weichai.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erif" w:hAnsi="Times New Roman;serif"/>
          <w:b/>
          <w:color w:val="000000"/>
          <w:sz w:val="20"/>
        </w:rPr>
      </w:pPr>
      <w:r>
        <w:rPr>
          <w:rFonts w:ascii="Times New Roman;serif" w:hAnsi="Times New Roman;serif"/>
          <w:b/>
          <w:color w:val="000000"/>
          <w:sz w:val="20"/>
        </w:rPr>
        <w:t>Note 5.    Property, Plant and Equipment</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Property, plant and equipment by type were as follows:</w:t>
      </w:r>
    </w:p>
    <w:tbl>
      <w:tblPr>
        <w:tblW w:w="7971" w:type="dxa"/>
        <w:jc w:val="left"/>
        <w:tblInd w:w="0" w:type="dxa"/>
        <w:tblLayout w:type="fixed"/>
        <w:tblCellMar>
          <w:top w:w="28" w:type="dxa"/>
          <w:left w:w="28" w:type="dxa"/>
          <w:bottom w:w="28" w:type="dxa"/>
          <w:right w:w="28" w:type="dxa"/>
        </w:tblCellMar>
      </w:tblPr>
      <w:tblGrid>
        <w:gridCol w:w="1280"/>
        <w:gridCol w:w="1128"/>
        <w:gridCol w:w="1131"/>
        <w:gridCol w:w="109"/>
        <w:gridCol w:w="109"/>
        <w:gridCol w:w="109"/>
        <w:gridCol w:w="358"/>
        <w:gridCol w:w="1182"/>
        <w:gridCol w:w="199"/>
        <w:gridCol w:w="109"/>
        <w:gridCol w:w="109"/>
        <w:gridCol w:w="109"/>
        <w:gridCol w:w="401"/>
        <w:gridCol w:w="1323"/>
        <w:gridCol w:w="315"/>
      </w:tblGrid>
      <w:tr>
        <w:trPr/>
        <w:tc>
          <w:tcPr>
            <w:tcW w:w="1280"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December 31, 2025</w:t>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Property, Plant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39" w:type="dxa"/>
            <w:gridSpan w:val="3"/>
            <w:tcBorders/>
            <w:vAlign w:val="center"/>
          </w:tcPr>
          <w:p>
            <w:pPr>
              <w:pStyle w:val="TableContents"/>
              <w:bidi w:val="0"/>
              <w:spacing w:before="0" w:after="283"/>
              <w:jc w:val="left"/>
              <w:rPr>
                <w:sz w:val="4"/>
                <w:szCs w:val="4"/>
              </w:rPr>
            </w:pPr>
            <w:r>
              <w:rPr>
                <w:sz w:val="4"/>
                <w:szCs w:val="4"/>
              </w:rPr>
            </w:r>
          </w:p>
        </w:tc>
      </w:tr>
      <w:tr>
        <w:trPr/>
        <w:tc>
          <w:tcPr>
            <w:tcW w:w="35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39" w:type="dxa"/>
            <w:gridSpan w:val="3"/>
            <w:tcBorders/>
            <w:vAlign w:val="center"/>
          </w:tcPr>
          <w:p>
            <w:pPr>
              <w:pStyle w:val="TableContents"/>
              <w:bidi w:val="0"/>
              <w:spacing w:before="0" w:after="283"/>
              <w:jc w:val="left"/>
              <w:rPr>
                <w:sz w:val="4"/>
                <w:szCs w:val="4"/>
              </w:rPr>
            </w:pPr>
            <w:r>
              <w:rPr>
                <w:sz w:val="4"/>
                <w:szCs w:val="4"/>
              </w:rPr>
            </w:r>
          </w:p>
        </w:tc>
      </w:tr>
      <w:tr>
        <w:trPr/>
        <w:tc>
          <w:tcPr>
            <w:tcW w:w="3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Leasehold improvements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8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15,180 </w:t>
            </w:r>
          </w:p>
        </w:tc>
        <w:tc>
          <w:tcPr>
            <w:tcW w:w="1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2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11,268 </w:t>
            </w:r>
          </w:p>
        </w:tc>
        <w:tc>
          <w:tcPr>
            <w:tcW w:w="3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Machinery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61,173 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53,306 </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Construction in progress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4,182 </w:t>
            </w:r>
          </w:p>
        </w:tc>
        <w:tc>
          <w:tcPr>
            <w:tcW w:w="1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3,151 </w:t>
            </w:r>
          </w:p>
        </w:tc>
        <w:tc>
          <w:tcPr>
            <w:tcW w:w="3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property, plant and equipment, at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80,535 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67,725 </w:t>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depreciation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(48,254)</w:t>
            </w:r>
          </w:p>
        </w:tc>
        <w:tc>
          <w:tcPr>
            <w:tcW w:w="1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(44,711)</w:t>
            </w:r>
          </w:p>
        </w:tc>
        <w:tc>
          <w:tcPr>
            <w:tcW w:w="3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Property, plant and equipment,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32,281 </w:t>
            </w:r>
          </w:p>
        </w:tc>
        <w:tc>
          <w:tcPr>
            <w:tcW w:w="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23,014 </w:t>
            </w:r>
          </w:p>
        </w:tc>
        <w:tc>
          <w:tcPr>
            <w:tcW w:w="3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222885"/>
                <wp:effectExtent l="0" t="0" r="0" b="0"/>
                <wp:wrapNone/>
                <wp:docPr id="17" name="Frame1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before="120" w:after="120"/>
        <w:jc w:val="both"/>
        <w:rPr/>
      </w:pPr>
      <w:r>
        <w:rPr/>
      </w:r>
    </w:p>
    <w:p>
      <w:pPr>
        <w:pStyle w:val="TextBody"/>
        <w:bidi w:val="0"/>
        <w:spacing w:lineRule="auto" w:line="288" w:before="400" w:after="120"/>
        <w:jc w:val="both"/>
        <w:rPr>
          <w:rFonts w:ascii="Times New Roman;serif" w:hAnsi="Times New Roman;serif"/>
          <w:b/>
          <w:color w:val="000000"/>
          <w:sz w:val="20"/>
        </w:rPr>
      </w:pPr>
      <w:r>
        <w:rPr>
          <w:rFonts w:ascii="Times New Roman;serif" w:hAnsi="Times New Roman;serif"/>
          <w:b/>
          <w:color w:val="000000"/>
          <w:sz w:val="20"/>
        </w:rPr>
        <w:t>Note 6.    Goodwill and Other Intangibles</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Goodwill</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carrying amount of goodwill at March 31, 2026 and December 31, 2025 was as follows: </w:t>
      </w:r>
    </w:p>
    <w:tbl>
      <w:tblPr>
        <w:tblW w:w="3395" w:type="dxa"/>
        <w:jc w:val="left"/>
        <w:tblInd w:w="0" w:type="dxa"/>
        <w:tblLayout w:type="fixed"/>
        <w:tblCellMar>
          <w:top w:w="28" w:type="dxa"/>
          <w:left w:w="28" w:type="dxa"/>
          <w:bottom w:w="28" w:type="dxa"/>
          <w:right w:w="28" w:type="dxa"/>
        </w:tblCellMar>
      </w:tblPr>
      <w:tblGrid>
        <w:gridCol w:w="869"/>
        <w:gridCol w:w="764"/>
        <w:gridCol w:w="766"/>
        <w:gridCol w:w="196"/>
        <w:gridCol w:w="646"/>
        <w:gridCol w:w="154"/>
      </w:tblGrid>
      <w:tr>
        <w:trPr/>
        <w:tc>
          <w:tcPr>
            <w:tcW w:w="869"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2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at December 31, 2025</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29,835 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Goodwill acquired</w:t>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5,086 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at March 31, 2026</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34,921 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Accumulated impairment losses at both March 31, 2026 and December 31, 2025 were $11.6 million.</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Other Intangible Assets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Components of intangible assets are as follows:</w:t>
      </w:r>
    </w:p>
    <w:tbl>
      <w:tblPr>
        <w:tblW w:w="8480" w:type="dxa"/>
        <w:jc w:val="left"/>
        <w:tblInd w:w="0" w:type="dxa"/>
        <w:tblLayout w:type="fixed"/>
        <w:tblCellMar>
          <w:top w:w="28" w:type="dxa"/>
          <w:left w:w="28" w:type="dxa"/>
          <w:bottom w:w="28" w:type="dxa"/>
          <w:right w:w="28" w:type="dxa"/>
        </w:tblCellMar>
      </w:tblPr>
      <w:tblGrid>
        <w:gridCol w:w="776"/>
        <w:gridCol w:w="683"/>
        <w:gridCol w:w="685"/>
        <w:gridCol w:w="109"/>
        <w:gridCol w:w="109"/>
        <w:gridCol w:w="109"/>
        <w:gridCol w:w="371"/>
        <w:gridCol w:w="1223"/>
        <w:gridCol w:w="206"/>
        <w:gridCol w:w="109"/>
        <w:gridCol w:w="109"/>
        <w:gridCol w:w="109"/>
        <w:gridCol w:w="443"/>
        <w:gridCol w:w="1498"/>
        <w:gridCol w:w="249"/>
        <w:gridCol w:w="109"/>
        <w:gridCol w:w="109"/>
        <w:gridCol w:w="109"/>
        <w:gridCol w:w="295"/>
        <w:gridCol w:w="838"/>
        <w:gridCol w:w="232"/>
      </w:tblGrid>
      <w:tr>
        <w:trPr/>
        <w:tc>
          <w:tcPr>
            <w:tcW w:w="776"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49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r>
      <w:tr>
        <w:trPr/>
        <w:tc>
          <w:tcPr>
            <w:tcW w:w="21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9"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March 31, 2026</w:t>
            </w:r>
          </w:p>
        </w:tc>
      </w:tr>
      <w:tr>
        <w:trPr/>
        <w:tc>
          <w:tcPr>
            <w:tcW w:w="2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Gross 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Net Book Value</w:t>
            </w:r>
          </w:p>
        </w:tc>
      </w:tr>
      <w:tr>
        <w:trPr/>
        <w:tc>
          <w:tcPr>
            <w:tcW w:w="21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r>
      <w:tr>
        <w:trPr/>
        <w:tc>
          <w:tcPr>
            <w:tcW w:w="2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Customer relationships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34,940 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(33,988)</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952 </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Developed technology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700 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(700)</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Trade names and trademarks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2,320 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(1,665)</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655 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37,960 </w:t>
            </w:r>
          </w:p>
        </w:tc>
        <w:tc>
          <w:tcPr>
            <w:tcW w:w="2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(36,353)</w:t>
            </w:r>
          </w:p>
        </w:tc>
        <w:tc>
          <w:tcPr>
            <w:tcW w:w="2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1,607 </w:t>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8480" w:type="dxa"/>
        <w:jc w:val="left"/>
        <w:tblInd w:w="0" w:type="dxa"/>
        <w:tblLayout w:type="fixed"/>
        <w:tblCellMar>
          <w:top w:w="28" w:type="dxa"/>
          <w:left w:w="28" w:type="dxa"/>
          <w:bottom w:w="28" w:type="dxa"/>
          <w:right w:w="28" w:type="dxa"/>
        </w:tblCellMar>
      </w:tblPr>
      <w:tblGrid>
        <w:gridCol w:w="776"/>
        <w:gridCol w:w="683"/>
        <w:gridCol w:w="685"/>
        <w:gridCol w:w="109"/>
        <w:gridCol w:w="109"/>
        <w:gridCol w:w="109"/>
        <w:gridCol w:w="371"/>
        <w:gridCol w:w="1223"/>
        <w:gridCol w:w="206"/>
        <w:gridCol w:w="109"/>
        <w:gridCol w:w="109"/>
        <w:gridCol w:w="109"/>
        <w:gridCol w:w="443"/>
        <w:gridCol w:w="1498"/>
        <w:gridCol w:w="249"/>
        <w:gridCol w:w="109"/>
        <w:gridCol w:w="109"/>
        <w:gridCol w:w="109"/>
        <w:gridCol w:w="295"/>
        <w:gridCol w:w="838"/>
        <w:gridCol w:w="232"/>
      </w:tblGrid>
      <w:tr>
        <w:trPr/>
        <w:tc>
          <w:tcPr>
            <w:tcW w:w="776"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49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r>
      <w:tr>
        <w:trPr/>
        <w:tc>
          <w:tcPr>
            <w:tcW w:w="21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December 31, 2025</w:t>
            </w:r>
          </w:p>
        </w:tc>
      </w:tr>
      <w:tr>
        <w:trPr/>
        <w:tc>
          <w:tcPr>
            <w:tcW w:w="2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Gross 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Net Book Value</w:t>
            </w:r>
          </w:p>
        </w:tc>
      </w:tr>
      <w:tr>
        <w:trPr/>
        <w:tc>
          <w:tcPr>
            <w:tcW w:w="21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r>
      <w:tr>
        <w:trPr/>
        <w:tc>
          <w:tcPr>
            <w:tcW w:w="2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Customer relationships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34,940 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(33,751)</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1,189 </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Developed technology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700 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(700)</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Trade names and trademarks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1,700 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(1,653)</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37,340 </w:t>
            </w:r>
          </w:p>
        </w:tc>
        <w:tc>
          <w:tcPr>
            <w:tcW w:w="2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(36,104)</w:t>
            </w:r>
          </w:p>
        </w:tc>
        <w:tc>
          <w:tcPr>
            <w:tcW w:w="2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1,236 </w:t>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222885"/>
                <wp:effectExtent l="0" t="0" r="0" b="0"/>
                <wp:wrapNone/>
                <wp:docPr id="18" name="Frame1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before="120" w:after="120"/>
        <w:jc w:val="both"/>
        <w:rPr/>
      </w:pPr>
      <w:r>
        <w:rPr/>
      </w:r>
    </w:p>
    <w:p>
      <w:pPr>
        <w:pStyle w:val="TextBody"/>
        <w:bidi w:val="0"/>
        <w:spacing w:lineRule="auto" w:line="288" w:before="240" w:after="12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Note 7.    Debt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Company’s outstanding debt consisted of the following:</w:t>
      </w:r>
    </w:p>
    <w:tbl>
      <w:tblPr>
        <w:tblW w:w="10205" w:type="dxa"/>
        <w:jc w:val="left"/>
        <w:tblInd w:w="0" w:type="dxa"/>
        <w:tblLayout w:type="fixed"/>
        <w:tblCellMar>
          <w:top w:w="28" w:type="dxa"/>
          <w:left w:w="28" w:type="dxa"/>
          <w:bottom w:w="28" w:type="dxa"/>
          <w:right w:w="28" w:type="dxa"/>
        </w:tblCellMar>
      </w:tblPr>
      <w:tblGrid>
        <w:gridCol w:w="1509"/>
        <w:gridCol w:w="1321"/>
        <w:gridCol w:w="1327"/>
        <w:gridCol w:w="109"/>
        <w:gridCol w:w="109"/>
        <w:gridCol w:w="109"/>
        <w:gridCol w:w="245"/>
        <w:gridCol w:w="921"/>
        <w:gridCol w:w="135"/>
        <w:gridCol w:w="214"/>
        <w:gridCol w:w="214"/>
        <w:gridCol w:w="216"/>
        <w:gridCol w:w="109"/>
        <w:gridCol w:w="109"/>
        <w:gridCol w:w="109"/>
        <w:gridCol w:w="298"/>
        <w:gridCol w:w="981"/>
        <w:gridCol w:w="165"/>
        <w:gridCol w:w="216"/>
        <w:gridCol w:w="216"/>
        <w:gridCol w:w="213"/>
        <w:gridCol w:w="395"/>
        <w:gridCol w:w="395"/>
        <w:gridCol w:w="570"/>
      </w:tblGrid>
      <w:tr>
        <w:trPr/>
        <w:tc>
          <w:tcPr>
            <w:tcW w:w="1509"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c>
          <w:tcPr>
            <w:tcW w:w="13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r>
      <w:tr>
        <w:trPr/>
        <w:tc>
          <w:tcPr>
            <w:tcW w:w="41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5"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December 31, 2025</w:t>
            </w:r>
          </w:p>
        </w:tc>
        <w:tc>
          <w:tcPr>
            <w:tcW w:w="1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64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Rate </w:t>
            </w:r>
            <w:r>
              <w:rPr>
                <w:rFonts w:ascii="Times New Roman;serif" w:hAnsi="Times New Roman;serif"/>
                <w:b/>
                <w:color w:val="000000"/>
                <w:sz w:val="12"/>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64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Rate </w:t>
            </w:r>
            <w:r>
              <w:rPr>
                <w:rFonts w:ascii="Times New Roman;serif" w:hAnsi="Times New Roman;serif"/>
                <w:b/>
                <w:color w:val="000000"/>
                <w:sz w:val="12"/>
              </w:rPr>
              <w:t>(2)</w:t>
            </w:r>
          </w:p>
        </w:tc>
        <w:tc>
          <w:tcPr>
            <w:tcW w:w="1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Maturity Date</w:t>
            </w:r>
          </w:p>
        </w:tc>
      </w:tr>
      <w:tr>
        <w:trPr/>
        <w:tc>
          <w:tcPr>
            <w:tcW w:w="4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1" w:type="dxa"/>
            <w:gridSpan w:val="3"/>
            <w:tcBorders/>
            <w:vAlign w:val="center"/>
          </w:tcPr>
          <w:p>
            <w:pPr>
              <w:pStyle w:val="TableContents"/>
              <w:bidi w:val="0"/>
              <w:spacing w:before="0" w:after="283"/>
              <w:jc w:val="left"/>
              <w:rPr>
                <w:sz w:val="4"/>
                <w:szCs w:val="4"/>
              </w:rPr>
            </w:pPr>
            <w:r>
              <w:rPr>
                <w:sz w:val="4"/>
                <w:szCs w:val="4"/>
              </w:rPr>
            </w:r>
          </w:p>
        </w:tc>
        <w:tc>
          <w:tcPr>
            <w:tcW w:w="6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4" w:type="dxa"/>
            <w:gridSpan w:val="3"/>
            <w:tcBorders/>
            <w:vAlign w:val="center"/>
          </w:tcPr>
          <w:p>
            <w:pPr>
              <w:pStyle w:val="TableContents"/>
              <w:bidi w:val="0"/>
              <w:spacing w:before="0" w:after="283"/>
              <w:jc w:val="left"/>
              <w:rPr>
                <w:sz w:val="4"/>
                <w:szCs w:val="4"/>
              </w:rPr>
            </w:pPr>
            <w:r>
              <w:rPr>
                <w:sz w:val="4"/>
                <w:szCs w:val="4"/>
              </w:rPr>
            </w:r>
          </w:p>
        </w:tc>
        <w:tc>
          <w:tcPr>
            <w:tcW w:w="645" w:type="dxa"/>
            <w:gridSpan w:val="3"/>
            <w:tcBorders/>
            <w:vAlign w:val="center"/>
          </w:tcPr>
          <w:p>
            <w:pPr>
              <w:pStyle w:val="TableContents"/>
              <w:bidi w:val="0"/>
              <w:spacing w:before="0" w:after="283"/>
              <w:jc w:val="left"/>
              <w:rPr>
                <w:sz w:val="4"/>
                <w:szCs w:val="4"/>
              </w:rPr>
            </w:pPr>
            <w:r>
              <w:rPr>
                <w:sz w:val="4"/>
                <w:szCs w:val="4"/>
              </w:rPr>
            </w:r>
          </w:p>
        </w:tc>
        <w:tc>
          <w:tcPr>
            <w:tcW w:w="1360" w:type="dxa"/>
            <w:gridSpan w:val="3"/>
            <w:tcBorders/>
            <w:vAlign w:val="center"/>
          </w:tcPr>
          <w:p>
            <w:pPr>
              <w:pStyle w:val="TableContents"/>
              <w:bidi w:val="0"/>
              <w:spacing w:before="0" w:after="283"/>
              <w:jc w:val="left"/>
              <w:rPr>
                <w:sz w:val="4"/>
                <w:szCs w:val="4"/>
              </w:rPr>
            </w:pPr>
            <w:r>
              <w:rPr>
                <w:sz w:val="4"/>
                <w:szCs w:val="4"/>
              </w:rPr>
            </w:r>
          </w:p>
        </w:tc>
      </w:tr>
      <w:tr>
        <w:trPr/>
        <w:tc>
          <w:tcPr>
            <w:tcW w:w="4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1" w:type="dxa"/>
            <w:gridSpan w:val="3"/>
            <w:tcBorders/>
            <w:vAlign w:val="center"/>
          </w:tcPr>
          <w:p>
            <w:pPr>
              <w:pStyle w:val="TableContents"/>
              <w:bidi w:val="0"/>
              <w:spacing w:before="0" w:after="283"/>
              <w:jc w:val="left"/>
              <w:rPr>
                <w:sz w:val="4"/>
                <w:szCs w:val="4"/>
              </w:rPr>
            </w:pPr>
            <w:r>
              <w:rPr>
                <w:sz w:val="4"/>
                <w:szCs w:val="4"/>
              </w:rPr>
            </w:r>
          </w:p>
        </w:tc>
        <w:tc>
          <w:tcPr>
            <w:tcW w:w="6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4" w:type="dxa"/>
            <w:gridSpan w:val="3"/>
            <w:tcBorders/>
            <w:vAlign w:val="center"/>
          </w:tcPr>
          <w:p>
            <w:pPr>
              <w:pStyle w:val="TableContents"/>
              <w:bidi w:val="0"/>
              <w:spacing w:before="0" w:after="283"/>
              <w:jc w:val="left"/>
              <w:rPr>
                <w:sz w:val="4"/>
                <w:szCs w:val="4"/>
              </w:rPr>
            </w:pPr>
            <w:r>
              <w:rPr>
                <w:sz w:val="4"/>
                <w:szCs w:val="4"/>
              </w:rPr>
            </w:r>
          </w:p>
        </w:tc>
        <w:tc>
          <w:tcPr>
            <w:tcW w:w="645" w:type="dxa"/>
            <w:gridSpan w:val="3"/>
            <w:tcBorders/>
            <w:vAlign w:val="center"/>
          </w:tcPr>
          <w:p>
            <w:pPr>
              <w:pStyle w:val="TableContents"/>
              <w:bidi w:val="0"/>
              <w:spacing w:before="0" w:after="283"/>
              <w:jc w:val="left"/>
              <w:rPr>
                <w:sz w:val="4"/>
                <w:szCs w:val="4"/>
              </w:rPr>
            </w:pPr>
            <w:r>
              <w:rPr>
                <w:sz w:val="4"/>
                <w:szCs w:val="4"/>
              </w:rPr>
            </w:r>
          </w:p>
        </w:tc>
        <w:tc>
          <w:tcPr>
            <w:tcW w:w="1360" w:type="dxa"/>
            <w:gridSpan w:val="3"/>
            <w:tcBorders/>
            <w:vAlign w:val="center"/>
          </w:tcPr>
          <w:p>
            <w:pPr>
              <w:pStyle w:val="TableContents"/>
              <w:bidi w:val="0"/>
              <w:spacing w:before="0" w:after="283"/>
              <w:jc w:val="left"/>
              <w:rPr>
                <w:sz w:val="4"/>
                <w:szCs w:val="4"/>
              </w:rPr>
            </w:pPr>
            <w:r>
              <w:rPr>
                <w:sz w:val="4"/>
                <w:szCs w:val="4"/>
              </w:rPr>
            </w:r>
          </w:p>
        </w:tc>
      </w:tr>
      <w:tr>
        <w:trPr/>
        <w:tc>
          <w:tcPr>
            <w:tcW w:w="4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1" w:type="dxa"/>
            <w:gridSpan w:val="3"/>
            <w:tcBorders/>
            <w:vAlign w:val="center"/>
          </w:tcPr>
          <w:p>
            <w:pPr>
              <w:pStyle w:val="TableContents"/>
              <w:bidi w:val="0"/>
              <w:spacing w:before="0" w:after="283"/>
              <w:jc w:val="left"/>
              <w:rPr>
                <w:sz w:val="4"/>
                <w:szCs w:val="4"/>
              </w:rPr>
            </w:pPr>
            <w:r>
              <w:rPr>
                <w:sz w:val="4"/>
                <w:szCs w:val="4"/>
              </w:rPr>
            </w:r>
          </w:p>
        </w:tc>
        <w:tc>
          <w:tcPr>
            <w:tcW w:w="6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4" w:type="dxa"/>
            <w:gridSpan w:val="3"/>
            <w:tcBorders/>
            <w:vAlign w:val="center"/>
          </w:tcPr>
          <w:p>
            <w:pPr>
              <w:pStyle w:val="TableContents"/>
              <w:bidi w:val="0"/>
              <w:spacing w:before="0" w:after="283"/>
              <w:jc w:val="left"/>
              <w:rPr>
                <w:sz w:val="4"/>
                <w:szCs w:val="4"/>
              </w:rPr>
            </w:pPr>
            <w:r>
              <w:rPr>
                <w:sz w:val="4"/>
                <w:szCs w:val="4"/>
              </w:rPr>
            </w:r>
          </w:p>
        </w:tc>
        <w:tc>
          <w:tcPr>
            <w:tcW w:w="645" w:type="dxa"/>
            <w:gridSpan w:val="3"/>
            <w:tcBorders/>
            <w:vAlign w:val="center"/>
          </w:tcPr>
          <w:p>
            <w:pPr>
              <w:pStyle w:val="TableContents"/>
              <w:bidi w:val="0"/>
              <w:spacing w:before="0" w:after="283"/>
              <w:jc w:val="left"/>
              <w:rPr>
                <w:sz w:val="4"/>
                <w:szCs w:val="4"/>
              </w:rPr>
            </w:pPr>
            <w:r>
              <w:rPr>
                <w:sz w:val="4"/>
                <w:szCs w:val="4"/>
              </w:rPr>
            </w:r>
          </w:p>
        </w:tc>
        <w:tc>
          <w:tcPr>
            <w:tcW w:w="1360" w:type="dxa"/>
            <w:gridSpan w:val="3"/>
            <w:tcBorders/>
            <w:vAlign w:val="center"/>
          </w:tcPr>
          <w:p>
            <w:pPr>
              <w:pStyle w:val="TableContents"/>
              <w:bidi w:val="0"/>
              <w:spacing w:before="0" w:after="283"/>
              <w:jc w:val="left"/>
              <w:rPr>
                <w:sz w:val="4"/>
                <w:szCs w:val="4"/>
              </w:rPr>
            </w:pPr>
            <w:r>
              <w:rPr>
                <w:sz w:val="4"/>
                <w:szCs w:val="4"/>
              </w:rPr>
            </w:r>
          </w:p>
        </w:tc>
      </w:tr>
      <w:tr>
        <w:trPr/>
        <w:tc>
          <w:tcPr>
            <w:tcW w:w="4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1" w:type="dxa"/>
            <w:gridSpan w:val="3"/>
            <w:tcBorders/>
            <w:vAlign w:val="center"/>
          </w:tcPr>
          <w:p>
            <w:pPr>
              <w:pStyle w:val="TableContents"/>
              <w:bidi w:val="0"/>
              <w:spacing w:before="0" w:after="283"/>
              <w:jc w:val="left"/>
              <w:rPr>
                <w:sz w:val="4"/>
                <w:szCs w:val="4"/>
              </w:rPr>
            </w:pPr>
            <w:r>
              <w:rPr>
                <w:sz w:val="4"/>
                <w:szCs w:val="4"/>
              </w:rPr>
            </w:r>
          </w:p>
        </w:tc>
        <w:tc>
          <w:tcPr>
            <w:tcW w:w="6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4" w:type="dxa"/>
            <w:gridSpan w:val="3"/>
            <w:tcBorders/>
            <w:vAlign w:val="center"/>
          </w:tcPr>
          <w:p>
            <w:pPr>
              <w:pStyle w:val="TableContents"/>
              <w:bidi w:val="0"/>
              <w:spacing w:before="0" w:after="283"/>
              <w:jc w:val="left"/>
              <w:rPr>
                <w:sz w:val="4"/>
                <w:szCs w:val="4"/>
              </w:rPr>
            </w:pPr>
            <w:r>
              <w:rPr>
                <w:sz w:val="4"/>
                <w:szCs w:val="4"/>
              </w:rPr>
            </w:r>
          </w:p>
        </w:tc>
        <w:tc>
          <w:tcPr>
            <w:tcW w:w="645" w:type="dxa"/>
            <w:gridSpan w:val="3"/>
            <w:tcBorders/>
            <w:vAlign w:val="center"/>
          </w:tcPr>
          <w:p>
            <w:pPr>
              <w:pStyle w:val="TableContents"/>
              <w:bidi w:val="0"/>
              <w:spacing w:before="0" w:after="283"/>
              <w:jc w:val="left"/>
              <w:rPr>
                <w:sz w:val="4"/>
                <w:szCs w:val="4"/>
              </w:rPr>
            </w:pPr>
            <w:r>
              <w:rPr>
                <w:sz w:val="4"/>
                <w:szCs w:val="4"/>
              </w:rPr>
            </w:r>
          </w:p>
        </w:tc>
        <w:tc>
          <w:tcPr>
            <w:tcW w:w="1360" w:type="dxa"/>
            <w:gridSpan w:val="3"/>
            <w:tcBorders/>
            <w:vAlign w:val="center"/>
          </w:tcPr>
          <w:p>
            <w:pPr>
              <w:pStyle w:val="TableContents"/>
              <w:bidi w:val="0"/>
              <w:spacing w:before="0" w:after="283"/>
              <w:jc w:val="left"/>
              <w:rPr>
                <w:sz w:val="4"/>
                <w:szCs w:val="4"/>
              </w:rPr>
            </w:pPr>
            <w:r>
              <w:rPr>
                <w:sz w:val="4"/>
                <w:szCs w:val="4"/>
              </w:rPr>
            </w:r>
          </w:p>
        </w:tc>
      </w:tr>
      <w:tr>
        <w:trPr/>
        <w:tc>
          <w:tcPr>
            <w:tcW w:w="4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1" w:type="dxa"/>
            <w:gridSpan w:val="3"/>
            <w:tcBorders/>
            <w:vAlign w:val="center"/>
          </w:tcPr>
          <w:p>
            <w:pPr>
              <w:pStyle w:val="TableContents"/>
              <w:bidi w:val="0"/>
              <w:spacing w:before="0" w:after="283"/>
              <w:jc w:val="left"/>
              <w:rPr>
                <w:sz w:val="4"/>
                <w:szCs w:val="4"/>
              </w:rPr>
            </w:pPr>
            <w:r>
              <w:rPr>
                <w:sz w:val="4"/>
                <w:szCs w:val="4"/>
              </w:rPr>
            </w:r>
          </w:p>
        </w:tc>
        <w:tc>
          <w:tcPr>
            <w:tcW w:w="6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4" w:type="dxa"/>
            <w:gridSpan w:val="3"/>
            <w:tcBorders/>
            <w:vAlign w:val="center"/>
          </w:tcPr>
          <w:p>
            <w:pPr>
              <w:pStyle w:val="TableContents"/>
              <w:bidi w:val="0"/>
              <w:spacing w:before="0" w:after="283"/>
              <w:jc w:val="left"/>
              <w:rPr>
                <w:sz w:val="4"/>
                <w:szCs w:val="4"/>
              </w:rPr>
            </w:pPr>
            <w:r>
              <w:rPr>
                <w:sz w:val="4"/>
                <w:szCs w:val="4"/>
              </w:rPr>
            </w:r>
          </w:p>
        </w:tc>
        <w:tc>
          <w:tcPr>
            <w:tcW w:w="645" w:type="dxa"/>
            <w:gridSpan w:val="3"/>
            <w:tcBorders/>
            <w:vAlign w:val="center"/>
          </w:tcPr>
          <w:p>
            <w:pPr>
              <w:pStyle w:val="TableContents"/>
              <w:bidi w:val="0"/>
              <w:spacing w:before="0" w:after="283"/>
              <w:jc w:val="left"/>
              <w:rPr>
                <w:sz w:val="4"/>
                <w:szCs w:val="4"/>
              </w:rPr>
            </w:pPr>
            <w:r>
              <w:rPr>
                <w:sz w:val="4"/>
                <w:szCs w:val="4"/>
              </w:rPr>
            </w:r>
          </w:p>
        </w:tc>
        <w:tc>
          <w:tcPr>
            <w:tcW w:w="1360" w:type="dxa"/>
            <w:gridSpan w:val="3"/>
            <w:tcBorders/>
            <w:vAlign w:val="center"/>
          </w:tcPr>
          <w:p>
            <w:pPr>
              <w:pStyle w:val="TableContents"/>
              <w:bidi w:val="0"/>
              <w:spacing w:before="0" w:after="283"/>
              <w:jc w:val="left"/>
              <w:rPr>
                <w:sz w:val="4"/>
                <w:szCs w:val="4"/>
              </w:rPr>
            </w:pPr>
            <w:r>
              <w:rPr>
                <w:sz w:val="4"/>
                <w:szCs w:val="4"/>
              </w:rPr>
            </w:r>
          </w:p>
        </w:tc>
      </w:tr>
      <w:tr>
        <w:trPr/>
        <w:tc>
          <w:tcPr>
            <w:tcW w:w="4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1" w:type="dxa"/>
            <w:gridSpan w:val="3"/>
            <w:tcBorders/>
            <w:vAlign w:val="center"/>
          </w:tcPr>
          <w:p>
            <w:pPr>
              <w:pStyle w:val="TableContents"/>
              <w:bidi w:val="0"/>
              <w:spacing w:before="0" w:after="283"/>
              <w:jc w:val="left"/>
              <w:rPr>
                <w:sz w:val="4"/>
                <w:szCs w:val="4"/>
              </w:rPr>
            </w:pPr>
            <w:r>
              <w:rPr>
                <w:sz w:val="4"/>
                <w:szCs w:val="4"/>
              </w:rPr>
            </w:r>
          </w:p>
        </w:tc>
        <w:tc>
          <w:tcPr>
            <w:tcW w:w="6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4" w:type="dxa"/>
            <w:gridSpan w:val="3"/>
            <w:tcBorders/>
            <w:vAlign w:val="center"/>
          </w:tcPr>
          <w:p>
            <w:pPr>
              <w:pStyle w:val="TableContents"/>
              <w:bidi w:val="0"/>
              <w:spacing w:before="0" w:after="283"/>
              <w:jc w:val="left"/>
              <w:rPr>
                <w:sz w:val="4"/>
                <w:szCs w:val="4"/>
              </w:rPr>
            </w:pPr>
            <w:r>
              <w:rPr>
                <w:sz w:val="4"/>
                <w:szCs w:val="4"/>
              </w:rPr>
            </w:r>
          </w:p>
        </w:tc>
        <w:tc>
          <w:tcPr>
            <w:tcW w:w="645" w:type="dxa"/>
            <w:gridSpan w:val="3"/>
            <w:tcBorders/>
            <w:vAlign w:val="center"/>
          </w:tcPr>
          <w:p>
            <w:pPr>
              <w:pStyle w:val="TableContents"/>
              <w:bidi w:val="0"/>
              <w:spacing w:before="0" w:after="283"/>
              <w:jc w:val="left"/>
              <w:rPr>
                <w:sz w:val="4"/>
                <w:szCs w:val="4"/>
              </w:rPr>
            </w:pPr>
            <w:r>
              <w:rPr>
                <w:sz w:val="4"/>
                <w:szCs w:val="4"/>
              </w:rPr>
            </w:r>
          </w:p>
        </w:tc>
        <w:tc>
          <w:tcPr>
            <w:tcW w:w="1360" w:type="dxa"/>
            <w:gridSpan w:val="3"/>
            <w:tcBorders/>
            <w:vAlign w:val="center"/>
          </w:tcPr>
          <w:p>
            <w:pPr>
              <w:pStyle w:val="TableContents"/>
              <w:bidi w:val="0"/>
              <w:spacing w:before="0" w:after="283"/>
              <w:jc w:val="left"/>
              <w:rPr>
                <w:sz w:val="4"/>
                <w:szCs w:val="4"/>
              </w:rPr>
            </w:pPr>
            <w:r>
              <w:rPr>
                <w:sz w:val="4"/>
                <w:szCs w:val="4"/>
              </w:rPr>
            </w:r>
          </w:p>
        </w:tc>
      </w:tr>
      <w:tr>
        <w:trPr/>
        <w:tc>
          <w:tcPr>
            <w:tcW w:w="4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1" w:type="dxa"/>
            <w:gridSpan w:val="3"/>
            <w:tcBorders/>
            <w:vAlign w:val="center"/>
          </w:tcPr>
          <w:p>
            <w:pPr>
              <w:pStyle w:val="TableContents"/>
              <w:bidi w:val="0"/>
              <w:spacing w:before="0" w:after="283"/>
              <w:jc w:val="left"/>
              <w:rPr>
                <w:sz w:val="4"/>
                <w:szCs w:val="4"/>
              </w:rPr>
            </w:pPr>
            <w:r>
              <w:rPr>
                <w:sz w:val="4"/>
                <w:szCs w:val="4"/>
              </w:rPr>
            </w:r>
          </w:p>
        </w:tc>
        <w:tc>
          <w:tcPr>
            <w:tcW w:w="6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4" w:type="dxa"/>
            <w:gridSpan w:val="3"/>
            <w:tcBorders/>
            <w:vAlign w:val="center"/>
          </w:tcPr>
          <w:p>
            <w:pPr>
              <w:pStyle w:val="TableContents"/>
              <w:bidi w:val="0"/>
              <w:spacing w:before="0" w:after="283"/>
              <w:jc w:val="left"/>
              <w:rPr>
                <w:sz w:val="4"/>
                <w:szCs w:val="4"/>
              </w:rPr>
            </w:pPr>
            <w:r>
              <w:rPr>
                <w:sz w:val="4"/>
                <w:szCs w:val="4"/>
              </w:rPr>
            </w:r>
          </w:p>
        </w:tc>
        <w:tc>
          <w:tcPr>
            <w:tcW w:w="645" w:type="dxa"/>
            <w:gridSpan w:val="3"/>
            <w:tcBorders/>
            <w:vAlign w:val="center"/>
          </w:tcPr>
          <w:p>
            <w:pPr>
              <w:pStyle w:val="TableContents"/>
              <w:bidi w:val="0"/>
              <w:spacing w:before="0" w:after="283"/>
              <w:jc w:val="left"/>
              <w:rPr>
                <w:sz w:val="4"/>
                <w:szCs w:val="4"/>
              </w:rPr>
            </w:pPr>
            <w:r>
              <w:rPr>
                <w:sz w:val="4"/>
                <w:szCs w:val="4"/>
              </w:rPr>
            </w:r>
          </w:p>
        </w:tc>
        <w:tc>
          <w:tcPr>
            <w:tcW w:w="1360" w:type="dxa"/>
            <w:gridSpan w:val="3"/>
            <w:tcBorders/>
            <w:vAlign w:val="center"/>
          </w:tcPr>
          <w:p>
            <w:pPr>
              <w:pStyle w:val="TableContents"/>
              <w:bidi w:val="0"/>
              <w:spacing w:before="0" w:after="283"/>
              <w:jc w:val="left"/>
              <w:rPr>
                <w:sz w:val="4"/>
                <w:szCs w:val="4"/>
              </w:rPr>
            </w:pPr>
            <w:r>
              <w:rPr>
                <w:sz w:val="4"/>
                <w:szCs w:val="4"/>
              </w:rPr>
            </w:r>
          </w:p>
        </w:tc>
      </w:tr>
      <w:tr>
        <w:trPr/>
        <w:tc>
          <w:tcPr>
            <w:tcW w:w="4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1" w:type="dxa"/>
            <w:gridSpan w:val="3"/>
            <w:tcBorders/>
            <w:vAlign w:val="center"/>
          </w:tcPr>
          <w:p>
            <w:pPr>
              <w:pStyle w:val="TableContents"/>
              <w:bidi w:val="0"/>
              <w:spacing w:before="0" w:after="283"/>
              <w:jc w:val="left"/>
              <w:rPr>
                <w:sz w:val="4"/>
                <w:szCs w:val="4"/>
              </w:rPr>
            </w:pPr>
            <w:r>
              <w:rPr>
                <w:sz w:val="4"/>
                <w:szCs w:val="4"/>
              </w:rPr>
            </w:r>
          </w:p>
        </w:tc>
        <w:tc>
          <w:tcPr>
            <w:tcW w:w="6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4" w:type="dxa"/>
            <w:gridSpan w:val="3"/>
            <w:tcBorders/>
            <w:vAlign w:val="center"/>
          </w:tcPr>
          <w:p>
            <w:pPr>
              <w:pStyle w:val="TableContents"/>
              <w:bidi w:val="0"/>
              <w:spacing w:before="0" w:after="283"/>
              <w:jc w:val="left"/>
              <w:rPr>
                <w:sz w:val="4"/>
                <w:szCs w:val="4"/>
              </w:rPr>
            </w:pPr>
            <w:r>
              <w:rPr>
                <w:sz w:val="4"/>
                <w:szCs w:val="4"/>
              </w:rPr>
            </w:r>
          </w:p>
        </w:tc>
        <w:tc>
          <w:tcPr>
            <w:tcW w:w="645" w:type="dxa"/>
            <w:gridSpan w:val="3"/>
            <w:tcBorders/>
            <w:vAlign w:val="center"/>
          </w:tcPr>
          <w:p>
            <w:pPr>
              <w:pStyle w:val="TableContents"/>
              <w:bidi w:val="0"/>
              <w:spacing w:before="0" w:after="283"/>
              <w:jc w:val="left"/>
              <w:rPr>
                <w:sz w:val="4"/>
                <w:szCs w:val="4"/>
              </w:rPr>
            </w:pPr>
            <w:r>
              <w:rPr>
                <w:sz w:val="4"/>
                <w:szCs w:val="4"/>
              </w:rPr>
            </w:r>
          </w:p>
        </w:tc>
        <w:tc>
          <w:tcPr>
            <w:tcW w:w="1360" w:type="dxa"/>
            <w:gridSpan w:val="3"/>
            <w:tcBorders/>
            <w:vAlign w:val="center"/>
          </w:tcPr>
          <w:p>
            <w:pPr>
              <w:pStyle w:val="TableContents"/>
              <w:bidi w:val="0"/>
              <w:spacing w:before="0" w:after="283"/>
              <w:jc w:val="left"/>
              <w:rPr>
                <w:sz w:val="4"/>
                <w:szCs w:val="4"/>
              </w:rPr>
            </w:pPr>
            <w:r>
              <w:rPr>
                <w:sz w:val="4"/>
                <w:szCs w:val="4"/>
              </w:rPr>
            </w:r>
          </w:p>
        </w:tc>
      </w:tr>
      <w:tr>
        <w:trPr/>
        <w:tc>
          <w:tcPr>
            <w:tcW w:w="4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1" w:type="dxa"/>
            <w:gridSpan w:val="3"/>
            <w:tcBorders/>
            <w:vAlign w:val="center"/>
          </w:tcPr>
          <w:p>
            <w:pPr>
              <w:pStyle w:val="TableContents"/>
              <w:bidi w:val="0"/>
              <w:spacing w:before="0" w:after="283"/>
              <w:jc w:val="left"/>
              <w:rPr>
                <w:sz w:val="4"/>
                <w:szCs w:val="4"/>
              </w:rPr>
            </w:pPr>
            <w:r>
              <w:rPr>
                <w:sz w:val="4"/>
                <w:szCs w:val="4"/>
              </w:rPr>
            </w:r>
          </w:p>
        </w:tc>
        <w:tc>
          <w:tcPr>
            <w:tcW w:w="6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4" w:type="dxa"/>
            <w:gridSpan w:val="3"/>
            <w:tcBorders/>
            <w:vAlign w:val="center"/>
          </w:tcPr>
          <w:p>
            <w:pPr>
              <w:pStyle w:val="TableContents"/>
              <w:bidi w:val="0"/>
              <w:spacing w:before="0" w:after="283"/>
              <w:jc w:val="left"/>
              <w:rPr>
                <w:sz w:val="4"/>
                <w:szCs w:val="4"/>
              </w:rPr>
            </w:pPr>
            <w:r>
              <w:rPr>
                <w:sz w:val="4"/>
                <w:szCs w:val="4"/>
              </w:rPr>
            </w:r>
          </w:p>
        </w:tc>
        <w:tc>
          <w:tcPr>
            <w:tcW w:w="645" w:type="dxa"/>
            <w:gridSpan w:val="3"/>
            <w:tcBorders/>
            <w:vAlign w:val="center"/>
          </w:tcPr>
          <w:p>
            <w:pPr>
              <w:pStyle w:val="TableContents"/>
              <w:bidi w:val="0"/>
              <w:spacing w:before="0" w:after="283"/>
              <w:jc w:val="left"/>
              <w:rPr>
                <w:sz w:val="4"/>
                <w:szCs w:val="4"/>
              </w:rPr>
            </w:pPr>
            <w:r>
              <w:rPr>
                <w:sz w:val="4"/>
                <w:szCs w:val="4"/>
              </w:rPr>
            </w:r>
          </w:p>
        </w:tc>
        <w:tc>
          <w:tcPr>
            <w:tcW w:w="1360" w:type="dxa"/>
            <w:gridSpan w:val="3"/>
            <w:tcBorders/>
            <w:vAlign w:val="center"/>
          </w:tcPr>
          <w:p>
            <w:pPr>
              <w:pStyle w:val="TableContents"/>
              <w:bidi w:val="0"/>
              <w:spacing w:before="0" w:after="283"/>
              <w:jc w:val="left"/>
              <w:rPr>
                <w:sz w:val="4"/>
                <w:szCs w:val="4"/>
              </w:rPr>
            </w:pPr>
            <w:r>
              <w:rPr>
                <w:sz w:val="4"/>
                <w:szCs w:val="4"/>
              </w:rPr>
            </w:r>
          </w:p>
        </w:tc>
      </w:tr>
      <w:tr>
        <w:trPr/>
        <w:tc>
          <w:tcPr>
            <w:tcW w:w="4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1" w:type="dxa"/>
            <w:gridSpan w:val="3"/>
            <w:tcBorders/>
            <w:vAlign w:val="center"/>
          </w:tcPr>
          <w:p>
            <w:pPr>
              <w:pStyle w:val="TableContents"/>
              <w:bidi w:val="0"/>
              <w:spacing w:before="0" w:after="283"/>
              <w:jc w:val="left"/>
              <w:rPr>
                <w:sz w:val="4"/>
                <w:szCs w:val="4"/>
              </w:rPr>
            </w:pPr>
            <w:r>
              <w:rPr>
                <w:sz w:val="4"/>
                <w:szCs w:val="4"/>
              </w:rPr>
            </w:r>
          </w:p>
        </w:tc>
        <w:tc>
          <w:tcPr>
            <w:tcW w:w="6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4" w:type="dxa"/>
            <w:gridSpan w:val="3"/>
            <w:tcBorders/>
            <w:vAlign w:val="center"/>
          </w:tcPr>
          <w:p>
            <w:pPr>
              <w:pStyle w:val="TableContents"/>
              <w:bidi w:val="0"/>
              <w:spacing w:before="0" w:after="283"/>
              <w:jc w:val="left"/>
              <w:rPr>
                <w:sz w:val="4"/>
                <w:szCs w:val="4"/>
              </w:rPr>
            </w:pPr>
            <w:r>
              <w:rPr>
                <w:sz w:val="4"/>
                <w:szCs w:val="4"/>
              </w:rPr>
            </w:r>
          </w:p>
        </w:tc>
        <w:tc>
          <w:tcPr>
            <w:tcW w:w="645" w:type="dxa"/>
            <w:gridSpan w:val="3"/>
            <w:tcBorders/>
            <w:vAlign w:val="center"/>
          </w:tcPr>
          <w:p>
            <w:pPr>
              <w:pStyle w:val="TableContents"/>
              <w:bidi w:val="0"/>
              <w:spacing w:before="0" w:after="283"/>
              <w:jc w:val="left"/>
              <w:rPr>
                <w:sz w:val="4"/>
                <w:szCs w:val="4"/>
              </w:rPr>
            </w:pPr>
            <w:r>
              <w:rPr>
                <w:sz w:val="4"/>
                <w:szCs w:val="4"/>
              </w:rPr>
            </w:r>
          </w:p>
        </w:tc>
        <w:tc>
          <w:tcPr>
            <w:tcW w:w="1360" w:type="dxa"/>
            <w:gridSpan w:val="3"/>
            <w:tcBorders/>
            <w:vAlign w:val="center"/>
          </w:tcPr>
          <w:p>
            <w:pPr>
              <w:pStyle w:val="TableContents"/>
              <w:bidi w:val="0"/>
              <w:spacing w:before="0" w:after="283"/>
              <w:jc w:val="left"/>
              <w:rPr>
                <w:sz w:val="4"/>
                <w:szCs w:val="4"/>
              </w:rPr>
            </w:pPr>
            <w:r>
              <w:rPr>
                <w:sz w:val="4"/>
                <w:szCs w:val="4"/>
              </w:rPr>
            </w:r>
          </w:p>
        </w:tc>
      </w:tr>
      <w:tr>
        <w:trPr/>
        <w:tc>
          <w:tcPr>
            <w:tcW w:w="41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shd w:fill="CCEEFF" w:val="clear"/>
              </w:rPr>
            </w:pPr>
            <w:r>
              <w:rPr>
                <w:rFonts w:ascii="Times New Roman;serif" w:hAnsi="Times New Roman;serif"/>
                <w:b/>
                <w:color w:val="000000"/>
                <w:sz w:val="18"/>
                <w:shd w:fill="CCEEFF" w:val="clear"/>
              </w:rPr>
              <w:t>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shd w:fill="FFFFFF" w:val="clear"/>
              </w:rPr>
              <w:t xml:space="preserve">Revolving Credit Agreement </w:t>
            </w:r>
            <w:r>
              <w:rPr>
                <w:rFonts w:ascii="Times New Roman;serif" w:hAnsi="Times New Roman;serif"/>
                <w:b w:val="false"/>
                <w:color w:val="000000"/>
                <w:sz w:val="12"/>
                <w:shd w:fill="FFFFFF" w:val="clear"/>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w:t>
            </w:r>
          </w:p>
        </w:tc>
        <w:tc>
          <w:tcPr>
            <w:tcW w:w="9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95,000 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6.28%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w:t>
            </w:r>
          </w:p>
        </w:tc>
        <w:tc>
          <w:tcPr>
            <w:tcW w:w="9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95,000 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6.35%</w:t>
            </w:r>
          </w:p>
        </w:tc>
        <w:tc>
          <w:tcPr>
            <w:tcW w:w="1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July 30, 2027</w:t>
            </w:r>
          </w:p>
        </w:tc>
      </w:tr>
      <w:tr>
        <w:trPr/>
        <w:tc>
          <w:tcPr>
            <w:tcW w:w="41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shd w:fill="CCEEFF" w:val="clear"/>
              </w:rPr>
            </w:pPr>
            <w:r>
              <w:rPr>
                <w:rFonts w:ascii="Times New Roman;serif" w:hAnsi="Times New Roman;serif"/>
                <w:b w:val="false"/>
                <w:color w:val="000000"/>
                <w:sz w:val="18"/>
                <w:shd w:fill="CCEEFF" w:val="clear"/>
              </w:rPr>
              <w:t>Promissory Note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shd w:fill="CCEEFF" w:val="clear"/>
              </w:rPr>
            </w:pPr>
            <w:r>
              <w:rPr>
                <w:rFonts w:ascii="Times New Roman;serif" w:hAnsi="Times New Roman;serif"/>
                <w:b w:val="false"/>
                <w:color w:val="000000"/>
                <w:sz w:val="18"/>
                <w:shd w:fill="CCEEFF" w:val="clear"/>
              </w:rPr>
              <w:t>1,125 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shd w:fill="CCEEFF" w:val="clear"/>
              </w:rPr>
            </w:pPr>
            <w:r>
              <w:rPr>
                <w:rFonts w:ascii="Times New Roman;serif" w:hAnsi="Times New Roman;serif"/>
                <w:b w:val="false"/>
                <w:color w:val="000000"/>
                <w:sz w:val="18"/>
                <w:shd w:fill="CCEEFF" w:val="clear"/>
              </w:rPr>
              <w:t>8.00%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shd w:fill="CCEEFF" w:val="clear"/>
              </w:rPr>
            </w:pPr>
            <w:r>
              <w:rPr>
                <w:color w:val="000000"/>
                <w:shd w:fill="CCEEFF" w:val="clear"/>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shd w:fill="CCEEFF" w:val="clear"/>
              </w:rPr>
            </w:pPr>
            <w:r>
              <w:rPr>
                <w:color w:val="000000"/>
                <w:shd w:fill="CCEEFF" w:val="clear"/>
              </w:rPr>
              <w:t>—</w:t>
            </w:r>
            <w:r>
              <w:rPr>
                <w:rFonts w:ascii="Times New Roman;serif" w:hAnsi="Times New Roman;serif"/>
                <w:b w:val="false"/>
                <w:color w:val="000000"/>
                <w:sz w:val="18"/>
                <w:shd w:fill="CCEEFF" w:val="clear"/>
              </w:rPr>
              <w:t>%</w:t>
            </w:r>
          </w:p>
        </w:tc>
        <w:tc>
          <w:tcPr>
            <w:tcW w:w="1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shd w:fill="CCEEFF" w:val="clear"/>
              </w:rPr>
            </w:pPr>
            <w:r>
              <w:rPr>
                <w:rFonts w:ascii="Times New Roman;serif" w:hAnsi="Times New Roman;serif"/>
                <w:b w:val="false"/>
                <w:color w:val="000000"/>
                <w:sz w:val="18"/>
                <w:shd w:fill="CCEEFF" w:val="clear"/>
              </w:rPr>
              <w:t>January 9, 2031</w:t>
            </w:r>
          </w:p>
        </w:tc>
      </w:tr>
      <w:tr>
        <w:trPr/>
        <w:tc>
          <w:tcPr>
            <w:tcW w:w="41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First Master Loan Agreement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3,191 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6.25%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shd w:fill="FFFFFF" w:val="clear"/>
              </w:rPr>
            </w:pPr>
            <w:r>
              <w:rPr>
                <w:color w:val="000000"/>
                <w:shd w:fill="FFFFFF" w:val="clea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shd w:fill="FFFFFF" w:val="clear"/>
              </w:rPr>
            </w:pPr>
            <w:r>
              <w:rPr>
                <w:color w:val="000000"/>
                <w:shd w:fill="FFFFFF" w:val="clear"/>
              </w:rPr>
              <w:t>—</w:t>
            </w:r>
            <w:r>
              <w:rPr>
                <w:rFonts w:ascii="Times New Roman;serif" w:hAnsi="Times New Roman;serif"/>
                <w:b w:val="false"/>
                <w:color w:val="000000"/>
                <w:sz w:val="18"/>
                <w:shd w:fill="FFFFFF" w:val="clear"/>
              </w:rPr>
              <w:t>%</w:t>
            </w:r>
          </w:p>
        </w:tc>
        <w:tc>
          <w:tcPr>
            <w:tcW w:w="1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August 14, 2031</w:t>
            </w:r>
          </w:p>
        </w:tc>
      </w:tr>
      <w:tr>
        <w:trPr/>
        <w:tc>
          <w:tcPr>
            <w:tcW w:w="41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shd w:fill="CCEEFF" w:val="clear"/>
              </w:rPr>
            </w:pPr>
            <w:r>
              <w:rPr>
                <w:rFonts w:ascii="Times New Roman;serif" w:hAnsi="Times New Roman;serif"/>
                <w:b w:val="false"/>
                <w:color w:val="000000"/>
                <w:sz w:val="18"/>
                <w:shd w:fill="CCEEFF" w:val="clear"/>
              </w:rPr>
              <w:t>Second Master Loan Agreement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shd w:fill="CCEEFF" w:val="clear"/>
              </w:rPr>
            </w:pPr>
            <w:r>
              <w:rPr>
                <w:rFonts w:ascii="Times New Roman;serif" w:hAnsi="Times New Roman;serif"/>
                <w:b w:val="false"/>
                <w:color w:val="000000"/>
                <w:sz w:val="18"/>
                <w:shd w:fill="CCEEFF" w:val="clear"/>
              </w:rPr>
              <w:t>1,904 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shd w:fill="CCEEFF" w:val="clear"/>
              </w:rPr>
            </w:pPr>
            <w:r>
              <w:rPr>
                <w:rFonts w:ascii="Times New Roman;serif" w:hAnsi="Times New Roman;serif"/>
                <w:b w:val="false"/>
                <w:color w:val="000000"/>
                <w:sz w:val="18"/>
                <w:shd w:fill="CCEEFF" w:val="clear"/>
              </w:rPr>
              <w:t>6.20%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shd w:fill="CCEEFF" w:val="clear"/>
              </w:rPr>
            </w:pPr>
            <w:r>
              <w:rPr>
                <w:color w:val="000000"/>
                <w:shd w:fill="CCEEFF" w:val="clear"/>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shd w:fill="CCEEFF" w:val="clear"/>
              </w:rPr>
            </w:pPr>
            <w:r>
              <w:rPr>
                <w:color w:val="000000"/>
                <w:shd w:fill="CCEEFF" w:val="clear"/>
              </w:rPr>
              <w:t>—</w:t>
            </w:r>
            <w:r>
              <w:rPr>
                <w:rFonts w:ascii="Times New Roman;serif" w:hAnsi="Times New Roman;serif"/>
                <w:b w:val="false"/>
                <w:color w:val="000000"/>
                <w:sz w:val="18"/>
                <w:shd w:fill="CCEEFF" w:val="clear"/>
              </w:rPr>
              <w:t>%</w:t>
            </w:r>
          </w:p>
        </w:tc>
        <w:tc>
          <w:tcPr>
            <w:tcW w:w="1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shd w:fill="CCEEFF" w:val="clear"/>
              </w:rPr>
            </w:pPr>
            <w:r>
              <w:rPr>
                <w:rFonts w:ascii="Times New Roman;serif" w:hAnsi="Times New Roman;serif"/>
                <w:b w:val="false"/>
                <w:color w:val="000000"/>
                <w:sz w:val="18"/>
                <w:shd w:fill="CCEEFF" w:val="clear"/>
              </w:rPr>
              <w:t>October 23, 2031</w:t>
            </w:r>
          </w:p>
        </w:tc>
      </w:tr>
      <w:tr>
        <w:trPr/>
        <w:tc>
          <w:tcPr>
            <w:tcW w:w="41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SBA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619 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5.03%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shd w:fill="FFFFFF" w:val="clear"/>
              </w:rPr>
            </w:pPr>
            <w:r>
              <w:rPr>
                <w:color w:val="000000"/>
                <w:shd w:fill="FFFFFF" w:val="clea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shd w:fill="FFFFFF" w:val="clear"/>
              </w:rPr>
            </w:pPr>
            <w:r>
              <w:rPr>
                <w:color w:val="000000"/>
                <w:shd w:fill="FFFFFF" w:val="clear"/>
              </w:rPr>
              <w:t>—</w:t>
            </w:r>
            <w:r>
              <w:rPr>
                <w:rFonts w:ascii="Times New Roman;serif" w:hAnsi="Times New Roman;serif"/>
                <w:b w:val="false"/>
                <w:color w:val="000000"/>
                <w:sz w:val="18"/>
                <w:shd w:fill="FFFFFF" w:val="clear"/>
              </w:rPr>
              <w:t>%</w:t>
            </w:r>
          </w:p>
        </w:tc>
        <w:tc>
          <w:tcPr>
            <w:tcW w:w="1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July 27, 2032</w:t>
            </w:r>
          </w:p>
        </w:tc>
      </w:tr>
      <w:tr>
        <w:trPr/>
        <w:tc>
          <w:tcPr>
            <w:tcW w:w="41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shd w:fill="CCEEFF" w:val="clear"/>
              </w:rPr>
            </w:pPr>
            <w:r>
              <w:rPr>
                <w:rFonts w:ascii="Times New Roman;serif" w:hAnsi="Times New Roman;serif"/>
                <w:b w:val="false"/>
                <w:color w:val="000000"/>
                <w:sz w:val="18"/>
                <w:shd w:fill="CCEEFF" w:val="clear"/>
              </w:rPr>
              <w:t>Finance leases and other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shd w:fill="CCEEFF" w:val="clear"/>
              </w:rPr>
            </w:pPr>
            <w:r>
              <w:rPr>
                <w:rFonts w:ascii="Times New Roman;serif" w:hAnsi="Times New Roman;serif"/>
                <w:b w:val="false"/>
                <w:color w:val="000000"/>
                <w:sz w:val="18"/>
                <w:shd w:fill="CCEEFF" w:val="clear"/>
              </w:rPr>
              <w:t>1,602 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shd w:fill="CCEEFF" w:val="clear"/>
              </w:rPr>
            </w:pPr>
            <w:r>
              <w:rPr>
                <w:rFonts w:ascii="Times New Roman;serif" w:hAnsi="Times New Roman;serif"/>
                <w:b w:val="false"/>
                <w:color w:val="000000"/>
                <w:sz w:val="18"/>
                <w:shd w:fill="CCEEFF" w:val="clear"/>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shd w:fill="CCEEFF" w:val="clear"/>
              </w:rPr>
            </w:pPr>
            <w:r>
              <w:rPr>
                <w:rFonts w:ascii="Times New Roman;serif" w:hAnsi="Times New Roman;serif"/>
                <w:b w:val="false"/>
                <w:color w:val="000000"/>
                <w:sz w:val="18"/>
                <w:shd w:fill="CCEEFF" w:val="clear"/>
              </w:rPr>
              <w:t>1,617 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shd w:fill="CCEEFF" w:val="clear"/>
              </w:rPr>
            </w:pPr>
            <w:r>
              <w:rPr>
                <w:rFonts w:ascii="Times New Roman;serif" w:hAnsi="Times New Roman;serif"/>
                <w:b w:val="false"/>
                <w:color w:val="000000"/>
                <w:sz w:val="18"/>
                <w:shd w:fill="CCEEFF" w:val="clear"/>
              </w:rPr>
              <w:t>**</w:t>
            </w:r>
          </w:p>
        </w:tc>
        <w:tc>
          <w:tcPr>
            <w:tcW w:w="1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shd w:fill="CCEEFF" w:val="clear"/>
              </w:rPr>
            </w:pPr>
            <w:r>
              <w:rPr>
                <w:rFonts w:ascii="Times New Roman;serif" w:hAnsi="Times New Roman;serif"/>
                <w:b w:val="false"/>
                <w:color w:val="000000"/>
                <w:sz w:val="18"/>
                <w:shd w:fill="CCEEFF" w:val="clear"/>
              </w:rPr>
              <w:t>Various</w:t>
            </w:r>
          </w:p>
        </w:tc>
      </w:tr>
      <w:tr>
        <w:trPr/>
        <w:tc>
          <w:tcPr>
            <w:tcW w:w="4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1" w:type="dxa"/>
            <w:gridSpan w:val="3"/>
            <w:tcBorders/>
            <w:vAlign w:val="center"/>
          </w:tcPr>
          <w:p>
            <w:pPr>
              <w:pStyle w:val="TableContents"/>
              <w:bidi w:val="0"/>
              <w:spacing w:before="0" w:after="283"/>
              <w:jc w:val="left"/>
              <w:rPr>
                <w:sz w:val="4"/>
                <w:szCs w:val="4"/>
              </w:rPr>
            </w:pPr>
            <w:r>
              <w:rPr>
                <w:sz w:val="4"/>
                <w:szCs w:val="4"/>
              </w:rPr>
            </w:r>
          </w:p>
        </w:tc>
        <w:tc>
          <w:tcPr>
            <w:tcW w:w="6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4" w:type="dxa"/>
            <w:gridSpan w:val="3"/>
            <w:tcBorders/>
            <w:vAlign w:val="center"/>
          </w:tcPr>
          <w:p>
            <w:pPr>
              <w:pStyle w:val="TableContents"/>
              <w:bidi w:val="0"/>
              <w:spacing w:before="0" w:after="283"/>
              <w:jc w:val="left"/>
              <w:rPr>
                <w:sz w:val="4"/>
                <w:szCs w:val="4"/>
              </w:rPr>
            </w:pPr>
            <w:r>
              <w:rPr>
                <w:sz w:val="4"/>
                <w:szCs w:val="4"/>
              </w:rPr>
            </w:r>
          </w:p>
        </w:tc>
        <w:tc>
          <w:tcPr>
            <w:tcW w:w="645" w:type="dxa"/>
            <w:gridSpan w:val="3"/>
            <w:tcBorders/>
            <w:vAlign w:val="center"/>
          </w:tcPr>
          <w:p>
            <w:pPr>
              <w:pStyle w:val="TableContents"/>
              <w:bidi w:val="0"/>
              <w:spacing w:before="0" w:after="283"/>
              <w:jc w:val="left"/>
              <w:rPr>
                <w:sz w:val="4"/>
                <w:szCs w:val="4"/>
              </w:rPr>
            </w:pPr>
            <w:r>
              <w:rPr>
                <w:sz w:val="4"/>
                <w:szCs w:val="4"/>
              </w:rPr>
            </w:r>
          </w:p>
        </w:tc>
        <w:tc>
          <w:tcPr>
            <w:tcW w:w="1360" w:type="dxa"/>
            <w:gridSpan w:val="3"/>
            <w:tcBorders/>
            <w:vAlign w:val="center"/>
          </w:tcPr>
          <w:p>
            <w:pPr>
              <w:pStyle w:val="TableContents"/>
              <w:bidi w:val="0"/>
              <w:spacing w:before="0" w:after="283"/>
              <w:jc w:val="left"/>
              <w:rPr>
                <w:sz w:val="4"/>
                <w:szCs w:val="4"/>
              </w:rPr>
            </w:pPr>
            <w:r>
              <w:rPr>
                <w:sz w:val="4"/>
                <w:szCs w:val="4"/>
              </w:rPr>
            </w:r>
          </w:p>
        </w:tc>
      </w:tr>
      <w:tr>
        <w:trPr/>
        <w:tc>
          <w:tcPr>
            <w:tcW w:w="41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shd w:fill="FFFFFF" w:val="clear"/>
              </w:rPr>
            </w:pPr>
            <w:r>
              <w:rPr>
                <w:rFonts w:ascii="Times New Roman;serif" w:hAnsi="Times New Roman;serif"/>
                <w:b/>
                <w:color w:val="000000"/>
                <w:sz w:val="18"/>
                <w:shd w:fill="FFFFFF" w:val="clear"/>
              </w:rPr>
              <w:t>Total long-term debt and finance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103,441 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96,617 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shd w:fill="CCEEFF" w:val="clear"/>
              </w:rPr>
            </w:pPr>
            <w:r>
              <w:rPr>
                <w:rFonts w:ascii="Times New Roman;serif" w:hAnsi="Times New Roman;serif"/>
                <w:b w:val="false"/>
                <w:color w:val="000000"/>
                <w:sz w:val="18"/>
                <w:shd w:fill="CCEEFF" w:val="clear"/>
              </w:rPr>
              <w:t>Less: Current maturities of long-term debt and finance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shd w:fill="CCEEFF" w:val="clear"/>
              </w:rPr>
            </w:pPr>
            <w:r>
              <w:rPr>
                <w:rFonts w:ascii="Times New Roman;serif" w:hAnsi="Times New Roman;serif"/>
                <w:b w:val="false"/>
                <w:color w:val="000000"/>
                <w:sz w:val="18"/>
                <w:shd w:fill="CCEEFF" w:val="clear"/>
              </w:rPr>
              <w:t>2,168 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shd w:fill="CCEEFF" w:val="clear"/>
              </w:rPr>
            </w:pPr>
            <w:r>
              <w:rPr>
                <w:rFonts w:ascii="Times New Roman;serif" w:hAnsi="Times New Roman;serif"/>
                <w:b w:val="false"/>
                <w:color w:val="000000"/>
                <w:sz w:val="18"/>
                <w:shd w:fill="CCEEFF" w:val="clear"/>
              </w:rPr>
              <w:t>383 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shd w:fill="FFFFFF" w:val="clear"/>
              </w:rPr>
            </w:pPr>
            <w:r>
              <w:rPr>
                <w:rFonts w:ascii="Times New Roman;serif" w:hAnsi="Times New Roman;serif"/>
                <w:b/>
                <w:color w:val="000000"/>
                <w:sz w:val="18"/>
                <w:shd w:fill="FFFFFF" w:val="clear"/>
              </w:rPr>
              <w:t>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w:t>
            </w:r>
          </w:p>
        </w:tc>
        <w:tc>
          <w:tcPr>
            <w:tcW w:w="9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101,273 </w:t>
            </w:r>
          </w:p>
        </w:tc>
        <w:tc>
          <w:tcPr>
            <w:tcW w:w="1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w:t>
            </w:r>
          </w:p>
        </w:tc>
        <w:tc>
          <w:tcPr>
            <w:tcW w:w="9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96,234 </w:t>
            </w:r>
          </w:p>
        </w:tc>
        <w:tc>
          <w:tcPr>
            <w:tcW w:w="1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0"/>
        <w:gridCol w:w="2880"/>
        <w:gridCol w:w="410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0" w:type="dxa"/>
            <w:tcBorders/>
            <w:vAlign w:val="center"/>
          </w:tcPr>
          <w:p>
            <w:pPr>
              <w:pStyle w:val="TableContents"/>
              <w:bidi w:val="0"/>
              <w:spacing w:before="0" w:after="283"/>
              <w:jc w:val="left"/>
              <w:rPr>
                <w:sz w:val="4"/>
                <w:szCs w:val="4"/>
              </w:rPr>
            </w:pPr>
            <w:r>
              <w:rPr>
                <w:sz w:val="4"/>
                <w:szCs w:val="4"/>
              </w:rPr>
            </w:r>
          </w:p>
        </w:tc>
        <w:tc>
          <w:tcPr>
            <w:tcW w:w="2880" w:type="dxa"/>
            <w:tcBorders/>
            <w:vAlign w:val="center"/>
          </w:tcPr>
          <w:p>
            <w:pPr>
              <w:pStyle w:val="TableContents"/>
              <w:bidi w:val="0"/>
              <w:spacing w:before="0" w:after="283"/>
              <w:jc w:val="left"/>
              <w:rPr>
                <w:sz w:val="4"/>
                <w:szCs w:val="4"/>
              </w:rPr>
            </w:pPr>
            <w:r>
              <w:rPr>
                <w:sz w:val="4"/>
                <w:szCs w:val="4"/>
              </w:rPr>
            </w:r>
          </w:p>
        </w:tc>
        <w:tc>
          <w:tcPr>
            <w:tcW w:w="410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40" w:after="283"/>
              <w:jc w:val="center"/>
              <w:rPr>
                <w:rFonts w:ascii="Times New Roman;serif" w:hAnsi="Times New Roman;serif"/>
                <w:b w:val="false"/>
                <w:color w:val="000000"/>
                <w:sz w:val="10"/>
              </w:rPr>
            </w:pPr>
            <w:r>
              <w:rPr>
                <w:rFonts w:ascii="Times New Roman;serif" w:hAnsi="Times New Roman;serif"/>
                <w:b w:val="false"/>
                <w:color w:val="000000"/>
                <w:sz w:val="10"/>
              </w:rPr>
              <w:t>1</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erif" w:hAnsi="Times New Roman;serif"/>
                <w:b w:val="false"/>
                <w:color w:val="000000"/>
                <w:sz w:val="16"/>
              </w:rPr>
              <w:t xml:space="preserve">Unamortized financing costs and deferred fees on the amended Revolving Credit Agreement are not presented in the above table as they are classified in </w:t>
            </w:r>
            <w:r>
              <w:rPr>
                <w:rFonts w:ascii="Times New Roman;serif" w:hAnsi="Times New Roman;serif"/>
                <w:b w:val="false"/>
                <w:i/>
                <w:color w:val="000000"/>
                <w:sz w:val="16"/>
              </w:rPr>
              <w:t>Prepaid expenses</w:t>
            </w:r>
            <w:r>
              <w:rPr>
                <w:color w:val="000000"/>
              </w:rPr>
              <w:t xml:space="preserve"> </w:t>
            </w:r>
            <w:r>
              <w:rPr>
                <w:rFonts w:ascii="Times New Roman;serif" w:hAnsi="Times New Roman;serif"/>
                <w:b w:val="false"/>
                <w:color w:val="000000"/>
                <w:sz w:val="16"/>
              </w:rPr>
              <w:t xml:space="preserve">and </w:t>
            </w:r>
            <w:r>
              <w:rPr>
                <w:rFonts w:ascii="Times New Roman;serif" w:hAnsi="Times New Roman;serif"/>
                <w:b w:val="false"/>
                <w:i/>
                <w:color w:val="000000"/>
                <w:sz w:val="16"/>
              </w:rPr>
              <w:t>other current assets</w:t>
            </w:r>
            <w:r>
              <w:rPr>
                <w:color w:val="000000"/>
              </w:rPr>
              <w:t xml:space="preserve"> </w:t>
            </w:r>
            <w:r>
              <w:rPr>
                <w:rFonts w:ascii="Times New Roman;serif" w:hAnsi="Times New Roman;serif"/>
                <w:b w:val="false"/>
                <w:color w:val="000000"/>
                <w:sz w:val="16"/>
              </w:rPr>
              <w:t xml:space="preserve">on the Consolidated Balance Sheets. Unamortized debt issuance costs, were </w:t>
            </w:r>
            <w:r>
              <w:rPr>
                <w:rFonts w:ascii="Times New Roman;serif" w:hAnsi="Times New Roman;serif"/>
                <w:b w:val="false"/>
                <w:color w:val="000000"/>
                <w:sz w:val="16"/>
                <w:shd w:fill="FFFFFF" w:val="clear"/>
              </w:rPr>
              <w:t>$0.8 million</w:t>
            </w:r>
            <w:r>
              <w:rPr>
                <w:color w:val="000000"/>
              </w:rPr>
              <w:t xml:space="preserve"> </w:t>
            </w:r>
            <w:r>
              <w:rPr>
                <w:rFonts w:ascii="Times New Roman;serif" w:hAnsi="Times New Roman;serif"/>
                <w:b w:val="false"/>
                <w:color w:val="000000"/>
                <w:sz w:val="16"/>
              </w:rPr>
              <w:t xml:space="preserve">and </w:t>
            </w:r>
            <w:r>
              <w:rPr>
                <w:rFonts w:ascii="Times New Roman;serif" w:hAnsi="Times New Roman;serif"/>
                <w:b w:val="false"/>
                <w:color w:val="000000"/>
                <w:sz w:val="16"/>
                <w:shd w:fill="FFFFFF" w:val="clear"/>
              </w:rPr>
              <w:t>$1.0 million</w:t>
            </w:r>
            <w:r>
              <w:rPr>
                <w:color w:val="000000"/>
              </w:rPr>
              <w:t xml:space="preserve"> </w:t>
            </w:r>
            <w:r>
              <w:rPr>
                <w:rFonts w:ascii="Times New Roman;serif" w:hAnsi="Times New Roman;serif"/>
                <w:b w:val="false"/>
                <w:color w:val="000000"/>
                <w:sz w:val="16"/>
              </w:rPr>
              <w:t>as of March 31, 2026 and December 31, 2025, respectively.</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40" w:after="283"/>
              <w:jc w:val="center"/>
              <w:rPr>
                <w:rFonts w:ascii="Times New Roman;serif" w:hAnsi="Times New Roman;serif"/>
                <w:b w:val="false"/>
                <w:color w:val="000000"/>
                <w:sz w:val="10"/>
              </w:rPr>
            </w:pPr>
            <w:r>
              <w:rPr>
                <w:rFonts w:ascii="Times New Roman;serif" w:hAnsi="Times New Roman;serif"/>
                <w:b w:val="false"/>
                <w:color w:val="000000"/>
                <w:sz w:val="10"/>
              </w:rPr>
              <w:t>2</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 xml:space="preserve">Includes the weighted average interest rate.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Finance lease obligations are a non-cash financing activity. See </w:t>
            </w:r>
            <w:r>
              <w:rPr>
                <w:rFonts w:ascii="Times New Roman;serif" w:hAnsi="Times New Roman;serif"/>
                <w:b w:val="false"/>
                <w:color w:val="000000"/>
                <w:sz w:val="16"/>
                <w:shd w:fill="FFFFFF" w:val="clear"/>
              </w:rPr>
              <w:t>Note 9.</w:t>
            </w:r>
            <w:r>
              <w:rPr>
                <w:color w:val="000000"/>
              </w:rPr>
              <w:t xml:space="preserve"> </w:t>
            </w:r>
            <w:r>
              <w:rPr>
                <w:rFonts w:ascii="Times New Roman;serif" w:hAnsi="Times New Roman;serif"/>
                <w:b w:val="false"/>
                <w:color w:val="000000"/>
                <w:sz w:val="16"/>
              </w:rPr>
              <w:t xml:space="preserve">Leases. </w:t>
            </w:r>
          </w:p>
        </w:tc>
      </w:tr>
    </w:tbl>
    <w:p>
      <w:pPr>
        <w:pStyle w:val="TextBody"/>
        <w:bidi w:val="0"/>
        <w:spacing w:lineRule="auto" w:line="288" w:before="180" w:after="120"/>
        <w:ind w:left="0" w:right="0" w:hanging="36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Revolving Credit Agreement and Shareholder’s Loan Agreement</w:t>
      </w:r>
    </w:p>
    <w:p>
      <w:pPr>
        <w:pStyle w:val="TextBody"/>
        <w:bidi w:val="0"/>
        <w:spacing w:lineRule="auto" w:line="288" w:before="120" w:after="120"/>
        <w:jc w:val="both"/>
        <w:rPr/>
      </w:pPr>
      <w:r>
        <w:rPr>
          <w:rFonts w:ascii="Times New Roman;serif" w:hAnsi="Times New Roman;serif"/>
          <w:b w:val="false"/>
          <w:color w:val="000000"/>
          <w:sz w:val="20"/>
          <w:shd w:fill="FFFFFF" w:val="clear"/>
        </w:rPr>
        <w:t>On August 30, 2024, the Company closed on the Revolving Credit Agreement</w:t>
      </w:r>
      <w:r>
        <w:rPr>
          <w:rFonts w:ascii="Times New Roman;serif" w:hAnsi="Times New Roman;serif"/>
          <w:b w:val="false"/>
          <w:color w:val="000000"/>
          <w:sz w:val="20"/>
        </w:rPr>
        <w:t>,</w:t>
      </w:r>
      <w:r>
        <w:rPr>
          <w:color w:val="000000"/>
          <w:shd w:fill="FFFFFF" w:val="clear"/>
        </w:rPr>
        <w:t xml:space="preserve"> </w:t>
      </w:r>
      <w:r>
        <w:rPr>
          <w:rFonts w:ascii="Times New Roman;serif" w:hAnsi="Times New Roman;serif"/>
          <w:b w:val="false"/>
          <w:color w:val="000000"/>
          <w:sz w:val="20"/>
          <w:shd w:fill="FFFFFF" w:val="clear"/>
        </w:rPr>
        <w:t xml:space="preserve">with Standard Chartered Bank (“Standard Chartered”) and two other lenders. The </w:t>
      </w:r>
      <w:r>
        <w:rPr>
          <w:rFonts w:ascii="Times New Roman;serif" w:hAnsi="Times New Roman;serif"/>
          <w:b w:val="false"/>
          <w:color w:val="000000"/>
          <w:sz w:val="20"/>
        </w:rPr>
        <w:t xml:space="preserve">Revolving Credit Agreement </w:t>
      </w:r>
      <w:r>
        <w:rPr>
          <w:rFonts w:ascii="Times New Roman;serif" w:hAnsi="Times New Roman;serif"/>
          <w:b w:val="false"/>
          <w:color w:val="000000"/>
          <w:sz w:val="20"/>
          <w:shd w:fill="FFFFFF" w:val="clear"/>
        </w:rPr>
        <w:t xml:space="preserve">allowed the Company to borrow up to </w:t>
      </w:r>
      <w:r>
        <w:rPr>
          <w:rFonts w:ascii="Times New Roman;serif" w:hAnsi="Times New Roman;serif"/>
          <w:b w:val="false"/>
          <w:color w:val="000000"/>
          <w:sz w:val="20"/>
        </w:rPr>
        <w:t>$120.0 million</w:t>
      </w:r>
      <w:r>
        <w:rPr>
          <w:color w:val="000000"/>
          <w:shd w:fill="FFFFFF" w:val="clear"/>
        </w:rPr>
        <w:t xml:space="preserve"> </w:t>
      </w:r>
      <w:r>
        <w:rPr>
          <w:rFonts w:ascii="Times New Roman;serif" w:hAnsi="Times New Roman;serif"/>
          <w:b w:val="false"/>
          <w:color w:val="000000"/>
          <w:sz w:val="20"/>
          <w:shd w:fill="FFFFFF" w:val="clear"/>
        </w:rPr>
        <w:t xml:space="preserve">and had a maturity date of </w:t>
      </w:r>
      <w:r>
        <w:rPr>
          <w:rFonts w:ascii="Times New Roman;serif" w:hAnsi="Times New Roman;serif"/>
          <w:b w:val="false"/>
          <w:color w:val="000000"/>
          <w:sz w:val="20"/>
        </w:rPr>
        <w:t>August 30, 2025</w:t>
      </w:r>
      <w:r>
        <w:rPr>
          <w:rFonts w:ascii="Times New Roman;serif" w:hAnsi="Times New Roman;serif"/>
          <w:b w:val="false"/>
          <w:color w:val="000000"/>
          <w:sz w:val="20"/>
          <w:shd w:fill="FFFFFF" w:val="clear"/>
        </w:rPr>
        <w:t xml:space="preserve">. The </w:t>
      </w:r>
      <w:r>
        <w:rPr>
          <w:rFonts w:ascii="Times New Roman;serif" w:hAnsi="Times New Roman;serif"/>
          <w:b w:val="false"/>
          <w:color w:val="000000"/>
          <w:sz w:val="20"/>
        </w:rPr>
        <w:t>Revolving Credit Agreement</w:t>
      </w:r>
      <w:r>
        <w:rPr>
          <w:color w:val="000000"/>
          <w:shd w:fill="FFFFFF" w:val="clear"/>
        </w:rPr>
        <w:t xml:space="preserve"> </w:t>
      </w:r>
      <w:r>
        <w:rPr>
          <w:rFonts w:ascii="Times New Roman;serif" w:hAnsi="Times New Roman;serif"/>
          <w:b w:val="false"/>
          <w:color w:val="000000"/>
          <w:sz w:val="20"/>
          <w:shd w:fill="FFFFFF" w:val="clear"/>
        </w:rPr>
        <w:t xml:space="preserve">was subject to customary events of default and covenants, including minimum consolidated EBITDA and Consolidated Interest Coverage Ratio covenants for the third and fourth quarters of 2024 and the first and second quarters of 2025. Borrowings under the </w:t>
      </w:r>
      <w:r>
        <w:rPr>
          <w:rFonts w:ascii="Times New Roman;serif" w:hAnsi="Times New Roman;serif"/>
          <w:b w:val="false"/>
          <w:color w:val="000000"/>
          <w:sz w:val="20"/>
        </w:rPr>
        <w:t>Revolving Credit Agreement</w:t>
      </w:r>
      <w:r>
        <w:rPr>
          <w:color w:val="000000"/>
          <w:shd w:fill="FFFFFF" w:val="clear"/>
        </w:rPr>
        <w:t xml:space="preserve"> </w:t>
      </w:r>
      <w:r>
        <w:rPr>
          <w:rFonts w:ascii="Times New Roman;serif" w:hAnsi="Times New Roman;serif"/>
          <w:b w:val="false"/>
          <w:color w:val="000000"/>
          <w:sz w:val="20"/>
          <w:shd w:fill="FFFFFF" w:val="clear"/>
        </w:rPr>
        <w:t xml:space="preserve">incurred interest at the applicable </w:t>
      </w:r>
      <w:r>
        <w:rPr>
          <w:rFonts w:ascii="Times New Roman;serif" w:hAnsi="Times New Roman;serif"/>
          <w:b w:val="false"/>
          <w:color w:val="000000"/>
          <w:sz w:val="20"/>
        </w:rPr>
        <w:t>Secured Overnight Financing Rate (“SOFR”)</w:t>
      </w:r>
      <w:r>
        <w:rPr>
          <w:color w:val="000000"/>
          <w:shd w:fill="FFFFFF" w:val="clear"/>
        </w:rPr>
        <w:t xml:space="preserve"> </w:t>
      </w:r>
      <w:r>
        <w:rPr>
          <w:rFonts w:ascii="Times New Roman;serif" w:hAnsi="Times New Roman;serif"/>
          <w:b w:val="false"/>
          <w:color w:val="000000"/>
          <w:sz w:val="20"/>
          <w:shd w:fill="FFFFFF" w:val="clear"/>
        </w:rPr>
        <w:t xml:space="preserve">plus </w:t>
      </w:r>
      <w:r>
        <w:rPr>
          <w:rFonts w:ascii="Times New Roman;serif" w:hAnsi="Times New Roman;serif"/>
          <w:b w:val="false"/>
          <w:color w:val="000000"/>
          <w:sz w:val="20"/>
        </w:rPr>
        <w:t>2.00%</w:t>
      </w:r>
      <w:r>
        <w:rPr>
          <w:color w:val="000000"/>
          <w:shd w:fill="FFFFFF" w:val="clear"/>
        </w:rPr>
        <w:t xml:space="preserve"> </w:t>
      </w:r>
      <w:r>
        <w:rPr>
          <w:rFonts w:ascii="Times New Roman;serif" w:hAnsi="Times New Roman;serif"/>
          <w:b w:val="false"/>
          <w:color w:val="000000"/>
          <w:sz w:val="20"/>
          <w:shd w:fill="FFFFFF" w:val="clear"/>
        </w:rPr>
        <w:t xml:space="preserve">per annum. The obligations under the </w:t>
      </w:r>
      <w:r>
        <w:rPr>
          <w:rFonts w:ascii="Times New Roman;serif" w:hAnsi="Times New Roman;serif"/>
          <w:b w:val="false"/>
          <w:color w:val="000000"/>
          <w:sz w:val="20"/>
        </w:rPr>
        <w:t>Revolving Credit Agreement</w:t>
      </w:r>
      <w:r>
        <w:rPr>
          <w:color w:val="000000"/>
          <w:shd w:fill="FFFFFF" w:val="clear"/>
        </w:rPr>
        <w:t xml:space="preserve"> </w:t>
      </w:r>
      <w:r>
        <w:rPr>
          <w:rFonts w:ascii="Times New Roman;serif" w:hAnsi="Times New Roman;serif"/>
          <w:b w:val="false"/>
          <w:color w:val="000000"/>
          <w:sz w:val="20"/>
          <w:shd w:fill="FFFFFF" w:val="clear"/>
        </w:rPr>
        <w:t xml:space="preserve">were unconditionally guaranteed, on a joint and several basis, by certain wholly-owned, existing and subsequently acquired or formed direct and indirect subsidiaries of the Company, subject to customary exceptions. The obligations under the </w:t>
      </w:r>
      <w:r>
        <w:rPr>
          <w:rFonts w:ascii="Times New Roman;serif" w:hAnsi="Times New Roman;serif"/>
          <w:b w:val="false"/>
          <w:color w:val="000000"/>
          <w:sz w:val="20"/>
        </w:rPr>
        <w:t>Revolving Credit Agreement</w:t>
      </w:r>
      <w:r>
        <w:rPr>
          <w:color w:val="000000"/>
          <w:shd w:fill="FFFFFF" w:val="clear"/>
        </w:rPr>
        <w:t xml:space="preserve"> </w:t>
      </w:r>
      <w:r>
        <w:rPr>
          <w:rFonts w:ascii="Times New Roman;serif" w:hAnsi="Times New Roman;serif"/>
          <w:b w:val="false"/>
          <w:color w:val="000000"/>
          <w:sz w:val="20"/>
          <w:shd w:fill="FFFFFF" w:val="clear"/>
        </w:rPr>
        <w:t xml:space="preserve">were secured by substantially all assets of the Company and the Company’s wholly-owned subsidiaries. In addition, the Company paid fees of $0.6 million related to the Revolving Credit Agreement which were deferred and amortized over the term of the Revolving Credit Agreement. As part of the closing of the </w:t>
      </w:r>
      <w:r>
        <w:rPr>
          <w:rFonts w:ascii="Times New Roman;serif" w:hAnsi="Times New Roman;serif"/>
          <w:b w:val="false"/>
          <w:color w:val="000000"/>
          <w:sz w:val="20"/>
        </w:rPr>
        <w:t>Revolving Credit Agreement</w:t>
      </w:r>
      <w:r>
        <w:rPr>
          <w:rFonts w:ascii="Times New Roman;serif" w:hAnsi="Times New Roman;serif"/>
          <w:b w:val="false"/>
          <w:color w:val="000000"/>
          <w:sz w:val="20"/>
          <w:shd w:fill="FFFFFF" w:val="clear"/>
        </w:rPr>
        <w:t xml:space="preserve">, the Company made an initial draw in the amount of </w:t>
      </w:r>
      <w:r>
        <w:rPr>
          <w:rFonts w:ascii="Times New Roman;serif" w:hAnsi="Times New Roman;serif"/>
          <w:b w:val="false"/>
          <w:color w:val="000000"/>
          <w:sz w:val="20"/>
        </w:rPr>
        <w:t>$100.0 million</w:t>
      </w:r>
      <w:r>
        <w:rPr>
          <w:rFonts w:ascii="Times New Roman;serif" w:hAnsi="Times New Roman;serif"/>
          <w:b w:val="false"/>
          <w:color w:val="000000"/>
          <w:sz w:val="20"/>
          <w:shd w:fill="FFFFFF" w:val="clear"/>
        </w:rPr>
        <w:t xml:space="preserve">. The Company utilized the amount drawn under the </w:t>
      </w:r>
      <w:r>
        <w:rPr>
          <w:rFonts w:ascii="Times New Roman;serif" w:hAnsi="Times New Roman;serif"/>
          <w:b w:val="false"/>
          <w:color w:val="000000"/>
          <w:sz w:val="20"/>
        </w:rPr>
        <w:t>Revolving Credit Agreement</w:t>
      </w:r>
      <w:r>
        <w:rPr>
          <w:color w:val="000000"/>
          <w:shd w:fill="FFFFFF" w:val="clear"/>
        </w:rPr>
        <w:t xml:space="preserve"> </w:t>
      </w:r>
      <w:r>
        <w:rPr>
          <w:rFonts w:ascii="Times New Roman;serif" w:hAnsi="Times New Roman;serif"/>
          <w:b w:val="false"/>
          <w:color w:val="000000"/>
          <w:sz w:val="20"/>
          <w:shd w:fill="FFFFFF" w:val="clear"/>
        </w:rPr>
        <w:t xml:space="preserve">(i) to repay the outstanding balance of approximately $40.0 million under the Company’s Fourth Amended and Restated Uncommitted Revolving Credit Agreement, dated March 22, 2024, by and among the Company and Standard Chartered; and (ii) to prepay approximately $60.0 million under previous shareholder loan agreements between PSI and Weichai. </w:t>
      </w:r>
    </w:p>
    <w:p>
      <w:pPr>
        <w:pStyle w:val="TextBody"/>
        <w:bidi w:val="0"/>
        <w:spacing w:lineRule="auto" w:line="288" w:before="120" w:after="120"/>
        <w:jc w:val="both"/>
        <w:rPr/>
      </w:pPr>
      <w:r>
        <w:rPr>
          <w:rFonts w:ascii="Times New Roman;serif" w:hAnsi="Times New Roman;serif"/>
          <w:b w:val="false"/>
          <w:color w:val="000000"/>
          <w:sz w:val="20"/>
          <w:shd w:fill="FFFFFF" w:val="clear"/>
        </w:rPr>
        <w:t xml:space="preserve">In connection with the </w:t>
      </w:r>
      <w:r>
        <w:rPr>
          <w:rFonts w:ascii="Times New Roman;serif" w:hAnsi="Times New Roman;serif"/>
          <w:b w:val="false"/>
          <w:color w:val="000000"/>
          <w:sz w:val="20"/>
        </w:rPr>
        <w:t>Revolving Credit Agreement</w:t>
      </w:r>
      <w:r>
        <w:rPr>
          <w:rFonts w:ascii="Times New Roman;serif" w:hAnsi="Times New Roman;serif"/>
          <w:b w:val="false"/>
          <w:color w:val="000000"/>
          <w:sz w:val="20"/>
          <w:shd w:fill="FFFFFF" w:val="clear"/>
        </w:rPr>
        <w:t xml:space="preserve">, on August 30, 2024, the Company also entered into a new </w:t>
      </w:r>
      <w:r>
        <w:rPr>
          <w:rFonts w:ascii="Times New Roman;serif" w:hAnsi="Times New Roman;serif"/>
          <w:b w:val="false"/>
          <w:color w:val="000000"/>
          <w:sz w:val="20"/>
        </w:rPr>
        <w:t>SLA</w:t>
      </w:r>
      <w:r>
        <w:rPr>
          <w:color w:val="000000"/>
          <w:shd w:fill="FFFFFF" w:val="clear"/>
        </w:rPr>
        <w:t xml:space="preserve"> </w:t>
      </w:r>
      <w:r>
        <w:rPr>
          <w:rFonts w:ascii="Times New Roman;serif" w:hAnsi="Times New Roman;serif"/>
          <w:b w:val="false"/>
          <w:color w:val="000000"/>
          <w:sz w:val="20"/>
          <w:shd w:fill="FFFFFF" w:val="clear"/>
        </w:rPr>
        <w:t xml:space="preserve">with Weichai, which allowed the Company to borrow up to </w:t>
      </w:r>
      <w:r>
        <w:rPr>
          <w:rFonts w:ascii="Times New Roman;serif" w:hAnsi="Times New Roman;serif"/>
          <w:b w:val="false"/>
          <w:color w:val="000000"/>
          <w:sz w:val="20"/>
        </w:rPr>
        <w:t>$105.0 million</w:t>
      </w:r>
      <w:r>
        <w:rPr>
          <w:color w:val="000000"/>
          <w:shd w:fill="FFFFFF" w:val="clear"/>
        </w:rPr>
        <w:t xml:space="preserve"> </w:t>
      </w:r>
      <w:r>
        <w:rPr>
          <w:rFonts w:ascii="Times New Roman;serif" w:hAnsi="Times New Roman;serif"/>
          <w:b w:val="false"/>
          <w:color w:val="000000"/>
          <w:sz w:val="20"/>
          <w:shd w:fill="FFFFFF" w:val="clear"/>
        </w:rPr>
        <w:t xml:space="preserve">and expired August 31, 2025. Borrowings under the </w:t>
      </w:r>
      <w:r>
        <w:rPr>
          <w:rFonts w:ascii="Times New Roman;serif" w:hAnsi="Times New Roman;serif"/>
          <w:b w:val="false"/>
          <w:color w:val="000000"/>
          <w:sz w:val="20"/>
        </w:rPr>
        <w:t xml:space="preserve">SLA </w:t>
      </w:r>
      <w:r>
        <w:rPr>
          <w:rFonts w:ascii="Times New Roman;serif" w:hAnsi="Times New Roman;serif"/>
          <w:b w:val="false"/>
          <w:color w:val="000000"/>
          <w:sz w:val="20"/>
          <w:shd w:fill="FFFFFF" w:val="clear"/>
        </w:rPr>
        <w:t xml:space="preserve">incurred interest at the applicable SOFR, plus </w:t>
      </w:r>
      <w:r>
        <w:rPr>
          <w:rFonts w:ascii="Times New Roman;serif" w:hAnsi="Times New Roman;serif"/>
          <w:b w:val="false"/>
          <w:color w:val="000000"/>
          <w:sz w:val="20"/>
        </w:rPr>
        <w:t>4.05% per annum. If the interest rate for any loan was lower than Weichai’s borrowing cost, the interest rate for such loan would be equal to Weichai’s borrowing cost plus 1.0%</w:t>
      </w:r>
      <w:r>
        <w:rPr>
          <w:rFonts w:ascii="Times New Roman;serif" w:hAnsi="Times New Roman;serif"/>
          <w:b w:val="false"/>
          <w:color w:val="000000"/>
          <w:sz w:val="20"/>
          <w:shd w:fill="FFFFFF" w:val="clear"/>
        </w:rPr>
        <w:t xml:space="preserve">. The borrowing requests made under the </w:t>
      </w:r>
      <w:r>
        <w:rPr>
          <w:rFonts w:ascii="Times New Roman;serif" w:hAnsi="Times New Roman;serif"/>
          <w:b w:val="false"/>
          <w:color w:val="000000"/>
          <w:sz w:val="20"/>
        </w:rPr>
        <w:t>SLA</w:t>
      </w:r>
      <w:r>
        <w:rPr>
          <w:color w:val="000000"/>
          <w:shd w:fill="FFFFFF" w:val="clear"/>
        </w:rPr>
        <w:t xml:space="preserve"> </w:t>
      </w:r>
      <w:r>
        <w:rPr>
          <w:rFonts w:ascii="Times New Roman;serif" w:hAnsi="Times New Roman;serif"/>
          <w:b w:val="false"/>
          <w:color w:val="000000"/>
          <w:sz w:val="20"/>
          <w:shd w:fill="FFFFFF" w:val="clear"/>
        </w:rPr>
        <w:t xml:space="preserve">were subject to Weichai’s discretionary approval. The payment of the borrowings under the </w:t>
      </w:r>
      <w:r>
        <w:rPr>
          <w:rFonts w:ascii="Times New Roman;serif" w:hAnsi="Times New Roman;serif"/>
          <w:b w:val="false"/>
          <w:color w:val="000000"/>
          <w:sz w:val="20"/>
        </w:rPr>
        <w:t>SLA</w:t>
      </w:r>
      <w:r>
        <w:rPr>
          <w:color w:val="000000"/>
          <w:shd w:fill="FFFFFF" w:val="clear"/>
        </w:rPr>
        <w:t xml:space="preserve"> </w:t>
      </w:r>
      <w:r>
        <w:rPr>
          <w:rFonts w:ascii="Times New Roman;serif" w:hAnsi="Times New Roman;serif"/>
          <w:b w:val="false"/>
          <w:color w:val="000000"/>
          <w:sz w:val="20"/>
          <w:shd w:fill="FFFFFF" w:val="clear"/>
        </w:rPr>
        <w:t xml:space="preserve">was subordinated in all respects to the </w:t>
      </w:r>
      <w:r>
        <w:rPr>
          <w:rFonts w:ascii="Times New Roman;serif" w:hAnsi="Times New Roman;serif"/>
          <w:b w:val="false"/>
          <w:color w:val="000000"/>
          <w:sz w:val="20"/>
        </w:rPr>
        <w:t>Revolving Credit Agreement</w:t>
      </w:r>
      <w:r>
        <w:rPr>
          <w:color w:val="000000"/>
          <w:shd w:fill="FFFFFF" w:val="clear"/>
        </w:rPr>
        <w:t xml:space="preserve"> </w:t>
      </w:r>
      <w:r>
        <w:rPr>
          <w:rFonts w:ascii="Times New Roman;serif" w:hAnsi="Times New Roman;serif"/>
          <w:b w:val="false"/>
          <w:color w:val="000000"/>
          <w:sz w:val="20"/>
          <w:shd w:fill="FFFFFF" w:val="clear"/>
        </w:rPr>
        <w:t xml:space="preserve">with the exception that the Company was allowed to make a single payment of $10.0 million to Weichai. The $60.0 million portion of the initial advance under the </w:t>
      </w:r>
      <w:r>
        <w:rPr>
          <w:rFonts w:ascii="Times New Roman;serif" w:hAnsi="Times New Roman;serif"/>
          <w:b w:val="false"/>
          <w:color w:val="000000"/>
          <w:sz w:val="20"/>
        </w:rPr>
        <w:t>Revolving Credit Agreement</w:t>
      </w:r>
      <w:r>
        <w:rPr>
          <w:color w:val="000000"/>
          <w:shd w:fill="FFFFFF" w:val="clear"/>
        </w:rPr>
        <w:t xml:space="preserve"> </w:t>
      </w:r>
      <w:r>
        <w:rPr>
          <w:rFonts w:ascii="Times New Roman;serif" w:hAnsi="Times New Roman;serif"/>
          <w:b w:val="false"/>
          <w:color w:val="000000"/>
          <w:sz w:val="20"/>
          <w:shd w:fill="FFFFFF" w:val="clear"/>
        </w:rPr>
        <w:t xml:space="preserve">was applied to pay all principal, interest, and other amounts outstanding under the Shareholder’s Loan Agreements that the Company was previously party to with Weichai except for $25.0 million. In January 2025, the Company amended the Revolving Credit Agreement. After the amendment date, the Company was able to repay the outstanding balance under the SLA in principal and interest provided there are no new borrowings under the </w:t>
      </w:r>
      <w:r>
        <w:rPr>
          <w:rFonts w:ascii="Times New Roman;serif" w:hAnsi="Times New Roman;serif"/>
          <w:b w:val="false"/>
          <w:color w:val="000000"/>
          <w:sz w:val="20"/>
        </w:rPr>
        <w:t>SLA</w:t>
      </w:r>
      <w:r>
        <w:rPr>
          <w:rFonts w:ascii="Times New Roman;serif" w:hAnsi="Times New Roman;serif"/>
          <w:b w:val="false"/>
          <w:color w:val="000000"/>
          <w:sz w:val="20"/>
          <w:shd w:fill="FFFFFF" w:val="clear"/>
        </w:rPr>
        <w:t xml:space="preserve">. In June 2025, the Company made the final payment of outstanding balances and fully repaid the </w:t>
      </w:r>
      <w:r>
        <w:rPr>
          <w:rFonts w:ascii="Times New Roman;serif" w:hAnsi="Times New Roman;serif"/>
          <w:b w:val="false"/>
          <w:color w:val="000000"/>
          <w:sz w:val="20"/>
        </w:rPr>
        <w:t>SLA.</w:t>
      </w:r>
    </w:p>
    <w:p>
      <w:pPr>
        <w:pStyle w:val="TextBody"/>
        <w:bidi w:val="0"/>
        <w:spacing w:lineRule="auto" w:line="288" w:before="120" w:after="1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On July 30, 2025, the Company closed on the Second Amendment (the “Amendment”) to the Revolving Credit Agreement with Standard Chartered and three other lenders. The Amendment continues to enable the Company to borrow under a revolving line of credit secured by substantially all the Company’s tangible and intangible assets. The Amendment extended the maturity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222885"/>
                <wp:effectExtent l="0" t="0" r="0" b="0"/>
                <wp:wrapNone/>
                <wp:docPr id="19" name="Frame1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before="120" w:after="120"/>
        <w:jc w:val="both"/>
        <w:rPr/>
      </w:pPr>
      <w:r>
        <w:rPr/>
      </w:r>
    </w:p>
    <w:p>
      <w:pPr>
        <w:pStyle w:val="TextBody"/>
        <w:bidi w:val="0"/>
        <w:spacing w:lineRule="auto" w:line="288" w:before="120" w:after="120"/>
        <w:jc w:val="both"/>
        <w:rPr/>
      </w:pPr>
      <w:r>
        <w:rPr>
          <w:rFonts w:ascii="Times New Roman;serif" w:hAnsi="Times New Roman;serif"/>
          <w:b w:val="false"/>
          <w:color w:val="000000"/>
          <w:sz w:val="20"/>
          <w:shd w:fill="FFFFFF" w:val="clear"/>
        </w:rPr>
        <w:t xml:space="preserve">July 30, 2027, and increased the borrowing capacity of the revolving line of credit to a maximum of </w:t>
      </w:r>
      <w:r>
        <w:rPr>
          <w:rFonts w:ascii="Times New Roman;serif" w:hAnsi="Times New Roman;serif"/>
          <w:b w:val="false"/>
          <w:color w:val="000000"/>
          <w:sz w:val="20"/>
        </w:rPr>
        <w:t>$135.0 million</w:t>
      </w:r>
      <w:r>
        <w:rPr>
          <w:rFonts w:ascii="Times New Roman;serif" w:hAnsi="Times New Roman;serif"/>
          <w:b w:val="false"/>
          <w:color w:val="000000"/>
          <w:sz w:val="20"/>
          <w:shd w:fill="FFFFFF" w:val="clear"/>
        </w:rPr>
        <w:t xml:space="preserve">. The Amendment is subject to customary events of default and quarterly covenants, including minimum consolidated EBITDA, consolidated interest coverage ratio, and consolidated leverage ratio covenants for each fiscal quarter ending hereafter. Borrowings under the Amendment will incur interest at the applicable Secured Overnight Financing Rate (“SOFR”) plus 2.10%. In the event the Company’s majority shareholder, Weichai, holds less than fifty percent (50%) of the common equity of the Company, the interest rate under the Amendment will increase to the applicable SOFR plus 2.60% per annum. The obligations under the Amendment remain unconditionally guaranteed, on a joint and several basis, by certain wholly-owned, existing and subsequently acquired or formed direct and indirect subsidiaries of the Company, subject to customary exceptions. In addition, the Company paid fees of $1.2 million related to the Amendment which are deferred and amortized over the term of the Amendment. As of </w:t>
      </w:r>
      <w:r>
        <w:rPr>
          <w:rFonts w:ascii="Times New Roman;serif" w:hAnsi="Times New Roman;serif"/>
          <w:b w:val="false"/>
          <w:color w:val="000000"/>
          <w:sz w:val="20"/>
        </w:rPr>
        <w:t>March 31, 2026</w:t>
      </w:r>
      <w:r>
        <w:rPr>
          <w:rFonts w:ascii="Times New Roman;serif" w:hAnsi="Times New Roman;serif"/>
          <w:b w:val="false"/>
          <w:color w:val="000000"/>
          <w:sz w:val="20"/>
          <w:shd w:fill="FFFFFF" w:val="clear"/>
        </w:rPr>
        <w:t>, the Company had $95.0 million outstanding under the amended Revolving Credit Agreement.</w:t>
      </w:r>
    </w:p>
    <w:p>
      <w:pPr>
        <w:pStyle w:val="TextBody"/>
        <w:bidi w:val="0"/>
        <w:spacing w:lineRule="auto" w:line="288" w:before="120" w:after="1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On January 9, 2026, the Company acquired the equity interests of MTL for $11.1 million dollars which included a $1.1 million promissory note issued to the seller. The promissory note bears interest at 8% per annum and matures on January 9, 2031. The note is secured by the acquired shares of MTL. As of March 31, 2026, the Company had $1.1 million outstanding on the promissory note. As part of the acquisition, the Company also assumed the outstanding debt of MTL as described below.</w:t>
      </w:r>
    </w:p>
    <w:p>
      <w:pPr>
        <w:pStyle w:val="TextBody"/>
        <w:bidi w:val="0"/>
        <w:spacing w:lineRule="auto" w:line="288" w:before="120" w:after="120"/>
        <w:jc w:val="both"/>
        <w:rPr/>
      </w:pPr>
      <w:r>
        <w:rPr>
          <w:rFonts w:ascii="Times New Roman;serif" w:hAnsi="Times New Roman;serif"/>
          <w:b w:val="false"/>
          <w:color w:val="000000"/>
          <w:sz w:val="20"/>
          <w:shd w:fill="FFFFFF" w:val="clear"/>
        </w:rPr>
        <w:t xml:space="preserve">MTL entered into a financing arrangement under </w:t>
      </w:r>
      <w:r>
        <w:rPr>
          <w:rFonts w:ascii="Times New Roman;serif" w:hAnsi="Times New Roman;serif"/>
          <w:b w:val="false"/>
          <w:color w:val="000000"/>
          <w:sz w:val="20"/>
        </w:rPr>
        <w:t>the Master Loan Agreement (“First Master Loan Agreement”)</w:t>
      </w:r>
      <w:r>
        <w:rPr>
          <w:color w:val="000000"/>
          <w:shd w:fill="FFFFFF" w:val="clear"/>
        </w:rPr>
        <w:t xml:space="preserve"> </w:t>
      </w:r>
      <w:r>
        <w:rPr>
          <w:rFonts w:ascii="Times New Roman;serif" w:hAnsi="Times New Roman;serif"/>
          <w:b w:val="false"/>
          <w:color w:val="000000"/>
          <w:sz w:val="20"/>
          <w:shd w:fill="FFFFFF" w:val="clear"/>
        </w:rPr>
        <w:t xml:space="preserve">dated August 14, 2025 with U.S. Bank Equipment Finance, a division of U.S. Bank National Association. The </w:t>
      </w:r>
      <w:r>
        <w:rPr>
          <w:rFonts w:ascii="Times New Roman;serif" w:hAnsi="Times New Roman;serif"/>
          <w:b w:val="false"/>
          <w:color w:val="000000"/>
          <w:sz w:val="20"/>
        </w:rPr>
        <w:t>First Master Loan Agreement</w:t>
      </w:r>
      <w:r>
        <w:rPr>
          <w:color w:val="000000"/>
          <w:shd w:fill="FFFFFF" w:val="clear"/>
        </w:rPr>
        <w:t xml:space="preserve"> </w:t>
      </w:r>
      <w:r>
        <w:rPr>
          <w:rFonts w:ascii="Times New Roman;serif" w:hAnsi="Times New Roman;serif"/>
          <w:b w:val="false"/>
          <w:color w:val="000000"/>
          <w:sz w:val="20"/>
          <w:shd w:fill="FFFFFF" w:val="clear"/>
        </w:rPr>
        <w:t xml:space="preserve">provides for an original principal balance of $3.5 million, bearing interest at a fixed annual rate of 6.25% and matures in August 2031. The loan is secured by substantially all equipment financed under the arrangement. The </w:t>
      </w:r>
      <w:r>
        <w:rPr>
          <w:rFonts w:ascii="Times New Roman;serif" w:hAnsi="Times New Roman;serif"/>
          <w:b w:val="false"/>
          <w:color w:val="000000"/>
          <w:sz w:val="20"/>
        </w:rPr>
        <w:t>First Master Loan Agreement</w:t>
      </w:r>
      <w:r>
        <w:rPr>
          <w:color w:val="000000"/>
          <w:shd w:fill="FFFFFF" w:val="clear"/>
        </w:rPr>
        <w:t xml:space="preserve"> </w:t>
      </w:r>
      <w:r>
        <w:rPr>
          <w:rFonts w:ascii="Times New Roman;serif" w:hAnsi="Times New Roman;serif"/>
          <w:b w:val="false"/>
          <w:color w:val="000000"/>
          <w:sz w:val="20"/>
          <w:shd w:fill="FFFFFF" w:val="clear"/>
        </w:rPr>
        <w:t>permits prepayment subject to a prepayment fee stated as a percentage of the prepaid balance or a make-whole amount. Such prepayment provisions apply to both voluntary prepayments and amounts accelerated following events of default. The loan bears interest at a stated fixed rate. The Company is required to comply with customary representations, warranties, and covenants associated with the financing arrangement. As of March 31, 2026, the Company was in compliance with all such provisions. As of March 31, 2026, the Company had $3.2 million outstanding.</w:t>
      </w:r>
    </w:p>
    <w:p>
      <w:pPr>
        <w:pStyle w:val="TextBody"/>
        <w:bidi w:val="0"/>
        <w:spacing w:lineRule="auto" w:line="288" w:before="120" w:after="120"/>
        <w:jc w:val="both"/>
        <w:rPr/>
      </w:pPr>
      <w:r>
        <w:rPr>
          <w:rFonts w:ascii="Times New Roman;serif" w:hAnsi="Times New Roman;serif"/>
          <w:b w:val="false"/>
          <w:color w:val="000000"/>
          <w:sz w:val="20"/>
          <w:shd w:fill="FFFFFF" w:val="clear"/>
        </w:rPr>
        <w:t xml:space="preserve">MTL entered into a financing arrangement under </w:t>
      </w:r>
      <w:r>
        <w:rPr>
          <w:rFonts w:ascii="Times New Roman;serif" w:hAnsi="Times New Roman;serif"/>
          <w:b w:val="false"/>
          <w:color w:val="000000"/>
          <w:sz w:val="20"/>
        </w:rPr>
        <w:t>the Master Loan Agreement (“Second Master Loan Agreement”)</w:t>
      </w:r>
      <w:r>
        <w:rPr>
          <w:color w:val="000000"/>
          <w:shd w:fill="FFFFFF" w:val="clear"/>
        </w:rPr>
        <w:t xml:space="preserve"> </w:t>
      </w:r>
      <w:r>
        <w:rPr>
          <w:rFonts w:ascii="Times New Roman;serif" w:hAnsi="Times New Roman;serif"/>
          <w:b w:val="false"/>
          <w:color w:val="000000"/>
          <w:sz w:val="20"/>
          <w:shd w:fill="FFFFFF" w:val="clear"/>
        </w:rPr>
        <w:t xml:space="preserve">dated October 23, 2025 with U.S. Bank Equipment Finance, a division of U.S. Bank National Association. The </w:t>
      </w:r>
      <w:r>
        <w:rPr>
          <w:rFonts w:ascii="Times New Roman;serif" w:hAnsi="Times New Roman;serif"/>
          <w:b w:val="false"/>
          <w:color w:val="000000"/>
          <w:sz w:val="20"/>
        </w:rPr>
        <w:t>Second Master Loan Agreement</w:t>
      </w:r>
      <w:r>
        <w:rPr>
          <w:color w:val="000000"/>
          <w:shd w:fill="FFFFFF" w:val="clear"/>
        </w:rPr>
        <w:t xml:space="preserve"> </w:t>
      </w:r>
      <w:r>
        <w:rPr>
          <w:rFonts w:ascii="Times New Roman;serif" w:hAnsi="Times New Roman;serif"/>
          <w:b w:val="false"/>
          <w:color w:val="000000"/>
          <w:sz w:val="20"/>
          <w:shd w:fill="FFFFFF" w:val="clear"/>
        </w:rPr>
        <w:t xml:space="preserve">provides for an original principal balance of $2.0 million, bearing interest at a fixed annual rate of 6.20% and matures in October 2031. The loan is secured by substantially all equipment financed under the arrangement. The </w:t>
      </w:r>
      <w:r>
        <w:rPr>
          <w:rFonts w:ascii="Times New Roman;serif" w:hAnsi="Times New Roman;serif"/>
          <w:b w:val="false"/>
          <w:color w:val="000000"/>
          <w:sz w:val="20"/>
        </w:rPr>
        <w:t>Second Master Loan Agreement</w:t>
      </w:r>
      <w:r>
        <w:rPr>
          <w:color w:val="000000"/>
          <w:shd w:fill="FFFFFF" w:val="clear"/>
        </w:rPr>
        <w:t xml:space="preserve"> </w:t>
      </w:r>
      <w:r>
        <w:rPr>
          <w:rFonts w:ascii="Times New Roman;serif" w:hAnsi="Times New Roman;serif"/>
          <w:b w:val="false"/>
          <w:color w:val="000000"/>
          <w:sz w:val="20"/>
          <w:shd w:fill="FFFFFF" w:val="clear"/>
        </w:rPr>
        <w:t>permits prepayment subject to a prepayment fee stated as a percentage of the prepaid balance or a make-whole amount. Such prepayment provisions apply to both voluntary prepayments and amounts accelerated following events of default. The loan bears interest at a stated fixed rate. The Company is required to comply with customary representations, warranties, and covenants associated with the financing arrangement. As of March 31, 2026, the Company was in compliance with all such provisions. As of March 31, 2026, the Company had $1.9 million outstanding.</w:t>
      </w:r>
    </w:p>
    <w:p>
      <w:pPr>
        <w:pStyle w:val="TextBody"/>
        <w:bidi w:val="0"/>
        <w:spacing w:lineRule="auto" w:line="288" w:before="120" w:after="120"/>
        <w:jc w:val="both"/>
        <w:rPr/>
      </w:pPr>
      <w:r>
        <w:rPr>
          <w:rFonts w:ascii="Times New Roman;serif" w:hAnsi="Times New Roman;serif"/>
          <w:b w:val="false"/>
          <w:color w:val="000000"/>
          <w:sz w:val="20"/>
          <w:shd w:fill="FFFFFF" w:val="clear"/>
        </w:rPr>
        <w:t xml:space="preserve">On July 27, 2022, MTL entered into a loan agreement with JPMorgan Chase Bank, N.A. under </w:t>
      </w:r>
      <w:r>
        <w:rPr>
          <w:rFonts w:ascii="Times New Roman;serif" w:hAnsi="Times New Roman;serif"/>
          <w:b w:val="false"/>
          <w:color w:val="000000"/>
          <w:sz w:val="20"/>
        </w:rPr>
        <w:t>the U.S. Small Business Administration 7(a) loan program (“SBA Loan”)</w:t>
      </w:r>
      <w:r>
        <w:rPr>
          <w:rFonts w:ascii="Times New Roman;serif" w:hAnsi="Times New Roman;serif"/>
          <w:b w:val="false"/>
          <w:color w:val="000000"/>
          <w:sz w:val="20"/>
          <w:shd w:fill="FFFFFF" w:val="clear"/>
        </w:rPr>
        <w:t xml:space="preserve">. The </w:t>
      </w:r>
      <w:r>
        <w:rPr>
          <w:rFonts w:ascii="Times New Roman;serif" w:hAnsi="Times New Roman;serif"/>
          <w:b w:val="false"/>
          <w:color w:val="000000"/>
          <w:sz w:val="20"/>
        </w:rPr>
        <w:t>SBA Loan</w:t>
      </w:r>
      <w:r>
        <w:rPr>
          <w:color w:val="000000"/>
          <w:shd w:fill="FFFFFF" w:val="clear"/>
        </w:rPr>
        <w:t xml:space="preserve"> </w:t>
      </w:r>
      <w:r>
        <w:rPr>
          <w:rFonts w:ascii="Times New Roman;serif" w:hAnsi="Times New Roman;serif"/>
          <w:b w:val="false"/>
          <w:color w:val="000000"/>
          <w:sz w:val="20"/>
          <w:shd w:fill="FFFFFF" w:val="clear"/>
        </w:rPr>
        <w:t>provides for an original principal balance of $0.9 million, bearing interest at a fixed annual rate of 5.03% and matures on July 27, 2032. The loan is secured by substantially all equipment financed under the arrangement. The loan may be prepaid without penalty for amounts up to 20% of the outstanding principal balance. The Company may prepay outstanding balances exceeding the 20% with proper notices and pay specified additional interest amounts. The Company is required to comply with customary representations, warranties, covenants associated with the financing arrangement, and certain new indebtedness restrictions. The acquisition of MTL triggered a callable event and the entire outstanding balance as of March 31, 2026 of $0.6 million has been classified as c</w:t>
      </w:r>
      <w:r>
        <w:rPr>
          <w:rFonts w:ascii="Times New Roman;serif" w:hAnsi="Times New Roman;serif"/>
          <w:b w:val="false"/>
          <w:color w:val="000000"/>
          <w:sz w:val="20"/>
        </w:rPr>
        <w:t>urrent maturities of long-term debt</w:t>
      </w:r>
      <w:r>
        <w:rPr>
          <w:color w:val="000000"/>
          <w:shd w:fill="FFFFFF" w:val="clear"/>
        </w:rPr>
        <w:t xml:space="preserve"> </w:t>
      </w:r>
      <w:r>
        <w:rPr>
          <w:rFonts w:ascii="Times New Roman;serif" w:hAnsi="Times New Roman;serif"/>
          <w:b w:val="false"/>
          <w:color w:val="000000"/>
          <w:sz w:val="20"/>
          <w:shd w:fill="FFFFFF" w:val="clear"/>
        </w:rPr>
        <w:t>in the accompanying Consolidated Balance Sheet.</w:t>
      </w:r>
    </w:p>
    <w:p>
      <w:pPr>
        <w:pStyle w:val="TextBody"/>
        <w:bidi w:val="0"/>
        <w:spacing w:lineRule="auto" w:line="288" w:before="120" w:after="120"/>
        <w:jc w:val="both"/>
        <w:rPr/>
      </w:pPr>
      <w:r>
        <w:rPr>
          <w:rFonts w:ascii="Times New Roman;serif" w:hAnsi="Times New Roman;serif"/>
          <w:b w:val="false"/>
          <w:color w:val="000000"/>
          <w:sz w:val="20"/>
          <w:shd w:fill="FFFFFF" w:val="clear"/>
        </w:rPr>
        <w:t xml:space="preserve">As of </w:t>
      </w:r>
      <w:r>
        <w:rPr>
          <w:rFonts w:ascii="Times New Roman;serif" w:hAnsi="Times New Roman;serif"/>
          <w:b w:val="false"/>
          <w:color w:val="000000"/>
          <w:sz w:val="20"/>
        </w:rPr>
        <w:t>March 31, 2026</w:t>
      </w:r>
      <w:r>
        <w:rPr>
          <w:rFonts w:ascii="Times New Roman;serif" w:hAnsi="Times New Roman;serif"/>
          <w:b w:val="false"/>
          <w:color w:val="000000"/>
          <w:sz w:val="20"/>
          <w:shd w:fill="FFFFFF" w:val="clear"/>
        </w:rPr>
        <w:t xml:space="preserve">, the Company’s total outstanding debt obligations under the </w:t>
      </w:r>
      <w:r>
        <w:rPr>
          <w:rFonts w:ascii="Times New Roman;serif" w:hAnsi="Times New Roman;serif"/>
          <w:b w:val="false"/>
          <w:color w:val="000000"/>
          <w:sz w:val="20"/>
        </w:rPr>
        <w:t xml:space="preserve">Revolving Credit Agreement </w:t>
      </w:r>
      <w:r>
        <w:rPr>
          <w:rFonts w:ascii="Times New Roman;serif" w:hAnsi="Times New Roman;serif"/>
          <w:b w:val="false"/>
          <w:color w:val="000000"/>
          <w:sz w:val="20"/>
          <w:shd w:fill="FFFFFF" w:val="clear"/>
        </w:rPr>
        <w:t>and for finance leases and other debt were $103.4 million in the aggregate, and its</w:t>
      </w:r>
      <w:r>
        <w:rPr>
          <w:color w:val="000000"/>
        </w:rPr>
        <w:t xml:space="preserve"> </w:t>
      </w:r>
      <w:r>
        <w:rPr>
          <w:rFonts w:ascii="Times New Roman;serif" w:hAnsi="Times New Roman;serif"/>
          <w:b w:val="false"/>
          <w:color w:val="000000"/>
          <w:sz w:val="20"/>
        </w:rPr>
        <w:t xml:space="preserve">cash and cash equivalents were </w:t>
      </w:r>
      <w:r>
        <w:rPr>
          <w:rFonts w:ascii="Times New Roman;serif" w:hAnsi="Times New Roman;serif"/>
          <w:b w:val="false"/>
          <w:color w:val="000000"/>
          <w:sz w:val="20"/>
          <w:shd w:fill="FFFFFF" w:val="clear"/>
        </w:rPr>
        <w:t xml:space="preserve">$45.1 million. The Company's total accrued interest for the </w:t>
      </w:r>
      <w:r>
        <w:rPr>
          <w:rFonts w:ascii="Times New Roman;serif" w:hAnsi="Times New Roman;serif"/>
          <w:b w:val="false"/>
          <w:color w:val="000000"/>
          <w:sz w:val="20"/>
        </w:rPr>
        <w:t>Revolving Credit Agreement</w:t>
      </w:r>
      <w:r>
        <w:rPr>
          <w:color w:val="000000"/>
          <w:shd w:fill="FFFFFF" w:val="clear"/>
        </w:rPr>
        <w:t xml:space="preserve"> </w:t>
      </w:r>
      <w:r>
        <w:rPr>
          <w:rFonts w:ascii="Times New Roman;serif" w:hAnsi="Times New Roman;serif"/>
          <w:b w:val="false"/>
          <w:color w:val="000000"/>
          <w:sz w:val="20"/>
          <w:shd w:fill="FFFFFF" w:val="clear"/>
        </w:rPr>
        <w:t>was $0.2 million and $0.3 million</w:t>
      </w:r>
      <w:r>
        <w:rPr>
          <w:color w:val="000000"/>
        </w:rPr>
        <w:t xml:space="preserve"> </w:t>
      </w:r>
      <w:r>
        <w:rPr>
          <w:rFonts w:ascii="Times New Roman;serif" w:hAnsi="Times New Roman;serif"/>
          <w:b w:val="false"/>
          <w:color w:val="000000"/>
          <w:sz w:val="20"/>
          <w:shd w:fill="FFFFFF" w:val="clear"/>
        </w:rPr>
        <w:t xml:space="preserve">as of </w:t>
      </w:r>
      <w:r>
        <w:rPr>
          <w:rFonts w:ascii="Times New Roman;serif" w:hAnsi="Times New Roman;serif"/>
          <w:b w:val="false"/>
          <w:color w:val="000000"/>
          <w:sz w:val="20"/>
        </w:rPr>
        <w:t>March 31, 2026 and December 31, 2025, respectively</w:t>
      </w:r>
      <w:r>
        <w:rPr>
          <w:rFonts w:ascii="Times New Roman;serif" w:hAnsi="Times New Roman;serif"/>
          <w:b w:val="false"/>
          <w:color w:val="000000"/>
          <w:sz w:val="20"/>
          <w:shd w:fill="FFFFFF" w:val="clear"/>
        </w:rPr>
        <w:t>. Accrued interest is included within Other Accrued Liabilities on the Consolidated Balance Sheet.</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222885"/>
                <wp:effectExtent l="0" t="0" r="0" b="0"/>
                <wp:wrapNone/>
                <wp:docPr id="20" name="Frame1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before="120" w:after="120"/>
        <w:jc w:val="both"/>
        <w:rPr/>
      </w:pPr>
      <w:r>
        <w:rPr/>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Note 8. Other Non-Current Liabilities</w:t>
      </w:r>
    </w:p>
    <w:p>
      <w:pPr>
        <w:pStyle w:val="TextBody"/>
        <w:bidi w:val="0"/>
        <w:spacing w:lineRule="auto" w:line="288" w:before="120" w:after="120"/>
        <w:jc w:val="both"/>
        <w:rPr/>
      </w:pPr>
      <w:r>
        <w:rPr>
          <w:rFonts w:ascii="Times New Roman;serif" w:hAnsi="Times New Roman;serif"/>
          <w:b w:val="false"/>
          <w:color w:val="000000"/>
          <w:sz w:val="20"/>
          <w:shd w:fill="FFFFFF" w:val="clear"/>
        </w:rPr>
        <w:t xml:space="preserve">On June 14, 2024, the Company executed a non-interest bearing note payable of $4.5 million upon settlement of a legal matter. The note payable is due May 2028 and is discounted based on an imputed interest rate of </w:t>
      </w:r>
      <w:r>
        <w:rPr>
          <w:rFonts w:ascii="Times New Roman;serif" w:hAnsi="Times New Roman;serif"/>
          <w:b w:val="false"/>
          <w:color w:val="000000"/>
          <w:sz w:val="20"/>
        </w:rPr>
        <w:t>6.66%</w:t>
      </w:r>
      <w:r>
        <w:rPr>
          <w:rFonts w:ascii="Times New Roman;serif" w:hAnsi="Times New Roman;serif"/>
          <w:b w:val="false"/>
          <w:color w:val="000000"/>
          <w:sz w:val="20"/>
          <w:shd w:fill="FFFFFF" w:val="clear"/>
        </w:rPr>
        <w:t xml:space="preserve">. The note payable includes an option for the Company to extend maturity of the note to September 2029 upon written notice before the thirty-seventh payment and, if such option is exercised, the maximum payment amount of the note increases to $4.8 million. </w:t>
      </w:r>
    </w:p>
    <w:p>
      <w:pPr>
        <w:pStyle w:val="TextBody"/>
        <w:bidi w:val="0"/>
        <w:spacing w:lineRule="auto" w:line="288" w:before="120" w:after="120"/>
        <w:jc w:val="both"/>
        <w:rPr/>
      </w:pPr>
      <w:r>
        <w:rPr>
          <w:rFonts w:ascii="Times New Roman;serif" w:hAnsi="Times New Roman;serif"/>
          <w:b w:val="false"/>
          <w:color w:val="000000"/>
          <w:sz w:val="20"/>
          <w:shd w:fill="FFFFFF" w:val="clear"/>
        </w:rPr>
        <w:t xml:space="preserve">As of March 31, 2026 and </w:t>
      </w:r>
      <w:r>
        <w:rPr>
          <w:rFonts w:ascii="Times New Roman;serif" w:hAnsi="Times New Roman;serif"/>
          <w:b w:val="false"/>
          <w:color w:val="000000"/>
          <w:sz w:val="20"/>
        </w:rPr>
        <w:t>December 31, 2025 t</w:t>
      </w:r>
      <w:r>
        <w:rPr>
          <w:rFonts w:ascii="Times New Roman;serif" w:hAnsi="Times New Roman;serif"/>
          <w:b w:val="false"/>
          <w:color w:val="000000"/>
          <w:sz w:val="20"/>
          <w:shd w:fill="FFFFFF" w:val="clear"/>
        </w:rPr>
        <w:t>he current portion of the note of $0.8 million and $0.7 million, respectively,</w:t>
      </w:r>
      <w:r>
        <w:rPr>
          <w:color w:val="000000"/>
        </w:rPr>
        <w:t xml:space="preserve"> </w:t>
      </w:r>
      <w:r>
        <w:rPr>
          <w:rFonts w:ascii="Times New Roman;serif" w:hAnsi="Times New Roman;serif"/>
          <w:b w:val="false"/>
          <w:color w:val="000000"/>
          <w:sz w:val="20"/>
          <w:shd w:fill="FFFFFF" w:val="clear"/>
        </w:rPr>
        <w:t xml:space="preserve">is included in </w:t>
      </w:r>
      <w:r>
        <w:rPr>
          <w:rFonts w:ascii="Times New Roman;serif" w:hAnsi="Times New Roman;serif"/>
          <w:b w:val="false"/>
          <w:i/>
          <w:color w:val="000000"/>
          <w:sz w:val="20"/>
          <w:shd w:fill="FFFFFF" w:val="clear"/>
        </w:rPr>
        <w:t>Other accrued liabilities</w:t>
      </w:r>
      <w:r>
        <w:rPr>
          <w:color w:val="000000"/>
          <w:shd w:fill="FFFFFF" w:val="clear"/>
        </w:rPr>
        <w:t xml:space="preserve"> </w:t>
      </w:r>
      <w:r>
        <w:rPr>
          <w:rFonts w:ascii="Times New Roman;serif" w:hAnsi="Times New Roman;serif"/>
          <w:b w:val="false"/>
          <w:color w:val="000000"/>
          <w:sz w:val="20"/>
          <w:shd w:fill="FFFFFF" w:val="clear"/>
        </w:rPr>
        <w:t>in the Company’s Consolidated Balance Sheet.</w:t>
      </w:r>
    </w:p>
    <w:tbl>
      <w:tblPr>
        <w:tblW w:w="6713" w:type="dxa"/>
        <w:jc w:val="left"/>
        <w:tblInd w:w="0" w:type="dxa"/>
        <w:tblLayout w:type="fixed"/>
        <w:tblCellMar>
          <w:top w:w="28" w:type="dxa"/>
          <w:left w:w="28" w:type="dxa"/>
          <w:bottom w:w="28" w:type="dxa"/>
          <w:right w:w="28" w:type="dxa"/>
        </w:tblCellMar>
      </w:tblPr>
      <w:tblGrid>
        <w:gridCol w:w="695"/>
        <w:gridCol w:w="612"/>
        <w:gridCol w:w="613"/>
        <w:gridCol w:w="109"/>
        <w:gridCol w:w="109"/>
        <w:gridCol w:w="109"/>
        <w:gridCol w:w="433"/>
        <w:gridCol w:w="1230"/>
        <w:gridCol w:w="241"/>
        <w:gridCol w:w="109"/>
        <w:gridCol w:w="109"/>
        <w:gridCol w:w="109"/>
        <w:gridCol w:w="482"/>
        <w:gridCol w:w="1371"/>
        <w:gridCol w:w="382"/>
      </w:tblGrid>
      <w:tr>
        <w:trPr/>
        <w:tc>
          <w:tcPr>
            <w:tcW w:w="695"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23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371"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r>
      <w:tr>
        <w:trPr/>
        <w:tc>
          <w:tcPr>
            <w:tcW w:w="19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 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 December 31, 2025</w:t>
            </w:r>
          </w:p>
        </w:tc>
      </w:tr>
      <w:tr>
        <w:trPr/>
        <w:tc>
          <w:tcPr>
            <w:tcW w:w="1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2,629 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2,810 </w:t>
            </w:r>
          </w:p>
        </w:tc>
        <w:tc>
          <w:tcPr>
            <w:tcW w:w="3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Unamortized discount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(265)</w:t>
            </w:r>
          </w:p>
        </w:tc>
        <w:tc>
          <w:tcPr>
            <w:tcW w:w="3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2,408 </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2,545 </w:t>
            </w:r>
          </w:p>
        </w:tc>
        <w:tc>
          <w:tcPr>
            <w:tcW w:w="3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following table presents remaining maturities for the note payable as of March 31, 2026:</w:t>
      </w:r>
    </w:p>
    <w:p>
      <w:pPr>
        <w:pStyle w:val="TextBody"/>
        <w:bidi w:val="0"/>
        <w:spacing w:before="120" w:after="120"/>
        <w:jc w:val="left"/>
        <w:rPr/>
      </w:pPr>
      <w:r>
        <w:rPr/>
      </w:r>
    </w:p>
    <w:tbl>
      <w:tblPr>
        <w:tblW w:w="6715" w:type="dxa"/>
        <w:jc w:val="left"/>
        <w:tblInd w:w="0" w:type="dxa"/>
        <w:tblLayout w:type="fixed"/>
        <w:tblCellMar>
          <w:top w:w="28" w:type="dxa"/>
          <w:left w:w="28" w:type="dxa"/>
          <w:bottom w:w="28" w:type="dxa"/>
          <w:right w:w="28" w:type="dxa"/>
        </w:tblCellMar>
      </w:tblPr>
      <w:tblGrid>
        <w:gridCol w:w="1085"/>
        <w:gridCol w:w="956"/>
        <w:gridCol w:w="959"/>
        <w:gridCol w:w="109"/>
        <w:gridCol w:w="109"/>
        <w:gridCol w:w="109"/>
        <w:gridCol w:w="225"/>
        <w:gridCol w:w="639"/>
        <w:gridCol w:w="127"/>
        <w:gridCol w:w="109"/>
        <w:gridCol w:w="109"/>
        <w:gridCol w:w="109"/>
        <w:gridCol w:w="526"/>
        <w:gridCol w:w="1129"/>
        <w:gridCol w:w="415"/>
      </w:tblGrid>
      <w:tr>
        <w:trPr/>
        <w:tc>
          <w:tcPr>
            <w:tcW w:w="1085"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Maturities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Discount Amortization</w:t>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Nine months ending December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560 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115 </w:t>
            </w:r>
          </w:p>
        </w:tc>
        <w:tc>
          <w:tcPr>
            <w:tcW w:w="4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Year ending December 31, 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1,328 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w:t>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Year ending December 31, 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741 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w:t>
            </w:r>
          </w:p>
        </w:tc>
      </w:tr>
      <w:tr>
        <w:trPr/>
        <w:tc>
          <w:tcPr>
            <w:tcW w:w="30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70" w:type="dxa"/>
            <w:gridSpan w:val="3"/>
            <w:tcBorders/>
            <w:vAlign w:val="center"/>
          </w:tcPr>
          <w:p>
            <w:pPr>
              <w:pStyle w:val="TableContents"/>
              <w:bidi w:val="0"/>
              <w:spacing w:before="0" w:after="283"/>
              <w:jc w:val="left"/>
              <w:rPr>
                <w:sz w:val="4"/>
                <w:szCs w:val="4"/>
              </w:rPr>
            </w:pPr>
            <w:r>
              <w:rPr>
                <w:sz w:val="4"/>
                <w:szCs w:val="4"/>
              </w:rPr>
            </w:r>
          </w:p>
        </w:tc>
      </w:tr>
      <w:tr>
        <w:trPr/>
        <w:tc>
          <w:tcPr>
            <w:tcW w:w="30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70" w:type="dxa"/>
            <w:gridSpan w:val="3"/>
            <w:tcBorders/>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note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2,629 </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221 </w:t>
            </w:r>
          </w:p>
        </w:tc>
        <w:tc>
          <w:tcPr>
            <w:tcW w:w="4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pPr>
      <w:r>
        <w:rPr>
          <w:rFonts w:ascii="Times New Roman;serif" w:hAnsi="Times New Roman;serif"/>
          <w:b w:val="false"/>
          <w:color w:val="000000"/>
          <w:sz w:val="20"/>
          <w:shd w:fill="FFFFFF" w:val="clear"/>
        </w:rPr>
        <w:t xml:space="preserve">The Company recorded $0.4 million and $0.2 million discount amortization as interest expense as of March 31, 2026 and </w:t>
      </w:r>
      <w:r>
        <w:rPr>
          <w:rFonts w:ascii="Times New Roman;serif" w:hAnsi="Times New Roman;serif"/>
          <w:b w:val="false"/>
          <w:color w:val="000000"/>
          <w:sz w:val="20"/>
        </w:rPr>
        <w:t>2025, respectively</w:t>
      </w:r>
      <w:r>
        <w:rPr>
          <w:rFonts w:ascii="Times New Roman;serif" w:hAnsi="Times New Roman;serif"/>
          <w:b w:val="false"/>
          <w:color w:val="000000"/>
          <w:sz w:val="20"/>
          <w:shd w:fill="FFFFFF" w:val="clear"/>
        </w:rPr>
        <w:t>.</w:t>
      </w:r>
    </w:p>
    <w:p>
      <w:pPr>
        <w:pStyle w:val="TextBody"/>
        <w:bidi w:val="0"/>
        <w:spacing w:before="12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222885"/>
                <wp:effectExtent l="0" t="0" r="0" b="0"/>
                <wp:wrapNone/>
                <wp:docPr id="21" name="Frame2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before="120" w:after="120"/>
        <w:jc w:val="both"/>
        <w:rPr/>
      </w:pPr>
      <w:r>
        <w:rPr/>
      </w:r>
    </w:p>
    <w:p>
      <w:pPr>
        <w:pStyle w:val="TextBody"/>
        <w:bidi w:val="0"/>
        <w:spacing w:lineRule="auto" w:line="288" w:before="240" w:after="120"/>
        <w:jc w:val="both"/>
        <w:rPr/>
      </w:pPr>
      <w:r>
        <w:rPr>
          <w:rFonts w:ascii="Times New Roman;serif" w:hAnsi="Times New Roman;serif"/>
          <w:b/>
          <w:color w:val="000000"/>
          <w:sz w:val="20"/>
          <w:shd w:fill="FFFFFF" w:val="clear"/>
        </w:rPr>
        <w:t>Note 9.</w:t>
      </w:r>
      <w:r>
        <w:rPr>
          <w:color w:val="000000"/>
        </w:rPr>
        <w:t>    </w:t>
      </w:r>
      <w:r>
        <w:rPr>
          <w:rFonts w:ascii="Times New Roman;serif" w:hAnsi="Times New Roman;serif"/>
          <w:b/>
          <w:color w:val="000000"/>
          <w:sz w:val="20"/>
          <w:shd w:fill="FFFFFF" w:val="clear"/>
        </w:rPr>
        <w:t>Leases</w:t>
      </w:r>
      <w:r>
        <w:rPr>
          <w:color w:val="000000"/>
        </w:rPr>
        <w:t xml:space="preserve"> </w:t>
      </w:r>
    </w:p>
    <w:p>
      <w:pPr>
        <w:pStyle w:val="TextBody"/>
        <w:bidi w:val="0"/>
        <w:spacing w:lineRule="auto" w:line="288" w:before="180" w:after="120"/>
        <w:jc w:val="both"/>
        <w:rPr>
          <w:rFonts w:ascii="Times New Roman;serif" w:hAnsi="Times New Roman;serif"/>
          <w:b/>
          <w:color w:val="000000"/>
          <w:sz w:val="20"/>
        </w:rPr>
      </w:pPr>
      <w:r>
        <w:rPr>
          <w:rFonts w:ascii="Times New Roman;serif" w:hAnsi="Times New Roman;serif"/>
          <w:b/>
          <w:color w:val="000000"/>
          <w:sz w:val="20"/>
        </w:rPr>
        <w:t>Leases</w:t>
      </w:r>
    </w:p>
    <w:p>
      <w:pPr>
        <w:pStyle w:val="TextBody"/>
        <w:bidi w:val="0"/>
        <w:spacing w:lineRule="auto" w:line="288" w:before="120" w:after="120"/>
        <w:jc w:val="both"/>
        <w:rPr/>
      </w:pPr>
      <w:r>
        <w:rPr>
          <w:rFonts w:ascii="Times New Roman;serif" w:hAnsi="Times New Roman;serif"/>
          <w:b w:val="false"/>
          <w:color w:val="000000"/>
          <w:sz w:val="20"/>
        </w:rPr>
        <w:t>The Company has obligations under lease arrangements primarily for facilities, equipment and vehicles. These leases have original lease periods expiring from</w:t>
      </w:r>
      <w:r>
        <w:rPr>
          <w:color w:val="000000"/>
          <w:shd w:fill="FFFFFF" w:val="clear"/>
        </w:rPr>
        <w:t xml:space="preserve"> </w:t>
      </w:r>
      <w:r>
        <w:rPr>
          <w:rFonts w:ascii="Times New Roman;serif" w:hAnsi="Times New Roman;serif"/>
          <w:b w:val="false"/>
          <w:color w:val="000000"/>
          <w:sz w:val="20"/>
          <w:shd w:fill="FFFFFF" w:val="clear"/>
        </w:rPr>
        <w:t xml:space="preserve">April 2026 to March 2036. The following table summarizes the lease expense by category in the Consolidated Statements of Income: </w:t>
      </w:r>
    </w:p>
    <w:tbl>
      <w:tblPr>
        <w:tblW w:w="7226" w:type="dxa"/>
        <w:jc w:val="left"/>
        <w:tblInd w:w="0" w:type="dxa"/>
        <w:tblLayout w:type="fixed"/>
        <w:tblCellMar>
          <w:top w:w="28" w:type="dxa"/>
          <w:left w:w="28" w:type="dxa"/>
          <w:bottom w:w="28" w:type="dxa"/>
          <w:right w:w="28" w:type="dxa"/>
        </w:tblCellMar>
      </w:tblPr>
      <w:tblGrid>
        <w:gridCol w:w="1172"/>
        <w:gridCol w:w="1032"/>
        <w:gridCol w:w="1035"/>
        <w:gridCol w:w="109"/>
        <w:gridCol w:w="109"/>
        <w:gridCol w:w="109"/>
        <w:gridCol w:w="304"/>
        <w:gridCol w:w="863"/>
        <w:gridCol w:w="169"/>
        <w:gridCol w:w="169"/>
        <w:gridCol w:w="169"/>
        <w:gridCol w:w="169"/>
        <w:gridCol w:w="304"/>
        <w:gridCol w:w="863"/>
        <w:gridCol w:w="169"/>
        <w:gridCol w:w="109"/>
        <w:gridCol w:w="109"/>
        <w:gridCol w:w="109"/>
        <w:gridCol w:w="154"/>
      </w:tblGrid>
      <w:tr>
        <w:trPr/>
        <w:tc>
          <w:tcPr>
            <w:tcW w:w="1172"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3,538 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2,185 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3,705 </w:t>
            </w:r>
          </w:p>
        </w:tc>
        <w:tc>
          <w:tcPr>
            <w:tcW w:w="1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2,320 </w:t>
            </w:r>
          </w:p>
        </w:tc>
        <w:tc>
          <w:tcPr>
            <w:tcW w:w="1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following table summarizes the components of lease expense and income:</w:t>
      </w:r>
    </w:p>
    <w:tbl>
      <w:tblPr>
        <w:tblW w:w="7212" w:type="dxa"/>
        <w:jc w:val="left"/>
        <w:tblInd w:w="0" w:type="dxa"/>
        <w:tblLayout w:type="fixed"/>
        <w:tblCellMar>
          <w:top w:w="28" w:type="dxa"/>
          <w:left w:w="28" w:type="dxa"/>
          <w:bottom w:w="28" w:type="dxa"/>
          <w:right w:w="28" w:type="dxa"/>
        </w:tblCellMar>
      </w:tblPr>
      <w:tblGrid>
        <w:gridCol w:w="1167"/>
        <w:gridCol w:w="1027"/>
        <w:gridCol w:w="1031"/>
        <w:gridCol w:w="109"/>
        <w:gridCol w:w="109"/>
        <w:gridCol w:w="109"/>
        <w:gridCol w:w="304"/>
        <w:gridCol w:w="863"/>
        <w:gridCol w:w="169"/>
        <w:gridCol w:w="169"/>
        <w:gridCol w:w="169"/>
        <w:gridCol w:w="169"/>
        <w:gridCol w:w="304"/>
        <w:gridCol w:w="863"/>
        <w:gridCol w:w="169"/>
        <w:gridCol w:w="109"/>
        <w:gridCol w:w="109"/>
        <w:gridCol w:w="109"/>
        <w:gridCol w:w="154"/>
      </w:tblGrid>
      <w:tr>
        <w:trPr/>
        <w:tc>
          <w:tcPr>
            <w:tcW w:w="1167"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50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Operating lease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2,949 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1,598 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Finance lease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right-of-use (“ROU”) asset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Short-term lease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Variable lease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418 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467 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50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lease cost,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3,705 </w:t>
            </w:r>
          </w:p>
        </w:tc>
        <w:tc>
          <w:tcPr>
            <w:tcW w:w="1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2,320 </w:t>
            </w:r>
          </w:p>
        </w:tc>
        <w:tc>
          <w:tcPr>
            <w:tcW w:w="1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following table presents supplemental cash flow information related to leases:</w:t>
      </w:r>
    </w:p>
    <w:tbl>
      <w:tblPr>
        <w:tblW w:w="8585" w:type="dxa"/>
        <w:jc w:val="left"/>
        <w:tblInd w:w="0" w:type="dxa"/>
        <w:tblLayout w:type="fixed"/>
        <w:tblCellMar>
          <w:top w:w="28" w:type="dxa"/>
          <w:left w:w="28" w:type="dxa"/>
          <w:bottom w:w="28" w:type="dxa"/>
          <w:right w:w="28" w:type="dxa"/>
        </w:tblCellMar>
      </w:tblPr>
      <w:tblGrid>
        <w:gridCol w:w="1823"/>
        <w:gridCol w:w="1606"/>
        <w:gridCol w:w="1610"/>
        <w:gridCol w:w="109"/>
        <w:gridCol w:w="109"/>
        <w:gridCol w:w="109"/>
        <w:gridCol w:w="301"/>
        <w:gridCol w:w="856"/>
        <w:gridCol w:w="167"/>
        <w:gridCol w:w="167"/>
        <w:gridCol w:w="167"/>
        <w:gridCol w:w="167"/>
        <w:gridCol w:w="301"/>
        <w:gridCol w:w="856"/>
        <w:gridCol w:w="237"/>
      </w:tblGrid>
      <w:tr>
        <w:trPr/>
        <w:tc>
          <w:tcPr>
            <w:tcW w:w="1823" w:type="dxa"/>
            <w:tcBorders/>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c>
          <w:tcPr>
            <w:tcW w:w="16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5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Three Months Ended March 31,</w:t>
            </w:r>
          </w:p>
        </w:tc>
      </w:tr>
      <w:tr>
        <w:trPr/>
        <w:tc>
          <w:tcPr>
            <w:tcW w:w="5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5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503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18"/>
              </w:rPr>
            </w:pPr>
            <w:r>
              <w:rPr>
                <w:rFonts w:ascii="Times New Roman;serif" w:hAnsi="Times New Roman;serif"/>
                <w:b w:val="false"/>
                <w:color w:val="000000"/>
                <w:sz w:val="18"/>
              </w:rPr>
              <w:t>Cash paid for amounts included in the measurement of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cash flows paid for operating 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3,982 </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1,449 </w:t>
            </w:r>
          </w:p>
        </w:tc>
        <w:tc>
          <w:tcPr>
            <w:tcW w:w="2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cash flows paid for interest portion of finance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Financing cash flows paid for principal portion of finance 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86 </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56 </w:t>
            </w:r>
          </w:p>
        </w:tc>
        <w:tc>
          <w:tcPr>
            <w:tcW w:w="2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18"/>
              </w:rPr>
            </w:pPr>
            <w:r>
              <w:rPr>
                <w:rFonts w:ascii="Times New Roman;serif" w:hAnsi="Times New Roman;serif"/>
                <w:b w:val="false"/>
                <w:color w:val="000000"/>
                <w:sz w:val="18"/>
              </w:rPr>
              <w:t>ROU assets obtained in exchange for lease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18"/>
              </w:rPr>
            </w:pPr>
            <w:r>
              <w:rPr>
                <w:rFonts w:ascii="Times New Roman;serif" w:hAnsi="Times New Roman;serif"/>
                <w:b w:val="false"/>
                <w:color w:val="000000"/>
                <w:sz w:val="18"/>
              </w:rPr>
              <w:t>Operating 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9,953 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18,355 </w:t>
            </w:r>
          </w:p>
        </w:tc>
        <w:tc>
          <w:tcPr>
            <w:tcW w:w="2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Finance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904 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pPr>
      <w:r>
        <w:rPr>
          <w:rFonts w:ascii="Times New Roman;serif" w:hAnsi="Times New Roman;serif"/>
          <w:b w:val="false"/>
          <w:color w:val="000000"/>
          <w:sz w:val="20"/>
          <w:shd w:fill="FFFFFF" w:val="clear"/>
        </w:rPr>
        <w:t>As of March 31, 2026 and December 31, 2025, the weighted-average remaining lease term was 8.0 years and 7.7 years for operating leases and 4.0 years and 4.4 years for finance leases, respectively. As of March 31, 2026 and December 31, 2025, the weighted-average discount rate was 7.1% and 7.3%</w:t>
      </w:r>
      <w:r>
        <w:rPr>
          <w:color w:val="000000"/>
        </w:rPr>
        <w:t xml:space="preserve"> </w:t>
      </w:r>
      <w:r>
        <w:rPr>
          <w:rFonts w:ascii="Times New Roman;serif" w:hAnsi="Times New Roman;serif"/>
          <w:b w:val="false"/>
          <w:color w:val="000000"/>
          <w:sz w:val="20"/>
          <w:shd w:fill="FFFFFF" w:val="clear"/>
        </w:rPr>
        <w:t>for operating leases, respectively. As of both March 31, 2026 and December 31, 2025 weighted-average discount rate was 6.9% for finance leases.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222885"/>
                <wp:effectExtent l="0" t="0" r="0" b="0"/>
                <wp:wrapNone/>
                <wp:docPr id="22" name="Frame2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before="120" w:after="120"/>
        <w:jc w:val="both"/>
        <w:rPr/>
      </w:pPr>
      <w:r>
        <w:rPr/>
      </w:r>
    </w:p>
    <w:p>
      <w:pPr>
        <w:pStyle w:val="TextBody"/>
        <w:bidi w:val="0"/>
        <w:spacing w:lineRule="auto" w:line="288" w:before="120" w:after="1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following table presents supplemental balance sheet information related to leases:</w:t>
      </w:r>
    </w:p>
    <w:tbl>
      <w:tblPr>
        <w:tblW w:w="6382" w:type="dxa"/>
        <w:jc w:val="left"/>
        <w:tblInd w:w="0" w:type="dxa"/>
        <w:tblLayout w:type="fixed"/>
        <w:tblCellMar>
          <w:top w:w="28" w:type="dxa"/>
          <w:left w:w="28" w:type="dxa"/>
          <w:bottom w:w="28" w:type="dxa"/>
          <w:right w:w="28" w:type="dxa"/>
        </w:tblCellMar>
      </w:tblPr>
      <w:tblGrid>
        <w:gridCol w:w="1031"/>
        <w:gridCol w:w="908"/>
        <w:gridCol w:w="911"/>
        <w:gridCol w:w="109"/>
        <w:gridCol w:w="109"/>
        <w:gridCol w:w="109"/>
        <w:gridCol w:w="266"/>
        <w:gridCol w:w="876"/>
        <w:gridCol w:w="147"/>
        <w:gridCol w:w="109"/>
        <w:gridCol w:w="109"/>
        <w:gridCol w:w="109"/>
        <w:gridCol w:w="313"/>
        <w:gridCol w:w="1031"/>
        <w:gridCol w:w="245"/>
      </w:tblGrid>
      <w:tr>
        <w:trPr/>
        <w:tc>
          <w:tcPr>
            <w:tcW w:w="1031"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r>
      <w:tr>
        <w:trPr/>
        <w:tc>
          <w:tcPr>
            <w:tcW w:w="2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28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color w:val="000000"/>
                <w:sz w:val="18"/>
              </w:rPr>
            </w:pPr>
            <w:r>
              <w:rPr>
                <w:rFonts w:ascii="Times New Roman;serif" w:hAnsi="Times New Roman;serif"/>
                <w:b/>
                <w:color w:val="000000"/>
                <w:sz w:val="18"/>
              </w:rPr>
              <w:t xml:space="preserve">Operating lease ROU assets, net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61,164 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52,911 </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Operating lease liabilities, current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7,351 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6,346 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Operating lease liabilities, non-current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55,628 </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49,397 </w:t>
            </w:r>
          </w:p>
        </w:tc>
        <w:tc>
          <w:tcPr>
            <w:tcW w:w="2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color w:val="000000"/>
                <w:sz w:val="18"/>
              </w:rPr>
            </w:pPr>
            <w:r>
              <w:rPr>
                <w:rFonts w:ascii="Times New Roman;serif" w:hAnsi="Times New Roman;serif"/>
                <w:b/>
                <w:color w:val="000000"/>
                <w:sz w:val="18"/>
              </w:rPr>
              <w:t>Total 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62,979 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55,743 </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pPr>
            <w:r>
              <w:rPr>
                <w:rFonts w:ascii="Times New Roman;serif" w:hAnsi="Times New Roman;serif"/>
                <w:b/>
                <w:color w:val="000000"/>
                <w:sz w:val="18"/>
              </w:rPr>
              <w:t xml:space="preserve">Finance lease ROU assets, net </w:t>
            </w:r>
            <w:r>
              <w:rPr>
                <w:rFonts w:ascii="Times New Roman;serif" w:hAnsi="Times New Roman;serif"/>
                <w:b/>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1,534 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1,533 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Finance lease liabilities, current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364 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355 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Finance lease liabilities, non-current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1,223 </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1,224 </w:t>
            </w:r>
          </w:p>
        </w:tc>
        <w:tc>
          <w:tcPr>
            <w:tcW w:w="2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color w:val="000000"/>
                <w:sz w:val="18"/>
              </w:rPr>
            </w:pPr>
            <w:r>
              <w:rPr>
                <w:rFonts w:ascii="Times New Roman;serif" w:hAnsi="Times New Roman;serif"/>
                <w:b/>
                <w:color w:val="000000"/>
                <w:sz w:val="18"/>
              </w:rPr>
              <w:t>Total finance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1,587 </w:t>
            </w:r>
          </w:p>
        </w:tc>
        <w:tc>
          <w:tcPr>
            <w:tcW w:w="1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1,579 </w:t>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720"/>
        <w:jc w:val="both"/>
        <w:rPr/>
      </w:pPr>
      <w:r>
        <w:rPr>
          <w:rFonts w:ascii="Times New Roman;serif" w:hAnsi="Times New Roman;serif"/>
          <w:b w:val="false"/>
          <w:color w:val="000000"/>
          <w:sz w:val="16"/>
        </w:rPr>
        <w:t xml:space="preserve">1.Included in </w:t>
      </w:r>
      <w:r>
        <w:rPr>
          <w:rFonts w:ascii="Times New Roman;serif" w:hAnsi="Times New Roman;serif"/>
          <w:b w:val="false"/>
          <w:i/>
          <w:color w:val="000000"/>
          <w:sz w:val="16"/>
        </w:rPr>
        <w:t>Property, plant and equipment, net</w:t>
      </w:r>
      <w:r>
        <w:rPr>
          <w:color w:val="000000"/>
        </w:rPr>
        <w:t xml:space="preserve"> </w:t>
      </w:r>
      <w:r>
        <w:rPr>
          <w:rFonts w:ascii="Times New Roman;serif" w:hAnsi="Times New Roman;serif"/>
          <w:b w:val="false"/>
          <w:color w:val="000000"/>
          <w:sz w:val="16"/>
        </w:rPr>
        <w:t>for finance leases on the Consolidated Balance Sheets.</w:t>
      </w:r>
    </w:p>
    <w:p>
      <w:pPr>
        <w:pStyle w:val="TextBody"/>
        <w:bidi w:val="0"/>
        <w:spacing w:lineRule="auto" w:line="288" w:before="120" w:after="1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following table presents maturity analysis of lease liabilities as of March 31, 2026:</w:t>
      </w:r>
    </w:p>
    <w:tbl>
      <w:tblPr>
        <w:tblW w:w="6397" w:type="dxa"/>
        <w:jc w:val="left"/>
        <w:tblInd w:w="0" w:type="dxa"/>
        <w:tblLayout w:type="fixed"/>
        <w:tblCellMar>
          <w:top w:w="28" w:type="dxa"/>
          <w:left w:w="28" w:type="dxa"/>
          <w:bottom w:w="28" w:type="dxa"/>
          <w:right w:w="28" w:type="dxa"/>
        </w:tblCellMar>
      </w:tblPr>
      <w:tblGrid>
        <w:gridCol w:w="1085"/>
        <w:gridCol w:w="956"/>
        <w:gridCol w:w="959"/>
        <w:gridCol w:w="109"/>
        <w:gridCol w:w="109"/>
        <w:gridCol w:w="109"/>
        <w:gridCol w:w="296"/>
        <w:gridCol w:w="978"/>
        <w:gridCol w:w="165"/>
        <w:gridCol w:w="109"/>
        <w:gridCol w:w="109"/>
        <w:gridCol w:w="109"/>
        <w:gridCol w:w="282"/>
        <w:gridCol w:w="801"/>
        <w:gridCol w:w="221"/>
      </w:tblGrid>
      <w:tr>
        <w:trPr/>
        <w:tc>
          <w:tcPr>
            <w:tcW w:w="1085"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Operating 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Finance Leases</w:t>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Nine months ending December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8,651 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345 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Year ending December 31, 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11,642 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460 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Year ending December 31, 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10,612 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460 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Year ending December 31, 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9,803 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441 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Year ending December 31, 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8,448 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Year ending December 31, 2031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6,471 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Thereafter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27,669 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color w:val="000000"/>
                <w:sz w:val="18"/>
              </w:rPr>
            </w:pPr>
            <w:r>
              <w:rPr>
                <w:rFonts w:ascii="Times New Roman;serif" w:hAnsi="Times New Roman;serif"/>
                <w:b/>
                <w:color w:val="000000"/>
                <w:sz w:val="18"/>
              </w:rPr>
              <w:t>Total undiscounted lease payments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83,296 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1,808 </w:t>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18"/>
              </w:rPr>
            </w:pPr>
            <w:r>
              <w:rPr>
                <w:rFonts w:ascii="Times New Roman;serif" w:hAnsi="Times New Roman;serif"/>
                <w:b w:val="false"/>
                <w:color w:val="000000"/>
                <w:sz w:val="18"/>
              </w:rPr>
              <w:t>Less: imputed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20,317 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color w:val="000000"/>
                <w:sz w:val="18"/>
              </w:rPr>
            </w:pPr>
            <w:r>
              <w:rPr>
                <w:rFonts w:ascii="Times New Roman;serif" w:hAnsi="Times New Roman;serif"/>
                <w:b/>
                <w:color w:val="000000"/>
                <w:sz w:val="18"/>
              </w:rPr>
              <w:t>Total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62,979 </w:t>
            </w:r>
          </w:p>
        </w:tc>
        <w:tc>
          <w:tcPr>
            <w:tcW w:w="1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1,587 </w:t>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erif" w:hAnsi="Times New Roman;serif"/>
          <w:b/>
          <w:color w:val="000000"/>
          <w:sz w:val="20"/>
        </w:rPr>
      </w:pPr>
      <w:r>
        <w:rPr>
          <w:rFonts w:ascii="Times New Roman;serif" w:hAnsi="Times New Roman;serif"/>
          <w:b/>
          <w:color w:val="000000"/>
          <w:sz w:val="20"/>
        </w:rPr>
        <w:t>Note 10.    Fair Value of Financial Instruments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For assets and liabilities measured at fair value on a recurring and nonrecurring basis, a three-level hierarchy of measurements based upon observable and unobservable inputs is used to arrive at fair value. Observable inputs are developed based on market data obtained from independent sources, while unobservable inputs reflect the Company’s assumptions about valuation based on the best information available in the circumstances. Depending on the inputs, the Company classifies each fair-value measurement as follows: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Level 1 – based on quoted prices in active markets for identical assets or liabilities;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Level 2 – based on other significant observable inputs for the assets or liabilities through corroborations with market data at the measurement date; 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Level 3 – based on significant unobservable inputs that reflect management’s best estimate of what market participants would use to price the assets or liabilities at the measurement date.</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Financial Instruments Measured at Carrying Value</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 xml:space="preserve">Current Assets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Cash and cash equivalents (Level 1) are measured at carrying value, which approximates fair value because of the short-term maturities of these instruments.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222885"/>
                <wp:effectExtent l="0" t="0" r="0" b="0"/>
                <wp:wrapNone/>
                <wp:docPr id="23" name="Frame2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before="120" w:after="120"/>
        <w:jc w:val="both"/>
        <w:rPr/>
      </w:pPr>
      <w:r>
        <w:rPr/>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Debt</w:t>
      </w:r>
    </w:p>
    <w:p>
      <w:pPr>
        <w:pStyle w:val="TextBody"/>
        <w:bidi w:val="0"/>
        <w:spacing w:lineRule="auto" w:line="288" w:before="120" w:after="120"/>
        <w:jc w:val="both"/>
        <w:rPr/>
      </w:pPr>
      <w:r>
        <w:rPr>
          <w:rFonts w:ascii="Times New Roman;serif" w:hAnsi="Times New Roman;serif"/>
          <w:b w:val="false"/>
          <w:color w:val="000000"/>
          <w:sz w:val="20"/>
          <w:shd w:fill="FFFFFF" w:val="clear"/>
        </w:rPr>
        <w:t>The Company measured its material debt obligations and notes p</w:t>
      </w:r>
      <w:r>
        <w:rPr>
          <w:rFonts w:ascii="Times New Roman;serif" w:hAnsi="Times New Roman;serif"/>
          <w:b w:val="false"/>
          <w:color w:val="000000"/>
          <w:sz w:val="20"/>
        </w:rPr>
        <w:t xml:space="preserve">ayable using original carrying value. </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 xml:space="preserve">The fair value of the Revolving Credit Agreement approximated carrying value, as it is a variable rate loan. </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 xml:space="preserve">The Company measured its non-interest bearing note payable using a rate which the Company could obtain financing of similar nature from other sources at the date of the transaction. The unamortized discount is reported in the Consolidated Balance Sheets as a deduction from the face amount of the note payable. </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 xml:space="preserve">The Promissory Note was issued for the acquisition of MTL on January 9, 2026. The debt was established at market rate and the fair value approximates carrying value since the period of time between issuance and March 31, 2026 is not significant. </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The Master Loan Agreements and the SBA Loan were part of debt assumed in the acquisition of MTL. The assumed debt is predominantly related to equipment loans which were issued within the past year and are third party agreements. The debt was recently established at market rates and is unlikely to have moved off market in the short period between the issuance in 2025 and March 31, 2026. Based on these factors, the fair value approximates carrying value.</w:t>
      </w:r>
    </w:p>
    <w:p>
      <w:pPr>
        <w:pStyle w:val="TextBody"/>
        <w:bidi w:val="0"/>
        <w:spacing w:lineRule="auto" w:line="288" w:before="120" w:after="120"/>
        <w:jc w:val="both"/>
        <w:rPr/>
      </w:pPr>
      <w:r>
        <w:rPr>
          <w:rFonts w:ascii="Times New Roman;serif" w:hAnsi="Times New Roman;serif"/>
          <w:b w:val="false"/>
          <w:color w:val="000000"/>
          <w:sz w:val="20"/>
        </w:rPr>
        <w:t>The Company measured its material debt obligations and note payable using Level 2 inputs as follows</w:t>
      </w:r>
      <w:r>
        <w:rPr>
          <w:rFonts w:ascii="Times New Roman;serif" w:hAnsi="Times New Roman;serif"/>
          <w:b w:val="false"/>
          <w:color w:val="000000"/>
          <w:sz w:val="20"/>
          <w:shd w:fill="FFFFFF" w:val="clear"/>
        </w:rPr>
        <w:t>:</w:t>
      </w:r>
    </w:p>
    <w:tbl>
      <w:tblPr>
        <w:tblW w:w="7445" w:type="dxa"/>
        <w:jc w:val="left"/>
        <w:tblInd w:w="0" w:type="dxa"/>
        <w:tblLayout w:type="fixed"/>
        <w:tblCellMar>
          <w:top w:w="28" w:type="dxa"/>
          <w:left w:w="28" w:type="dxa"/>
          <w:bottom w:w="28" w:type="dxa"/>
          <w:right w:w="28" w:type="dxa"/>
        </w:tblCellMar>
      </w:tblPr>
      <w:tblGrid>
        <w:gridCol w:w="874"/>
        <w:gridCol w:w="769"/>
        <w:gridCol w:w="771"/>
        <w:gridCol w:w="109"/>
        <w:gridCol w:w="109"/>
        <w:gridCol w:w="109"/>
        <w:gridCol w:w="269"/>
        <w:gridCol w:w="887"/>
        <w:gridCol w:w="149"/>
        <w:gridCol w:w="109"/>
        <w:gridCol w:w="109"/>
        <w:gridCol w:w="109"/>
        <w:gridCol w:w="196"/>
        <w:gridCol w:w="406"/>
        <w:gridCol w:w="109"/>
        <w:gridCol w:w="109"/>
        <w:gridCol w:w="109"/>
        <w:gridCol w:w="109"/>
        <w:gridCol w:w="196"/>
        <w:gridCol w:w="646"/>
        <w:gridCol w:w="109"/>
        <w:gridCol w:w="109"/>
        <w:gridCol w:w="109"/>
        <w:gridCol w:w="109"/>
        <w:gridCol w:w="196"/>
        <w:gridCol w:w="406"/>
        <w:gridCol w:w="154"/>
      </w:tblGrid>
      <w:tr>
        <w:trPr/>
        <w:tc>
          <w:tcPr>
            <w:tcW w:w="874"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4" w:type="dxa"/>
            <w:gridSpan w:val="21"/>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March 31, 2026</w:t>
            </w:r>
          </w:p>
        </w:tc>
      </w:tr>
      <w:tr>
        <w:trPr/>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w:t>
            </w:r>
          </w:p>
        </w:tc>
      </w:tr>
      <w:tr>
        <w:trPr/>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3</w:t>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Revolving Credit Agreement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95,000 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Note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2,629 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shd w:fill="FFFFFF" w:val="clear"/>
              </w:rPr>
            </w:pPr>
            <w:r>
              <w:rPr>
                <w:color w:val="000000"/>
                <w:shd w:fill="FFFFFF" w:val="clear"/>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2,629 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shd w:fill="FFFFFF" w:val="clear"/>
              </w:rPr>
            </w:pPr>
            <w:r>
              <w:rPr>
                <w:color w:val="000000"/>
                <w:shd w:fill="FFFFFF" w:val="clea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Promissory Note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shd w:fill="CCEEFF" w:val="clear"/>
              </w:rPr>
            </w:pPr>
            <w:r>
              <w:rPr>
                <w:rFonts w:ascii="Times New Roman;serif" w:hAnsi="Times New Roman;serif"/>
                <w:b w:val="false"/>
                <w:color w:val="000000"/>
                <w:sz w:val="18"/>
                <w:shd w:fill="CCEEFF" w:val="clear"/>
              </w:rPr>
              <w:t>1,125 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shd w:fill="CCEEFF" w:val="clear"/>
              </w:rPr>
            </w:pPr>
            <w:r>
              <w:rPr>
                <w:color w:val="000000"/>
                <w:shd w:fill="CCEEFF" w:val="clear"/>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shd w:fill="CCEEFF" w:val="clear"/>
              </w:rPr>
            </w:pPr>
            <w:r>
              <w:rPr>
                <w:rFonts w:ascii="Times New Roman;serif" w:hAnsi="Times New Roman;serif"/>
                <w:b w:val="false"/>
                <w:color w:val="000000"/>
                <w:sz w:val="18"/>
                <w:shd w:fill="CCEEFF" w:val="clear"/>
              </w:rPr>
              <w:t>1,125 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shd w:fill="CCEEFF" w:val="clear"/>
              </w:rPr>
            </w:pPr>
            <w:r>
              <w:rPr>
                <w:color w:val="000000"/>
                <w:shd w:fill="CCEEFF" w:val="clear"/>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First Master Loan Agreement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3,191 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shd w:fill="FFFFFF" w:val="clear"/>
              </w:rPr>
            </w:pPr>
            <w:r>
              <w:rPr>
                <w:color w:val="000000"/>
                <w:shd w:fill="FFFFFF" w:val="clear"/>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3,191 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shd w:fill="FFFFFF" w:val="clear"/>
              </w:rPr>
            </w:pPr>
            <w:r>
              <w:rPr>
                <w:color w:val="000000"/>
                <w:shd w:fill="FFFFFF" w:val="clea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shd w:fill="CCEEFF" w:val="clear"/>
              </w:rPr>
            </w:pPr>
            <w:r>
              <w:rPr>
                <w:rFonts w:ascii="Times New Roman;serif" w:hAnsi="Times New Roman;serif"/>
                <w:b w:val="false"/>
                <w:color w:val="000000"/>
                <w:sz w:val="18"/>
                <w:shd w:fill="CCEEFF" w:val="clear"/>
              </w:rPr>
              <w:t>Second Master Loan Agreement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shd w:fill="CCEEFF" w:val="clear"/>
              </w:rPr>
            </w:pPr>
            <w:r>
              <w:rPr>
                <w:rFonts w:ascii="Times New Roman;serif" w:hAnsi="Times New Roman;serif"/>
                <w:b w:val="false"/>
                <w:color w:val="000000"/>
                <w:sz w:val="18"/>
                <w:shd w:fill="CCEEFF" w:val="clear"/>
              </w:rPr>
              <w:t>1,904 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shd w:fill="CCEEFF" w:val="clear"/>
              </w:rPr>
            </w:pPr>
            <w:r>
              <w:rPr>
                <w:color w:val="000000"/>
                <w:shd w:fill="CCEEFF" w:val="clear"/>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shd w:fill="CCEEFF" w:val="clear"/>
              </w:rPr>
            </w:pPr>
            <w:r>
              <w:rPr>
                <w:rFonts w:ascii="Times New Roman;serif" w:hAnsi="Times New Roman;serif"/>
                <w:b w:val="false"/>
                <w:color w:val="000000"/>
                <w:sz w:val="18"/>
                <w:shd w:fill="CCEEFF" w:val="clear"/>
              </w:rPr>
              <w:t>1,904 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shd w:fill="CCEEFF" w:val="clear"/>
              </w:rPr>
            </w:pPr>
            <w:r>
              <w:rPr>
                <w:color w:val="000000"/>
                <w:shd w:fill="CCEEFF" w:val="clear"/>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SBA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619 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shd w:fill="FFFFFF" w:val="clear"/>
              </w:rPr>
            </w:pPr>
            <w:r>
              <w:rPr>
                <w:color w:val="000000"/>
                <w:shd w:fill="FFFFFF" w:val="clear"/>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619 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shd w:fill="FFFFFF" w:val="clear"/>
              </w:rPr>
            </w:pPr>
            <w:r>
              <w:rPr>
                <w:color w:val="000000"/>
                <w:shd w:fill="FFFFFF" w:val="clea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r>
    </w:tbl>
    <w:tbl>
      <w:tblPr>
        <w:tblW w:w="7190" w:type="dxa"/>
        <w:jc w:val="left"/>
        <w:tblInd w:w="0" w:type="dxa"/>
        <w:tblLayout w:type="fixed"/>
        <w:tblCellMar>
          <w:top w:w="28" w:type="dxa"/>
          <w:left w:w="28" w:type="dxa"/>
          <w:bottom w:w="28" w:type="dxa"/>
          <w:right w:w="28" w:type="dxa"/>
        </w:tblCellMar>
      </w:tblPr>
      <w:tblGrid>
        <w:gridCol w:w="781"/>
        <w:gridCol w:w="688"/>
        <w:gridCol w:w="690"/>
        <w:gridCol w:w="109"/>
        <w:gridCol w:w="109"/>
        <w:gridCol w:w="109"/>
        <w:gridCol w:w="269"/>
        <w:gridCol w:w="887"/>
        <w:gridCol w:w="149"/>
        <w:gridCol w:w="109"/>
        <w:gridCol w:w="109"/>
        <w:gridCol w:w="109"/>
        <w:gridCol w:w="196"/>
        <w:gridCol w:w="406"/>
        <w:gridCol w:w="109"/>
        <w:gridCol w:w="109"/>
        <w:gridCol w:w="109"/>
        <w:gridCol w:w="109"/>
        <w:gridCol w:w="196"/>
        <w:gridCol w:w="646"/>
        <w:gridCol w:w="109"/>
        <w:gridCol w:w="109"/>
        <w:gridCol w:w="109"/>
        <w:gridCol w:w="109"/>
        <w:gridCol w:w="196"/>
        <w:gridCol w:w="406"/>
        <w:gridCol w:w="154"/>
      </w:tblGrid>
      <w:tr>
        <w:trPr/>
        <w:tc>
          <w:tcPr>
            <w:tcW w:w="781"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4"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December 31, 2025</w:t>
            </w:r>
          </w:p>
        </w:tc>
      </w:tr>
      <w:tr>
        <w:trP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w:t>
            </w:r>
          </w:p>
        </w:tc>
      </w:tr>
      <w:tr>
        <w:trP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3</w:t>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Revolving Credit Agreement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95,000 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Note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2,810 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Other Financial Assets and Liabilities</w:t>
      </w:r>
    </w:p>
    <w:p>
      <w:pPr>
        <w:pStyle w:val="TextBody"/>
        <w:bidi w:val="0"/>
        <w:spacing w:lineRule="auto" w:line="288" w:before="120" w:after="120"/>
        <w:jc w:val="both"/>
        <w:rPr/>
      </w:pPr>
      <w:r>
        <w:rPr>
          <w:rFonts w:ascii="Times New Roman;serif" w:hAnsi="Times New Roman;serif"/>
          <w:b w:val="false"/>
          <w:color w:val="000000"/>
          <w:sz w:val="20"/>
          <w:shd w:fill="FFFFFF" w:val="clear"/>
        </w:rPr>
        <w:t xml:space="preserve">In addition to the methods and assumptions used for the financial instruments discussed </w:t>
      </w:r>
      <w:r>
        <w:rPr>
          <w:rFonts w:ascii="Times New Roman;serif" w:hAnsi="Times New Roman;serif"/>
          <w:b w:val="false"/>
          <w:color w:val="000000"/>
          <w:sz w:val="20"/>
        </w:rPr>
        <w:t>above</w:t>
      </w:r>
      <w:r>
        <w:rPr>
          <w:rFonts w:ascii="Times New Roman;serif" w:hAnsi="Times New Roman;serif"/>
          <w:b w:val="false"/>
          <w:color w:val="000000"/>
          <w:sz w:val="20"/>
          <w:shd w:fill="FFFFFF" w:val="clear"/>
        </w:rPr>
        <w:t xml:space="preserve">, accounts receivable, net income tax receivable, accounts payable, and certain accrued expenses are measured at carrying value, which approximates fair value because of the short-term maturities of these instruments.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Note 11.    Commitments and Contingencies</w:t>
      </w:r>
    </w:p>
    <w:p>
      <w:pPr>
        <w:pStyle w:val="TextBody"/>
        <w:bidi w:val="0"/>
        <w:spacing w:lineRule="auto" w:line="288" w:before="120" w:after="12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Legal Contingencies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legal matters discussed below and others could result in losses, including damages, fines, civil penalties and criminal charges, which could be substantial. The Company records accruals for these contingencies to the extent the Company concludes that a loss is both probable and reasonably estimable. Regarding the matters disclosed below, unless otherwise disclosed, the Company has determined that liabilities associated with these legal matters are reasonably possible; however, unless otherwise stated, the possible loss or range of possible loss cannot be reasonably estimated. Given the nature of the litigation and investigations and the complexities involved, the Company is unable to reasonably estimate a possible loss for all such matters until the Company knows, among other factors the following:</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what claims, if any, will survive dispositive motion practice;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extent of the claims, particularly when damages are not specified or are indeterminate;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how the discovery process will affect the litigation;</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the settlement posture of the other parties to the litigation; and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any other factors that may have a material effect on the litigation or investigation.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222885"/>
                <wp:effectExtent l="0" t="0" r="0" b="0"/>
                <wp:wrapNone/>
                <wp:docPr id="24" name="Frame2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before="120" w:after="120"/>
        <w:jc w:val="both"/>
        <w:rPr/>
      </w:pPr>
      <w:r>
        <w:rPr/>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However, the Company could incur judgments, enter into settlements or revise its expectations regarding the outcome of certain matters, and such developments could have a material adverse effect on the Company’s results of operations in the period in which the amounts are accrued and/or liquidity in the period in which the amounts are paid.</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Mast Powertrain v. the Company</w:t>
      </w:r>
    </w:p>
    <w:p>
      <w:pPr>
        <w:pStyle w:val="TextBody"/>
        <w:bidi w:val="0"/>
        <w:spacing w:lineRule="auto" w:line="288" w:before="120" w:after="120"/>
        <w:jc w:val="both"/>
        <w:rPr/>
      </w:pPr>
      <w:r>
        <w:rPr>
          <w:rFonts w:ascii="Times New Roman;serif" w:hAnsi="Times New Roman;serif"/>
          <w:b w:val="false"/>
          <w:color w:val="000000"/>
          <w:sz w:val="20"/>
        </w:rPr>
        <w:t xml:space="preserve">In February 2020, the Company received a demand for arbitration from Mast Powertrain, LLC (“Mast”) pursuant to a development agreement entered into in November 2011 (the “Development Agreement”). Mast claimed that it was owed more than </w:t>
      </w:r>
      <w:r>
        <w:rPr>
          <w:rFonts w:ascii="Times New Roman;serif" w:hAnsi="Times New Roman;serif"/>
          <w:b w:val="false"/>
          <w:color w:val="000000"/>
          <w:sz w:val="20"/>
          <w:shd w:fill="FFFFFF" w:val="clear"/>
        </w:rPr>
        <w:t>$9.0 million</w:t>
      </w:r>
      <w:r>
        <w:rPr>
          <w:color w:val="000000"/>
        </w:rPr>
        <w:t xml:space="preserve"> </w:t>
      </w:r>
      <w:r>
        <w:rPr>
          <w:rFonts w:ascii="Times New Roman;serif" w:hAnsi="Times New Roman;serif"/>
          <w:b w:val="false"/>
          <w:color w:val="000000"/>
          <w:sz w:val="20"/>
        </w:rPr>
        <w:t xml:space="preserve">in past royalties and other damages for products sold by the Company pursuant to the Development Agreement. The Company disputed Mast’s damages, denied that any royalties are owed to Mast, denied any liability, and counterclaimed for overpayment on invoices paid to Mast. Mast subsequently clarified its claim for past royalties owed to be approximately </w:t>
      </w:r>
      <w:r>
        <w:rPr>
          <w:rFonts w:ascii="Times New Roman;serif" w:hAnsi="Times New Roman;serif"/>
          <w:b w:val="false"/>
          <w:color w:val="000000"/>
          <w:sz w:val="20"/>
          <w:shd w:fill="FFFFFF" w:val="clear"/>
        </w:rPr>
        <w:t>$4.5 million</w:t>
      </w:r>
      <w:r>
        <w:rPr>
          <w:rFonts w:ascii="Times New Roman;serif" w:hAnsi="Times New Roman;serif"/>
          <w:b w:val="false"/>
          <w:color w:val="000000"/>
          <w:sz w:val="20"/>
        </w:rPr>
        <w:t xml:space="preserve">. In July 2021, the Company reached a settlement with Mast to resolve past claims for royalties </w:t>
      </w:r>
      <w:r>
        <w:rPr>
          <w:rFonts w:ascii="Times New Roman;serif" w:hAnsi="Times New Roman;serif"/>
          <w:b w:val="false"/>
          <w:color w:val="000000"/>
          <w:sz w:val="20"/>
          <w:shd w:fill="FFFFFF" w:val="clear"/>
        </w:rPr>
        <w:t xml:space="preserve">owed for $1.5 million which the Company had previously recorded within </w:t>
      </w:r>
      <w:r>
        <w:rPr>
          <w:rFonts w:ascii="Times New Roman;serif" w:hAnsi="Times New Roman;serif"/>
          <w:b w:val="false"/>
          <w:i/>
          <w:color w:val="000000"/>
          <w:sz w:val="20"/>
          <w:shd w:fill="FFFFFF" w:val="clear"/>
        </w:rPr>
        <w:t>Selling, general and administrative expenses</w:t>
      </w:r>
      <w:r>
        <w:rPr>
          <w:color w:val="000000"/>
          <w:shd w:fill="FFFFFF" w:val="clear"/>
        </w:rPr>
        <w:t xml:space="preserve"> </w:t>
      </w:r>
      <w:r>
        <w:rPr>
          <w:rFonts w:ascii="Times New Roman;serif" w:hAnsi="Times New Roman;serif"/>
          <w:b w:val="false"/>
          <w:color w:val="000000"/>
          <w:sz w:val="20"/>
          <w:shd w:fill="FFFFFF" w:val="clear"/>
        </w:rPr>
        <w:t>in the Consolidated Statement of Income for the year-ended December 31, 2020</w:t>
      </w:r>
      <w:r>
        <w:rPr>
          <w:rFonts w:ascii="Times New Roman;serif" w:hAnsi="Times New Roman;serif"/>
          <w:b w:val="false"/>
          <w:color w:val="000000"/>
          <w:sz w:val="20"/>
        </w:rPr>
        <w:t>. The Company fully paid the settlement and had no recognized liability as of</w:t>
      </w:r>
      <w:r>
        <w:rPr>
          <w:color w:val="000000"/>
          <w:shd w:fill="FFFFFF" w:val="clear"/>
        </w:rPr>
        <w:t xml:space="preserve"> </w:t>
      </w:r>
      <w:r>
        <w:rPr>
          <w:rFonts w:ascii="Times New Roman;serif" w:hAnsi="Times New Roman;serif"/>
          <w:b w:val="false"/>
          <w:color w:val="000000"/>
          <w:sz w:val="20"/>
          <w:shd w:fill="FFFFFF" w:val="clear"/>
        </w:rPr>
        <w:t>December 31, 2025.</w:t>
      </w:r>
      <w:r>
        <w:rPr>
          <w:color w:val="000000"/>
        </w:rPr>
        <w:t xml:space="preserve"> </w:t>
      </w:r>
      <w:r>
        <w:rPr>
          <w:rFonts w:ascii="Times New Roman;serif" w:hAnsi="Times New Roman;serif"/>
          <w:b w:val="false"/>
          <w:color w:val="000000"/>
          <w:sz w:val="20"/>
        </w:rPr>
        <w:t>In September 2023, Mast filed a lawsuit against the Company in the Eastern District of Texas Federal Court (“Court”), alleging, among other things, damages of approximately $6.0 million for fraudulent inducement leading to the 2021 arbitration settlement agreement and breach of said settlement agreement. Upon court order, the Company participated in separate mediations in May 2024 and December 2024, and no settlement was reached. The Company has filed a motion to stay the lawsuit and compel it to arbitration, and the Court granted that motion on January 31, 2025</w:t>
      </w:r>
      <w:r>
        <w:rPr>
          <w:rFonts w:ascii="Times New Roman;serif" w:hAnsi="Times New Roman;serif"/>
          <w:b w:val="false"/>
          <w:color w:val="000000"/>
          <w:sz w:val="20"/>
          <w:shd w:fill="FFFFFF" w:val="clear"/>
        </w:rPr>
        <w:t xml:space="preserve">. As of both March 31, 2026 and December 31, 2025, the Company had recorded an estimated liability of $0.9 million, recorded within </w:t>
      </w:r>
      <w:r>
        <w:rPr>
          <w:rFonts w:ascii="Times New Roman;serif" w:hAnsi="Times New Roman;serif"/>
          <w:b w:val="false"/>
          <w:i/>
          <w:color w:val="000000"/>
          <w:sz w:val="20"/>
          <w:shd w:fill="FFFFFF" w:val="clear"/>
        </w:rPr>
        <w:t>Other accrued liabilities</w:t>
      </w:r>
      <w:r>
        <w:rPr>
          <w:color w:val="000000"/>
          <w:shd w:fill="FFFFFF" w:val="clear"/>
        </w:rPr>
        <w:t xml:space="preserve"> </w:t>
      </w:r>
      <w:r>
        <w:rPr>
          <w:rFonts w:ascii="Times New Roman;serif" w:hAnsi="Times New Roman;serif"/>
          <w:b w:val="false"/>
          <w:color w:val="000000"/>
          <w:sz w:val="20"/>
          <w:shd w:fill="FFFFFF" w:val="clear"/>
        </w:rPr>
        <w:t xml:space="preserve">on the Consolidated Balance Sheets related to the potential settlement of this matter. </w:t>
      </w:r>
      <w:r>
        <w:rPr>
          <w:color w:val="000000"/>
          <w:shd w:fill="FFFFFF" w:val="clear"/>
        </w:rPr>
        <w:t> </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Gary Winemaster Litigation v. The Company</w:t>
      </w:r>
    </w:p>
    <w:p>
      <w:pPr>
        <w:pStyle w:val="TextBody"/>
        <w:bidi w:val="0"/>
        <w:spacing w:lineRule="auto" w:line="288" w:before="120" w:after="120"/>
        <w:jc w:val="both"/>
        <w:rPr/>
      </w:pPr>
      <w:r>
        <w:rPr>
          <w:rFonts w:ascii="Times New Roman;serif" w:hAnsi="Times New Roman;serif"/>
          <w:b w:val="false"/>
          <w:color w:val="000000"/>
          <w:sz w:val="20"/>
        </w:rPr>
        <w:t xml:space="preserve">In August 2021, the Company’s former Chairman of the Board and former Chief Executive Officer and President, Gary Winemaster (“Winemaster”), filed suit in the Court of Chancery of the State of Delaware against the Company and Travelers Casualty and Surety Company of America (“Travelers”) alleging the Company’s breach of its advancement obligations under Winemaster’s indemnification agreement and Travelers’ breach of the side A policy between Traveler’s and the Company of which Winemaster is a beneficiary. In his complaint, Winemaster was seeking reimbursement under his indemnification agreement in excess of $7.2 million of attorney’s fees plus interest incurred by Winemaster in his defense of the Department of Justice (“DOJ”) case, </w:t>
      </w:r>
      <w:r>
        <w:rPr>
          <w:rFonts w:ascii="Times New Roman;serif" w:hAnsi="Times New Roman;serif"/>
          <w:b w:val="false"/>
          <w:i/>
          <w:color w:val="000000"/>
          <w:sz w:val="20"/>
        </w:rPr>
        <w:t>U.S. v. Winemaster et al.</w:t>
      </w:r>
      <w:r>
        <w:rPr>
          <w:color w:val="000000"/>
        </w:rPr>
        <w:t xml:space="preserve"> </w:t>
      </w:r>
      <w:r>
        <w:rPr>
          <w:rFonts w:ascii="Times New Roman;serif" w:hAnsi="Times New Roman;serif"/>
          <w:b w:val="false"/>
          <w:color w:val="000000"/>
          <w:sz w:val="20"/>
        </w:rPr>
        <w:t xml:space="preserve">Since the filing of the complaint, the Company estimates that Travelers has paid approximately $8.8 million to Winemaster’s attorneys, Latham and Watkins, under the Company’s side A policy to settle existing outstanding attorney’s fees. Travelers is seeking reimbursement from the Company for those advances pursuant to the terms of the side A policy. In October 2021, the Company and Winemaster entered into a Stipulation and Advancement Order to handle all future attorney’s fees relating to his DOJ and SEC cases, to the extent not reimbursed by Travelers under the side A policy. In June 2024, the Company reached a settlement with Travelers for $4.5 million, resulting in a $4.3 million gain that was recorded within </w:t>
      </w:r>
      <w:r>
        <w:rPr>
          <w:rFonts w:ascii="Times New Roman;serif" w:hAnsi="Times New Roman;serif"/>
          <w:b w:val="false"/>
          <w:i/>
          <w:color w:val="000000"/>
          <w:sz w:val="20"/>
        </w:rPr>
        <w:t>Selling, General and Administrative</w:t>
      </w:r>
      <w:r>
        <w:rPr>
          <w:color w:val="000000"/>
        </w:rPr>
        <w:t xml:space="preserve"> </w:t>
      </w:r>
      <w:r>
        <w:rPr>
          <w:rFonts w:ascii="Times New Roman;serif" w:hAnsi="Times New Roman;serif"/>
          <w:b w:val="false"/>
          <w:color w:val="000000"/>
          <w:sz w:val="20"/>
        </w:rPr>
        <w:t xml:space="preserve">expenses on the Consolidated Statements of Income. As of both March 31, 2026 and December 31, 2025, the Company recorded the aforementioned settlement liability within </w:t>
      </w:r>
      <w:r>
        <w:rPr>
          <w:rFonts w:ascii="Times New Roman;serif" w:hAnsi="Times New Roman;serif"/>
          <w:b w:val="false"/>
          <w:i/>
          <w:color w:val="000000"/>
          <w:sz w:val="20"/>
        </w:rPr>
        <w:t>Other noncurrent liabilities</w:t>
      </w:r>
      <w:r>
        <w:rPr>
          <w:color w:val="000000"/>
        </w:rPr>
        <w:t xml:space="preserve"> </w:t>
      </w:r>
      <w:r>
        <w:rPr>
          <w:rFonts w:ascii="Times New Roman;serif" w:hAnsi="Times New Roman;serif"/>
          <w:b w:val="false"/>
          <w:color w:val="000000"/>
          <w:sz w:val="20"/>
        </w:rPr>
        <w:t xml:space="preserve">with the current portion within </w:t>
      </w:r>
      <w:r>
        <w:rPr>
          <w:rFonts w:ascii="Times New Roman;serif" w:hAnsi="Times New Roman;serif"/>
          <w:b w:val="false"/>
          <w:i/>
          <w:color w:val="000000"/>
          <w:sz w:val="20"/>
        </w:rPr>
        <w:t xml:space="preserve">Other accrued liabilities </w:t>
      </w:r>
      <w:r>
        <w:rPr>
          <w:rFonts w:ascii="Times New Roman;serif" w:hAnsi="Times New Roman;serif"/>
          <w:b w:val="false"/>
          <w:color w:val="000000"/>
          <w:sz w:val="20"/>
        </w:rPr>
        <w:t xml:space="preserve">on the Consolidated Balance Sheets. Refer to Note 8. </w:t>
      </w:r>
      <w:r>
        <w:rPr>
          <w:rFonts w:ascii="Times New Roman;serif" w:hAnsi="Times New Roman;serif"/>
          <w:b w:val="false"/>
          <w:i/>
          <w:color w:val="000000"/>
          <w:sz w:val="20"/>
        </w:rPr>
        <w:t xml:space="preserve">Other Non-Current Liabilities </w:t>
      </w:r>
      <w:r>
        <w:rPr>
          <w:rFonts w:ascii="Times New Roman;serif" w:hAnsi="Times New Roman;serif"/>
          <w:b w:val="false"/>
          <w:color w:val="000000"/>
          <w:sz w:val="20"/>
        </w:rPr>
        <w:t xml:space="preserve">for additional information related to this settlement. </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Securities Class Action</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On March 20, 2026, a putative securities class action complaint captioned Dishion v. Power Solutions International, Inc., et al., Case No. 1:26-cv-03149, was filed in the United States District Court for the Northern District of Illinois against Power Solutions International, Inc. and certain of its executive officers. The complaint purports to assert claims on behalf of persons and entities that purchased or otherwise acquired the Company’s common stock between May 8, 2025 and March 2, 2026, inclusive, and alleges violations of Sections 10(b) and 20(a) of the Securities Exchange Act of 1934 and Rule 10b-5 promulgated thereunder based on alleged misstatements and omissions concerning the Company’s business, operations and prospects, including matters relating to demand, manufacturing capacity and operating inefficiencies for data center product lines. The complaint seeks damages and other relief. The Company believes the claims are without merit and intends to defend the action vigorously. The matter is at an early stage, and the Company cannot reasonably estimate a possible loss or range of loss at this time.</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Indemnification Agreements</w:t>
      </w:r>
    </w:p>
    <w:p>
      <w:pPr>
        <w:pStyle w:val="TextBody"/>
        <w:bidi w:val="0"/>
        <w:spacing w:lineRule="auto" w:line="288" w:before="120" w:after="120"/>
        <w:jc w:val="both"/>
        <w:rPr/>
      </w:pPr>
      <w:r>
        <w:rPr>
          <w:rFonts w:ascii="Times New Roman;serif" w:hAnsi="Times New Roman;serif"/>
          <w:b w:val="false"/>
          <w:color w:val="000000"/>
          <w:sz w:val="20"/>
        </w:rPr>
        <w:t>The Company has entered into indemnification agreements with each of its directors and executive officers that, subject to the terms and conditions of such agreements and applicable law, provide for indemnification and advancement of expenses to the fullest extent permitted by Delaware law.</w:t>
      </w:r>
      <w:r>
        <w:rPr>
          <w:rFonts w:ascii="Times New Roman;serif" w:hAnsi="Times New Roman;serif"/>
          <w:b w:val="false"/>
          <w:color w:val="000000"/>
          <w:sz w:val="20"/>
          <w:shd w:fill="FFFFFF" w:val="clear"/>
        </w:rPr>
        <w:t xml:space="preserve">The Company holds a directors’ and officers’ liability insurance policy, which is renewed annually and currently expires in July 2026. The insurance policy includes standard exclusions including for any previously pending litigation.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222885"/>
                <wp:effectExtent l="0" t="0" r="0" b="0"/>
                <wp:wrapNone/>
                <wp:docPr id="25" name="Frame2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before="120" w:after="120"/>
        <w:jc w:val="both"/>
        <w:rPr/>
      </w:pPr>
      <w:r>
        <w:rPr/>
      </w:r>
    </w:p>
    <w:p>
      <w:pPr>
        <w:pStyle w:val="TextBody"/>
        <w:bidi w:val="0"/>
        <w:spacing w:lineRule="auto" w:line="288" w:before="120" w:after="12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Other Commitments</w:t>
      </w:r>
    </w:p>
    <w:p>
      <w:pPr>
        <w:pStyle w:val="TextBody"/>
        <w:bidi w:val="0"/>
        <w:spacing w:lineRule="auto" w:line="288" w:before="120" w:after="120"/>
        <w:jc w:val="both"/>
        <w:rPr/>
      </w:pPr>
      <w:r>
        <w:rPr>
          <w:rFonts w:ascii="Times New Roman;serif" w:hAnsi="Times New Roman;serif"/>
          <w:b w:val="false"/>
          <w:color w:val="000000"/>
          <w:sz w:val="20"/>
          <w:shd w:fill="FFFFFF" w:val="clear"/>
        </w:rPr>
        <w:t xml:space="preserve">At March 31, 2026, the Company had four outstanding letters of credit totaling $2.5 million. The letters of credit primarily serve as collateral for the Company for certain facility leases and insurance policies. As discussed in Note 1. </w:t>
      </w:r>
      <w:r>
        <w:rPr>
          <w:rFonts w:ascii="Times New Roman;serif" w:hAnsi="Times New Roman;serif"/>
          <w:b w:val="false"/>
          <w:i/>
          <w:color w:val="000000"/>
          <w:sz w:val="20"/>
          <w:shd w:fill="FFFFFF" w:val="clear"/>
        </w:rPr>
        <w:t>Summary of Significant Accounting Policies and Other Information</w:t>
      </w:r>
      <w:r>
        <w:rPr>
          <w:rFonts w:ascii="Times New Roman;serif" w:hAnsi="Times New Roman;serif"/>
          <w:b w:val="false"/>
          <w:color w:val="000000"/>
          <w:sz w:val="20"/>
          <w:shd w:fill="FFFFFF" w:val="clear"/>
        </w:rPr>
        <w:t xml:space="preserve">, the Company had restricted cash of $4.4 million as of March 31, 2026, related to these letters of credit and cash held in escrow due to a customer agreement.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Note 12.    Income Taxes </w:t>
      </w:r>
    </w:p>
    <w:p>
      <w:pPr>
        <w:pStyle w:val="TextBody"/>
        <w:bidi w:val="0"/>
        <w:spacing w:lineRule="auto" w:line="288" w:before="120" w:after="120"/>
        <w:jc w:val="both"/>
        <w:rPr/>
      </w:pPr>
      <w:r>
        <w:rPr>
          <w:rFonts w:ascii="Times New Roman;serif" w:hAnsi="Times New Roman;serif"/>
          <w:b w:val="false"/>
          <w:color w:val="000000"/>
          <w:sz w:val="20"/>
        </w:rPr>
        <w:t xml:space="preserve">The Company accounts for income taxes in accordance with ASC Topic 740, </w:t>
      </w:r>
      <w:r>
        <w:rPr>
          <w:rFonts w:ascii="Times New Roman;serif" w:hAnsi="Times New Roman;serif"/>
          <w:b w:val="false"/>
          <w:i/>
          <w:color w:val="000000"/>
          <w:sz w:val="20"/>
        </w:rPr>
        <w:t>Income Taxes</w:t>
      </w:r>
      <w:r>
        <w:rPr>
          <w:rFonts w:ascii="Times New Roman;serif" w:hAnsi="Times New Roman;serif"/>
          <w:b w:val="false"/>
          <w:color w:val="000000"/>
          <w:sz w:val="20"/>
        </w:rPr>
        <w:t xml:space="preserve">. Income tax expense for interim periods is computed using an estimated annual effective tax rate (“AETR”), applied to year to date ordinary income, adjusted for discrete items recognized in the period incurred. The Company’s operations are located in the United States, therefore, the tax footnote includes only federal and state domestic tax obligations. </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Income Tax Expense</w:t>
      </w:r>
    </w:p>
    <w:p>
      <w:pPr>
        <w:pStyle w:val="TextBody"/>
        <w:bidi w:val="0"/>
        <w:spacing w:lineRule="auto" w:line="288" w:before="120" w:after="120"/>
        <w:jc w:val="both"/>
        <w:rPr/>
      </w:pPr>
      <w:r>
        <w:rPr>
          <w:rFonts w:ascii="Times New Roman;serif" w:hAnsi="Times New Roman;serif"/>
          <w:b w:val="false"/>
          <w:color w:val="000000"/>
          <w:sz w:val="20"/>
        </w:rPr>
        <w:t xml:space="preserve">For the three months ended </w:t>
      </w:r>
      <w:r>
        <w:rPr>
          <w:rFonts w:ascii="Times New Roman;serif" w:hAnsi="Times New Roman;serif"/>
          <w:b w:val="false"/>
          <w:color w:val="000000"/>
          <w:sz w:val="20"/>
          <w:shd w:fill="FFFFFF" w:val="clear"/>
        </w:rPr>
        <w:t>March 31, 2026</w:t>
      </w:r>
      <w:r>
        <w:rPr>
          <w:rFonts w:ascii="Times New Roman;serif" w:hAnsi="Times New Roman;serif"/>
          <w:b w:val="false"/>
          <w:color w:val="000000"/>
          <w:sz w:val="20"/>
        </w:rPr>
        <w:t xml:space="preserve">, the Company recorded </w:t>
      </w:r>
      <w:r>
        <w:rPr>
          <w:rFonts w:ascii="Times New Roman;serif" w:hAnsi="Times New Roman;serif"/>
          <w:b w:val="false"/>
          <w:color w:val="000000"/>
          <w:sz w:val="20"/>
          <w:shd w:fill="FFFFFF" w:val="clear"/>
        </w:rPr>
        <w:t>income tax expense of $2.4 million, re</w:t>
      </w:r>
      <w:r>
        <w:rPr>
          <w:rFonts w:ascii="Times New Roman;serif" w:hAnsi="Times New Roman;serif"/>
          <w:b w:val="false"/>
          <w:color w:val="000000"/>
          <w:sz w:val="20"/>
        </w:rPr>
        <w:t xml:space="preserve">sulting in an effective tax rate of </w:t>
      </w:r>
      <w:r>
        <w:rPr>
          <w:rFonts w:ascii="Times New Roman;serif" w:hAnsi="Times New Roman;serif"/>
          <w:b w:val="false"/>
          <w:color w:val="000000"/>
          <w:sz w:val="20"/>
          <w:shd w:fill="FFFFFF" w:val="clear"/>
        </w:rPr>
        <w:t>25.0%</w:t>
      </w:r>
      <w:r>
        <w:rPr>
          <w:rFonts w:ascii="Times New Roman;serif" w:hAnsi="Times New Roman;serif"/>
          <w:b w:val="false"/>
          <w:color w:val="000000"/>
          <w:sz w:val="20"/>
        </w:rPr>
        <w:t xml:space="preserve">, compared to income tax expense of </w:t>
      </w:r>
      <w:r>
        <w:rPr>
          <w:rFonts w:ascii="Times New Roman;serif" w:hAnsi="Times New Roman;serif"/>
          <w:b w:val="false"/>
          <w:color w:val="000000"/>
          <w:sz w:val="20"/>
          <w:shd w:fill="FFFFFF" w:val="clear"/>
        </w:rPr>
        <w:t>$3.8 million</w:t>
      </w:r>
      <w:r>
        <w:rPr>
          <w:color w:val="000000"/>
        </w:rPr>
        <w:t xml:space="preserve"> </w:t>
      </w:r>
      <w:r>
        <w:rPr>
          <w:rFonts w:ascii="Times New Roman;serif" w:hAnsi="Times New Roman;serif"/>
          <w:b w:val="false"/>
          <w:color w:val="000000"/>
          <w:sz w:val="20"/>
        </w:rPr>
        <w:t>and an effective tax rate of 16.6% for the three months ended March 31, 2025.</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Qualitative Explanation of Effective Tax Rate Drivers</w:t>
      </w:r>
    </w:p>
    <w:p>
      <w:pPr>
        <w:pStyle w:val="TextBody"/>
        <w:bidi w:val="0"/>
        <w:spacing w:lineRule="auto" w:line="288" w:before="120" w:after="1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Company’s effective tax rate of 25.0% for the three months ended March 31, 2026 differed from the statutory U.S. federal rate of 21.0%. The change in the effective tax rate from the prior year first quarter was primarily attributable to a lower state tax rate, driven by higher forecasted state net operating loss and state credit utilization and lower forecasted annual pretax income, as well as the impact of valuation allowance adjustments, consistent with the Company’s improved profitability following the release of the majority of its valuation allowance in 2025.</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Deferred Income Taxes</w:t>
      </w:r>
    </w:p>
    <w:p>
      <w:pPr>
        <w:pStyle w:val="TextBody"/>
        <w:bidi w:val="0"/>
        <w:spacing w:lineRule="auto" w:line="288" w:before="120" w:after="120"/>
        <w:jc w:val="both"/>
        <w:rPr/>
      </w:pPr>
      <w:r>
        <w:rPr>
          <w:rFonts w:ascii="Times New Roman;serif" w:hAnsi="Times New Roman;serif"/>
          <w:b w:val="false"/>
          <w:color w:val="000000"/>
          <w:sz w:val="20"/>
        </w:rPr>
        <w:t xml:space="preserve">There were no material changes in the Company’s deferred tax assets or liabilities during the three months ended </w:t>
      </w:r>
      <w:r>
        <w:rPr>
          <w:rFonts w:ascii="Times New Roman;serif" w:hAnsi="Times New Roman;serif"/>
          <w:b w:val="false"/>
          <w:color w:val="000000"/>
          <w:sz w:val="20"/>
          <w:shd w:fill="FFFFFF" w:val="clear"/>
        </w:rPr>
        <w:t>March 31, 2026</w:t>
      </w:r>
      <w:r>
        <w:rPr>
          <w:rFonts w:ascii="Times New Roman;serif" w:hAnsi="Times New Roman;serif"/>
          <w:b w:val="false"/>
          <w:color w:val="000000"/>
          <w:sz w:val="20"/>
        </w:rPr>
        <w:t>, other than those resulting from normal interim period activity. Refer to the Company’s consolidated financial statements as of and for the year ended December 31, 2025 for additional information regarding the components of deferred tax assets and liabilities.</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Valuation Allowance</w:t>
      </w:r>
    </w:p>
    <w:p>
      <w:pPr>
        <w:pStyle w:val="TextBody"/>
        <w:bidi w:val="0"/>
        <w:spacing w:lineRule="auto" w:line="288" w:before="120" w:after="120"/>
        <w:jc w:val="both"/>
        <w:rPr/>
      </w:pPr>
      <w:r>
        <w:rPr>
          <w:rFonts w:ascii="Times New Roman;serif" w:hAnsi="Times New Roman;serif"/>
          <w:b w:val="false"/>
          <w:color w:val="000000"/>
          <w:sz w:val="20"/>
        </w:rPr>
        <w:t xml:space="preserve">As of </w:t>
      </w:r>
      <w:r>
        <w:rPr>
          <w:rFonts w:ascii="Times New Roman;serif" w:hAnsi="Times New Roman;serif"/>
          <w:b w:val="false"/>
          <w:color w:val="000000"/>
          <w:sz w:val="20"/>
          <w:shd w:fill="FFFFFF" w:val="clear"/>
        </w:rPr>
        <w:t>March 31, 2026</w:t>
      </w:r>
      <w:r>
        <w:rPr>
          <w:rFonts w:ascii="Times New Roman;serif" w:hAnsi="Times New Roman;serif"/>
          <w:b w:val="false"/>
          <w:color w:val="000000"/>
          <w:sz w:val="20"/>
        </w:rPr>
        <w:t xml:space="preserve">, the Company maintained a valuation allowance of approximately $0.2 million. The valuation allowance relates to a capital loss carryforward. </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Unrecognized Tax Benefits</w:t>
      </w:r>
    </w:p>
    <w:p>
      <w:pPr>
        <w:pStyle w:val="TextBody"/>
        <w:bidi w:val="0"/>
        <w:spacing w:lineRule="auto" w:line="288" w:before="120" w:after="120"/>
        <w:jc w:val="both"/>
        <w:rPr/>
      </w:pPr>
      <w:r>
        <w:rPr>
          <w:rFonts w:ascii="Times New Roman;serif" w:hAnsi="Times New Roman;serif"/>
          <w:b w:val="false"/>
          <w:color w:val="000000"/>
          <w:sz w:val="20"/>
          <w:shd w:fill="FFFFFF" w:val="clear"/>
        </w:rPr>
        <w:t>The</w:t>
      </w:r>
      <w:r>
        <w:rPr>
          <w:color w:val="000000"/>
        </w:rPr>
        <w:t xml:space="preserve"> </w:t>
      </w:r>
      <w:r>
        <w:rPr>
          <w:rFonts w:ascii="Times New Roman;serif" w:hAnsi="Times New Roman;serif"/>
          <w:b w:val="false"/>
          <w:color w:val="000000"/>
          <w:sz w:val="20"/>
        </w:rPr>
        <w:t xml:space="preserve">amount of unrecognized tax benefits, that if recognized, would affect the annual effective tax rate was approximately $0.6 million and $1.3 million as of </w:t>
      </w:r>
      <w:r>
        <w:rPr>
          <w:rFonts w:ascii="Times New Roman;serif" w:hAnsi="Times New Roman;serif"/>
          <w:b w:val="false"/>
          <w:color w:val="000000"/>
          <w:sz w:val="20"/>
          <w:shd w:fill="FFFFFF" w:val="clear"/>
        </w:rPr>
        <w:t xml:space="preserve">March 31, 2026 and </w:t>
      </w:r>
      <w:r>
        <w:rPr>
          <w:rFonts w:ascii="Times New Roman;serif" w:hAnsi="Times New Roman;serif"/>
          <w:b w:val="false"/>
          <w:color w:val="000000"/>
          <w:sz w:val="20"/>
        </w:rPr>
        <w:t xml:space="preserve">December 31, 2025, respectively. The Company recognizes interest and penalties related to unrecognized tax benefits in income tax expense. For the three months ended </w:t>
      </w:r>
      <w:r>
        <w:rPr>
          <w:rFonts w:ascii="Times New Roman;serif" w:hAnsi="Times New Roman;serif"/>
          <w:b w:val="false"/>
          <w:color w:val="000000"/>
          <w:sz w:val="20"/>
          <w:shd w:fill="FFFFFF" w:val="clear"/>
        </w:rPr>
        <w:t xml:space="preserve">March 31, 2026 and </w:t>
      </w:r>
      <w:r>
        <w:rPr>
          <w:rFonts w:ascii="Times New Roman;serif" w:hAnsi="Times New Roman;serif"/>
          <w:b w:val="false"/>
          <w:color w:val="000000"/>
          <w:sz w:val="20"/>
        </w:rPr>
        <w:t>2025, interest and penalties were not material.</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Income Taxes Paid</w:t>
      </w:r>
    </w:p>
    <w:p>
      <w:pPr>
        <w:pStyle w:val="TextBody"/>
        <w:bidi w:val="0"/>
        <w:spacing w:lineRule="auto" w:line="288" w:before="120" w:after="120"/>
        <w:jc w:val="both"/>
        <w:rPr/>
      </w:pPr>
      <w:r>
        <w:rPr>
          <w:rFonts w:ascii="Times New Roman;serif" w:hAnsi="Times New Roman;serif"/>
          <w:b w:val="false"/>
          <w:color w:val="000000"/>
          <w:sz w:val="20"/>
        </w:rPr>
        <w:t xml:space="preserve">No income taxes were paid during the three months ended </w:t>
      </w:r>
      <w:r>
        <w:rPr>
          <w:rFonts w:ascii="Times New Roman;serif" w:hAnsi="Times New Roman;serif"/>
          <w:b w:val="false"/>
          <w:color w:val="000000"/>
          <w:sz w:val="20"/>
          <w:shd w:fill="FFFFFF" w:val="clear"/>
        </w:rPr>
        <w:t xml:space="preserve">March 31, 2026. The Company received a state income tax refund of $0.2 million during the period. </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Open Tax Years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 remains subject to examination by U.S. federal and state taxing authorities generally for tax years 2017 through 2026. Management does not believe the resolution of any open matters will have a material adverse effect on the Company’s financial position, results of operations, or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222885"/>
                <wp:effectExtent l="0" t="0" r="0" b="0"/>
                <wp:wrapNone/>
                <wp:docPr id="26" name="Frame2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before="120" w:after="120"/>
        <w:jc w:val="both"/>
        <w:rPr/>
      </w:pPr>
      <w:r>
        <w:rPr/>
      </w:r>
    </w:p>
    <w:p>
      <w:pPr>
        <w:pStyle w:val="TextBody"/>
        <w:bidi w:val="0"/>
        <w:spacing w:lineRule="auto" w:line="288" w:before="240" w:after="120"/>
        <w:jc w:val="both"/>
        <w:rPr/>
      </w:pPr>
      <w:r>
        <w:rPr>
          <w:rFonts w:ascii="Times New Roman;serif" w:hAnsi="Times New Roman;serif"/>
          <w:b/>
          <w:color w:val="000000"/>
          <w:sz w:val="20"/>
          <w:shd w:fill="FFFFFF" w:val="clear"/>
        </w:rPr>
        <w:t>Note 13.</w:t>
      </w:r>
      <w:r>
        <w:rPr>
          <w:color w:val="000000"/>
        </w:rPr>
        <w:t>    </w:t>
      </w:r>
      <w:r>
        <w:rPr>
          <w:rFonts w:ascii="Times New Roman;serif" w:hAnsi="Times New Roman;serif"/>
          <w:b/>
          <w:color w:val="000000"/>
          <w:sz w:val="20"/>
          <w:shd w:fill="FFFFFF" w:val="clear"/>
        </w:rPr>
        <w:t>Stockholders’ Equity</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Common and Treasury Stock</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changes in shares of Common and Treasury Stock are as follows:</w:t>
      </w:r>
    </w:p>
    <w:tbl>
      <w:tblPr>
        <w:tblW w:w="9874" w:type="dxa"/>
        <w:jc w:val="left"/>
        <w:tblInd w:w="0" w:type="dxa"/>
        <w:tblLayout w:type="fixed"/>
        <w:tblCellMar>
          <w:top w:w="28" w:type="dxa"/>
          <w:left w:w="28" w:type="dxa"/>
          <w:bottom w:w="28" w:type="dxa"/>
          <w:right w:w="28" w:type="dxa"/>
        </w:tblCellMar>
      </w:tblPr>
      <w:tblGrid>
        <w:gridCol w:w="949"/>
        <w:gridCol w:w="837"/>
        <w:gridCol w:w="839"/>
        <w:gridCol w:w="109"/>
        <w:gridCol w:w="109"/>
        <w:gridCol w:w="109"/>
        <w:gridCol w:w="649"/>
        <w:gridCol w:w="649"/>
        <w:gridCol w:w="651"/>
        <w:gridCol w:w="109"/>
        <w:gridCol w:w="109"/>
        <w:gridCol w:w="109"/>
        <w:gridCol w:w="619"/>
        <w:gridCol w:w="619"/>
        <w:gridCol w:w="621"/>
        <w:gridCol w:w="109"/>
        <w:gridCol w:w="109"/>
        <w:gridCol w:w="109"/>
        <w:gridCol w:w="719"/>
        <w:gridCol w:w="719"/>
        <w:gridCol w:w="1022"/>
      </w:tblGrid>
      <w:tr>
        <w:trPr/>
        <w:tc>
          <w:tcPr>
            <w:tcW w:w="949"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Common Shares Issued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Treasury Stock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Common Shares Outstanding</w:t>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18"/>
              </w:rPr>
            </w:pPr>
            <w:r>
              <w:rPr>
                <w:rFonts w:ascii="Times New Roman;serif" w:hAnsi="Times New Roman;serif"/>
                <w:b/>
                <w:color w:val="000000"/>
                <w:sz w:val="18"/>
              </w:rPr>
              <w:t>Balance as of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23,117 </w:t>
            </w:r>
          </w:p>
        </w:tc>
        <w:tc>
          <w:tcPr>
            <w:tcW w:w="6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76 </w:t>
            </w:r>
          </w:p>
        </w:tc>
        <w:tc>
          <w:tcPr>
            <w:tcW w:w="6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23,041 </w:t>
            </w:r>
          </w:p>
        </w:tc>
        <w:tc>
          <w:tcPr>
            <w:tcW w:w="10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shares issued for Stock awards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6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60" w:type="dxa"/>
            <w:gridSpan w:val="3"/>
            <w:tcBorders/>
            <w:vAlign w:val="center"/>
          </w:tcPr>
          <w:p>
            <w:pPr>
              <w:pStyle w:val="TableContents"/>
              <w:bidi w:val="0"/>
              <w:spacing w:before="0" w:after="283"/>
              <w:jc w:val="left"/>
              <w:rPr>
                <w:sz w:val="4"/>
                <w:szCs w:val="4"/>
              </w:rPr>
            </w:pPr>
            <w:r>
              <w:rPr>
                <w:sz w:val="4"/>
                <w:szCs w:val="4"/>
              </w:rPr>
            </w:r>
          </w:p>
        </w:tc>
      </w:tr>
      <w:tr>
        <w:trPr/>
        <w:tc>
          <w:tcPr>
            <w:tcW w:w="26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60" w:type="dxa"/>
            <w:gridSpan w:val="3"/>
            <w:tcBorders/>
            <w:vAlign w:val="center"/>
          </w:tcPr>
          <w:p>
            <w:pPr>
              <w:pStyle w:val="TableContents"/>
              <w:bidi w:val="0"/>
              <w:spacing w:before="0" w:after="283"/>
              <w:jc w:val="left"/>
              <w:rPr>
                <w:sz w:val="4"/>
                <w:szCs w:val="4"/>
              </w:rPr>
            </w:pPr>
            <w:r>
              <w:rPr>
                <w:sz w:val="4"/>
                <w:szCs w:val="4"/>
              </w:rPr>
            </w:r>
          </w:p>
        </w:tc>
      </w:tr>
      <w:tr>
        <w:trPr/>
        <w:tc>
          <w:tcPr>
            <w:tcW w:w="26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60" w:type="dxa"/>
            <w:gridSpan w:val="3"/>
            <w:tcBorders/>
            <w:vAlign w:val="center"/>
          </w:tcPr>
          <w:p>
            <w:pPr>
              <w:pStyle w:val="TableContents"/>
              <w:bidi w:val="0"/>
              <w:spacing w:before="0" w:after="283"/>
              <w:jc w:val="left"/>
              <w:rPr>
                <w:sz w:val="4"/>
                <w:szCs w:val="4"/>
              </w:rPr>
            </w:pPr>
            <w:r>
              <w:rPr>
                <w:sz w:val="4"/>
                <w:szCs w:val="4"/>
              </w:rPr>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18"/>
              </w:rPr>
            </w:pPr>
            <w:r>
              <w:rPr>
                <w:rFonts w:ascii="Times New Roman;serif" w:hAnsi="Times New Roman;serif"/>
                <w:b/>
                <w:color w:val="000000"/>
                <w:sz w:val="18"/>
              </w:rPr>
              <w:t>Balance as of March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23,117 </w:t>
            </w:r>
          </w:p>
        </w:tc>
        <w:tc>
          <w:tcPr>
            <w:tcW w:w="6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66 </w:t>
            </w:r>
          </w:p>
        </w:tc>
        <w:tc>
          <w:tcPr>
            <w:tcW w:w="6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23,051 </w:t>
            </w:r>
          </w:p>
        </w:tc>
        <w:tc>
          <w:tcPr>
            <w:tcW w:w="10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erif" w:hAnsi="Times New Roman;serif"/>
          <w:b/>
          <w:color w:val="000000"/>
          <w:sz w:val="20"/>
        </w:rPr>
      </w:pPr>
      <w:r>
        <w:rPr>
          <w:rFonts w:ascii="Times New Roman;serif" w:hAnsi="Times New Roman;serif"/>
          <w:b/>
          <w:color w:val="000000"/>
          <w:sz w:val="20"/>
        </w:rPr>
        <w:t>Note 14.    Stock-Based Compensation</w:t>
      </w:r>
    </w:p>
    <w:p>
      <w:pPr>
        <w:pStyle w:val="TextBody"/>
        <w:bidi w:val="0"/>
        <w:spacing w:lineRule="auto" w:line="288" w:before="240" w:after="120"/>
        <w:jc w:val="both"/>
        <w:rPr>
          <w:rFonts w:ascii="Times New Roman;serif" w:hAnsi="Times New Roman;serif"/>
          <w:b w:val="false"/>
          <w:color w:val="000000"/>
          <w:sz w:val="20"/>
        </w:rPr>
      </w:pPr>
      <w:r>
        <w:rPr>
          <w:rFonts w:ascii="Times New Roman;serif" w:hAnsi="Times New Roman;serif"/>
          <w:b w:val="false"/>
          <w:color w:val="000000"/>
          <w:sz w:val="20"/>
        </w:rPr>
        <w:t>On March 6, 2026, the Company’s Board of Directors (the “Board”) approved the Power Solutions International, Inc. 2026 Phantom Unit Plan (the “Plan”). The Plan is designed to incentivize eligible service providers of the Company by granting cash-settled awards (“Phantom Units”) tied to the fair market value of the Company’s common stock. The Plan is administered by the Board or a committee thereof, which has full discretionary authority to grant awards, determine vesting schedules, interpret the Plan, and make all related determinations. Awards are subject to the Company’s clawback and recoupment policies, including any policies adopted to comply with the Dodd-Frank Wall Street Reform and Consumer Protection Act.</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Each Phantom Unit represents an unfunded and unsecured obligation of the Company to make a cash payment to the participant equal to the average fair market value per share of the Company’s common stock over the thirty (30) trading days immediately preceding the applicable vesting date. The Phantom Units do not represent actual equity interests in the Company, carry no voting rights, and do not entitle participants to dividends. The number of Phantom Units subject to each award is determined by dividing the dollar value of the award on the grant date by the average fair market value per share of the Company’s common stock over the thirty (30) trading days immediately preceding the grant date. Because settlement amounts are determined by reference to the average fair market value per share of the Company’s common stock over the thirty (30) trading days immediately preceding each applicable vesting date, the actual amounts payable under the Plan are not determinable at the time of grant.</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Phantom Units vest in three equal annual installments, with the first installment vesting on the vesting commencement date and the remaining installments vesting on each of the first and second anniversaries of the vesting commencement date, subject to the participant’s continuous service with the Company or its affiliates. Accelerated vesting of all unvested Phantom Units occurs upon (i) termination of service due to death or disability, (ii) a change in control in which the acquirer does not assume or substitute the outstanding awards, or (iii) an involuntary termination or resignation for good reason within twenty-four (24) months following a change in control in which the awards were assumed or substituted. Settlement is made in a lump sum cash payment within sixty (60) days following the applicable vesting date. The Company granted 17,435 units and the corresponding expense was insignificant for the period March 6, 2026 through March 31, 2026.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pPr>
      <w:r>
        <w:rPr>
          <w:rFonts w:ascii="Times New Roman;serif" w:hAnsi="Times New Roman;serif"/>
          <w:b/>
          <w:color w:val="000000"/>
          <w:sz w:val="20"/>
        </w:rPr>
        <w:t>Note 15.</w:t>
      </w:r>
      <w:r>
        <w:rPr>
          <w:color w:val="000000"/>
          <w:shd w:fill="FFFFFF" w:val="clear"/>
        </w:rPr>
        <w:t>    </w:t>
      </w:r>
      <w:r>
        <w:rPr>
          <w:rFonts w:ascii="Times New Roman;serif" w:hAnsi="Times New Roman;serif"/>
          <w:b/>
          <w:color w:val="000000"/>
          <w:sz w:val="20"/>
          <w:shd w:fill="FFFFFF" w:val="clear"/>
        </w:rPr>
        <w:t>Earnings Per Share</w:t>
      </w:r>
    </w:p>
    <w:p>
      <w:pPr>
        <w:pStyle w:val="TextBody"/>
        <w:bidi w:val="0"/>
        <w:spacing w:lineRule="auto" w:line="288" w:before="120" w:after="120"/>
        <w:jc w:val="both"/>
        <w:rPr/>
      </w:pPr>
      <w:r>
        <w:rPr>
          <w:rFonts w:ascii="Times New Roman;serif" w:hAnsi="Times New Roman;serif"/>
          <w:b w:val="false"/>
          <w:color w:val="000000"/>
          <w:sz w:val="20"/>
        </w:rPr>
        <w:t xml:space="preserve">The Company computes basic earnings per share by dividing net income by the weighted-average common shares outstanding during the year. Diluted earnings per share is calculated to give effect to all potentially dilutive common shares that were outstanding during the year. Weighted-average diluted common shares outstanding primarily reflect the additional shares that would be issued upon the assumed exercise of stock options and the assumed vesting of unvested share awards. The treasury stock method has been used to compute diluted </w:t>
      </w:r>
      <w:r>
        <w:rPr>
          <w:rFonts w:ascii="Times New Roman;serif" w:hAnsi="Times New Roman;serif"/>
          <w:b w:val="false"/>
          <w:color w:val="000000"/>
          <w:sz w:val="20"/>
          <w:shd w:fill="FFFFFF" w:val="clear"/>
        </w:rPr>
        <w:t>earnings</w:t>
      </w:r>
      <w:r>
        <w:rPr>
          <w:color w:val="000000"/>
        </w:rPr>
        <w:t xml:space="preserve"> </w:t>
      </w:r>
      <w:r>
        <w:rPr>
          <w:rFonts w:ascii="Times New Roman;serif" w:hAnsi="Times New Roman;serif"/>
          <w:b w:val="false"/>
          <w:color w:val="000000"/>
          <w:sz w:val="20"/>
        </w:rPr>
        <w:t xml:space="preserve">per share for the three months ended March 31, 2026 and 2025. </w:t>
      </w:r>
    </w:p>
    <w:p>
      <w:pPr>
        <w:pStyle w:val="TextBody"/>
        <w:bidi w:val="0"/>
        <w:spacing w:lineRule="auto" w:line="288" w:before="0" w:after="0"/>
        <w:jc w:val="both"/>
        <w:rPr/>
      </w:pPr>
      <w:r>
        <w:rPr>
          <w:rFonts w:ascii="Times New Roman;serif" w:hAnsi="Times New Roman;serif"/>
          <w:b w:val="false"/>
          <w:color w:val="000000"/>
          <w:sz w:val="20"/>
        </w:rPr>
        <w:t xml:space="preserve">The Company issued Stock Appreciation Rights (“SARs”) and Restricted Stock Awards (“RSAs”), all of which have been evaluated for their potentially dilutive effect under the treasury stock method. See Note 14. </w:t>
      </w:r>
      <w:r>
        <w:rPr>
          <w:rFonts w:ascii="Times New Roman;serif" w:hAnsi="Times New Roman;serif"/>
          <w:b w:val="false"/>
          <w:i/>
          <w:color w:val="000000"/>
          <w:sz w:val="20"/>
        </w:rPr>
        <w:t>Stock-Based Compensation</w:t>
      </w:r>
      <w:r>
        <w:rPr>
          <w:color w:val="000000"/>
        </w:rPr>
        <w:t xml:space="preserve"> </w:t>
      </w:r>
      <w:r>
        <w:rPr>
          <w:rFonts w:ascii="Times New Roman;serif" w:hAnsi="Times New Roman;serif"/>
          <w:b w:val="false"/>
          <w:color w:val="000000"/>
          <w:sz w:val="20"/>
        </w:rPr>
        <w:t>in the Company’s 2025 Annual Report for additional information on the SARs and the RSAs.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222885"/>
                <wp:effectExtent l="0" t="0" r="0" b="0"/>
                <wp:wrapNone/>
                <wp:docPr id="27" name="Frame2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before="120" w:after="120"/>
        <w:jc w:val="both"/>
        <w:rPr/>
      </w:pPr>
      <w:r>
        <w:rPr/>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computations of basic and diluted earnings per share are as follows:</w:t>
      </w:r>
    </w:p>
    <w:tbl>
      <w:tblPr>
        <w:tblW w:w="8144" w:type="dxa"/>
        <w:jc w:val="left"/>
        <w:tblInd w:w="0" w:type="dxa"/>
        <w:tblLayout w:type="fixed"/>
        <w:tblCellMar>
          <w:top w:w="28" w:type="dxa"/>
          <w:left w:w="28" w:type="dxa"/>
          <w:bottom w:w="28" w:type="dxa"/>
          <w:right w:w="28" w:type="dxa"/>
        </w:tblCellMar>
      </w:tblPr>
      <w:tblGrid>
        <w:gridCol w:w="1624"/>
        <w:gridCol w:w="1428"/>
        <w:gridCol w:w="1433"/>
        <w:gridCol w:w="291"/>
        <w:gridCol w:w="826"/>
        <w:gridCol w:w="162"/>
        <w:gridCol w:w="162"/>
        <w:gridCol w:w="162"/>
        <w:gridCol w:w="162"/>
        <w:gridCol w:w="291"/>
        <w:gridCol w:w="960"/>
        <w:gridCol w:w="162"/>
        <w:gridCol w:w="109"/>
        <w:gridCol w:w="109"/>
        <w:gridCol w:w="109"/>
        <w:gridCol w:w="154"/>
      </w:tblGrid>
      <w:tr>
        <w:trPr/>
        <w:tc>
          <w:tcPr>
            <w:tcW w:w="1624" w:type="dxa"/>
            <w:tcBorders/>
            <w:vAlign w:val="center"/>
          </w:tcPr>
          <w:p>
            <w:pPr>
              <w:pStyle w:val="TableContents"/>
              <w:bidi w:val="0"/>
              <w:spacing w:before="0" w:after="283"/>
              <w:jc w:val="left"/>
              <w:rPr>
                <w:sz w:val="4"/>
                <w:szCs w:val="4"/>
              </w:rPr>
            </w:pPr>
            <w:r>
              <w:rPr>
                <w:sz w:val="4"/>
                <w:szCs w:val="4"/>
              </w:rPr>
            </w:r>
          </w:p>
        </w:tc>
        <w:tc>
          <w:tcPr>
            <w:tcW w:w="1428" w:type="dxa"/>
            <w:tcBorders/>
            <w:vAlign w:val="center"/>
          </w:tcPr>
          <w:p>
            <w:pPr>
              <w:pStyle w:val="TableContents"/>
              <w:bidi w:val="0"/>
              <w:spacing w:before="0" w:after="283"/>
              <w:jc w:val="left"/>
              <w:rPr>
                <w:sz w:val="4"/>
                <w:szCs w:val="4"/>
              </w:rPr>
            </w:pPr>
            <w:r>
              <w:rPr>
                <w:sz w:val="4"/>
                <w:szCs w:val="4"/>
              </w:rPr>
            </w:r>
          </w:p>
        </w:tc>
        <w:tc>
          <w:tcPr>
            <w:tcW w:w="1433"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 thousands, except per share basis)</w:t>
            </w:r>
          </w:p>
        </w:tc>
        <w:tc>
          <w:tcPr>
            <w:tcW w:w="31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color w:val="000000"/>
                <w:sz w:val="18"/>
              </w:rPr>
            </w:pPr>
            <w:r>
              <w:rPr>
                <w:rFonts w:ascii="Times New Roman;serif" w:hAnsi="Times New Roman;serif"/>
                <w:b/>
                <w:color w:val="000000"/>
                <w:sz w:val="18"/>
              </w:rPr>
              <w:t>Numerator:</w:t>
            </w:r>
          </w:p>
        </w:tc>
        <w:tc>
          <w:tcPr>
            <w:tcW w:w="12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 basic and diluted</w:t>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7,300 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19,082 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vAlign w:val="center"/>
          </w:tcPr>
          <w:p>
            <w:pPr>
              <w:pStyle w:val="TableContents"/>
              <w:bidi w:val="0"/>
              <w:spacing w:before="0" w:after="283"/>
              <w:jc w:val="left"/>
              <w:rPr>
                <w:sz w:val="4"/>
                <w:szCs w:val="4"/>
              </w:rPr>
            </w:pPr>
            <w:r>
              <w:rPr>
                <w:sz w:val="4"/>
                <w:szCs w:val="4"/>
              </w:rPr>
            </w:r>
          </w:p>
        </w:tc>
        <w:tc>
          <w:tcPr>
            <w:tcW w:w="1279"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141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vAlign w:val="center"/>
          </w:tcPr>
          <w:p>
            <w:pPr>
              <w:pStyle w:val="TableContents"/>
              <w:bidi w:val="0"/>
              <w:spacing w:before="0" w:after="283"/>
              <w:jc w:val="left"/>
              <w:rPr>
                <w:sz w:val="4"/>
                <w:szCs w:val="4"/>
              </w:rPr>
            </w:pPr>
            <w:r>
              <w:rPr>
                <w:sz w:val="4"/>
                <w:szCs w:val="4"/>
              </w:rPr>
            </w:r>
          </w:p>
        </w:tc>
        <w:tc>
          <w:tcPr>
            <w:tcW w:w="1279"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141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vAlign w:val="center"/>
          </w:tcPr>
          <w:p>
            <w:pPr>
              <w:pStyle w:val="TableContents"/>
              <w:bidi w:val="0"/>
              <w:spacing w:before="0" w:after="283"/>
              <w:jc w:val="left"/>
              <w:rPr>
                <w:sz w:val="4"/>
                <w:szCs w:val="4"/>
              </w:rPr>
            </w:pPr>
            <w:r>
              <w:rPr>
                <w:sz w:val="4"/>
                <w:szCs w:val="4"/>
              </w:rPr>
            </w:r>
          </w:p>
        </w:tc>
        <w:tc>
          <w:tcPr>
            <w:tcW w:w="1279"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141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vAlign w:val="center"/>
          </w:tcPr>
          <w:p>
            <w:pPr>
              <w:pStyle w:val="TableContents"/>
              <w:bidi w:val="0"/>
              <w:spacing w:before="0" w:after="283"/>
              <w:jc w:val="left"/>
              <w:rPr>
                <w:sz w:val="4"/>
                <w:szCs w:val="4"/>
              </w:rPr>
            </w:pPr>
            <w:r>
              <w:rPr>
                <w:sz w:val="4"/>
                <w:szCs w:val="4"/>
              </w:rPr>
            </w:r>
          </w:p>
        </w:tc>
        <w:tc>
          <w:tcPr>
            <w:tcW w:w="1279"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141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color w:val="000000"/>
                <w:sz w:val="18"/>
              </w:rPr>
            </w:pPr>
            <w:r>
              <w:rPr>
                <w:rFonts w:ascii="Times New Roman;serif" w:hAnsi="Times New Roman;serif"/>
                <w:b/>
                <w:color w:val="000000"/>
                <w:sz w:val="18"/>
              </w:rPr>
              <w:t>Denominator:</w:t>
            </w:r>
          </w:p>
        </w:tc>
        <w:tc>
          <w:tcPr>
            <w:tcW w:w="12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Shares used in computing net income per share:</w:t>
            </w:r>
          </w:p>
        </w:tc>
        <w:tc>
          <w:tcPr>
            <w:tcW w:w="12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18"/>
              </w:rPr>
            </w:pPr>
            <w:r>
              <w:rPr>
                <w:rFonts w:ascii="Times New Roman;serif" w:hAnsi="Times New Roman;serif"/>
                <w:b w:val="false"/>
                <w:color w:val="000000"/>
                <w:sz w:val="18"/>
              </w:rPr>
              <w:t>Weighted-average common shares outstanding – basic</w:t>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23,046 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23,005 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18"/>
              </w:rPr>
            </w:pPr>
            <w:r>
              <w:rPr>
                <w:rFonts w:ascii="Times New Roman;serif" w:hAnsi="Times New Roman;serif"/>
                <w:b w:val="false"/>
                <w:color w:val="000000"/>
                <w:sz w:val="18"/>
              </w:rPr>
              <w:t>Effect of dilutive securities</w:t>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pPr>
            <w:r>
              <w:rPr>
                <w:rFonts w:ascii="Times New Roman;serif" w:hAnsi="Times New Roman;serif"/>
                <w:b/>
                <w:color w:val="000000"/>
                <w:sz w:val="18"/>
              </w:rPr>
              <w:t xml:space="preserve">Weighted-average common shares outstanding </w:t>
            </w:r>
            <w:r>
              <w:rPr>
                <w:color w:val="000000"/>
              </w:rPr>
              <w:t xml:space="preserve">– </w:t>
            </w:r>
            <w:r>
              <w:rPr>
                <w:rFonts w:ascii="Times New Roman;serif" w:hAnsi="Times New Roman;serif"/>
                <w:b/>
                <w:color w:val="000000"/>
                <w:sz w:val="18"/>
              </w:rPr>
              <w:t>diluted</w:t>
            </w:r>
          </w:p>
        </w:tc>
        <w:tc>
          <w:tcPr>
            <w:tcW w:w="11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23,063 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23,061 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Earnings per common share:</w:t>
            </w:r>
          </w:p>
        </w:tc>
        <w:tc>
          <w:tcPr>
            <w:tcW w:w="12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Earnings per share of common stock – basic</w:t>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0.32 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0.83 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Earnings per share of common stock – diluted</w:t>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0.32 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0.83 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120"/>
        <w:jc w:val="both"/>
        <w:rPr/>
      </w:pPr>
      <w:r>
        <w:rPr>
          <w:rFonts w:ascii="Times New Roman;serif" w:hAnsi="Times New Roman;serif"/>
          <w:b w:val="false"/>
          <w:color w:val="000000"/>
          <w:sz w:val="20"/>
        </w:rPr>
        <w:t>The aggregate number of shares excluded from the diluted earnings per share calculations, because they would have been anti-diluti</w:t>
      </w:r>
      <w:r>
        <w:rPr>
          <w:rFonts w:ascii="Times New Roman;serif" w:hAnsi="Times New Roman;serif"/>
          <w:b w:val="false"/>
          <w:color w:val="000000"/>
          <w:sz w:val="20"/>
          <w:shd w:fill="FFFFFF" w:val="clear"/>
        </w:rPr>
        <w:t xml:space="preserve">ve, were </w:t>
      </w:r>
      <w:r>
        <w:rPr>
          <w:rFonts w:ascii="Times New Roman;serif" w:hAnsi="Times New Roman;serif"/>
          <w:b w:val="false"/>
          <w:color w:val="000000"/>
          <w:sz w:val="20"/>
        </w:rPr>
        <w:t>none</w:t>
      </w:r>
      <w:r>
        <w:rPr>
          <w:color w:val="000000"/>
          <w:shd w:fill="FFFFFF" w:val="clear"/>
        </w:rPr>
        <w:t xml:space="preserve"> </w:t>
      </w:r>
      <w:r>
        <w:rPr>
          <w:rFonts w:ascii="Times New Roman;serif" w:hAnsi="Times New Roman;serif"/>
          <w:b w:val="false"/>
          <w:color w:val="000000"/>
          <w:sz w:val="20"/>
          <w:shd w:fill="FFFFFF" w:val="clear"/>
        </w:rPr>
        <w:t>for both three months ended</w:t>
      </w:r>
      <w:r>
        <w:rPr>
          <w:color w:val="000000"/>
        </w:rPr>
        <w:t xml:space="preserve"> </w:t>
      </w:r>
      <w:r>
        <w:rPr>
          <w:rFonts w:ascii="Times New Roman;serif" w:hAnsi="Times New Roman;serif"/>
          <w:b w:val="false"/>
          <w:color w:val="000000"/>
          <w:sz w:val="20"/>
        </w:rPr>
        <w:t>March 31, 2026 and 2025. For the three months ended March 31, 2026 and 2025, SARs and RSAs were not included in the diluted earnings per share calculations as they would have been anti-dilutive because the Company’s average stock price was less than or equal to the exercise price of the SARs or the grant price of the RSAs.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222885"/>
                <wp:effectExtent l="0" t="0" r="0" b="0"/>
                <wp:wrapNone/>
                <wp:docPr id="28" name="Frame2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before="120" w:after="120"/>
        <w:jc w:val="both"/>
        <w:rPr/>
      </w:pPr>
      <w:r>
        <w:rPr/>
      </w:r>
    </w:p>
    <w:p>
      <w:pPr>
        <w:pStyle w:val="TextBody"/>
        <w:bidi w:val="0"/>
        <w:spacing w:lineRule="auto" w:line="288" w:before="240" w:after="120"/>
        <w:jc w:val="both"/>
        <w:rPr>
          <w:rFonts w:ascii="Times New Roman;serif" w:hAnsi="Times New Roman;serif"/>
          <w:b/>
          <w:color w:val="000000"/>
          <w:sz w:val="20"/>
        </w:rPr>
      </w:pPr>
      <w:r>
        <w:rPr>
          <w:rFonts w:ascii="Times New Roman;serif" w:hAnsi="Times New Roman;serif"/>
          <w:b/>
          <w:color w:val="000000"/>
          <w:sz w:val="20"/>
        </w:rPr>
        <w:t>Note 16.    Related Party Transactions</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Weichai Transactions</w:t>
      </w:r>
    </w:p>
    <w:p>
      <w:pPr>
        <w:pStyle w:val="TextBody"/>
        <w:bidi w:val="0"/>
        <w:spacing w:lineRule="auto" w:line="288" w:before="120" w:after="120"/>
        <w:jc w:val="both"/>
        <w:rPr/>
      </w:pPr>
      <w:r>
        <w:rPr>
          <w:rFonts w:ascii="Times New Roman;serif" w:hAnsi="Times New Roman;serif"/>
          <w:b w:val="false"/>
          <w:color w:val="000000"/>
          <w:sz w:val="20"/>
        </w:rPr>
        <w:t xml:space="preserve">See Note 4. </w:t>
      </w:r>
      <w:r>
        <w:rPr>
          <w:rFonts w:ascii="Times New Roman;serif" w:hAnsi="Times New Roman;serif"/>
          <w:b w:val="false"/>
          <w:i/>
          <w:color w:val="000000"/>
          <w:sz w:val="20"/>
        </w:rPr>
        <w:t>Weichai Transactions</w:t>
      </w:r>
      <w:r>
        <w:rPr>
          <w:color w:val="000000"/>
        </w:rPr>
        <w:t xml:space="preserve"> </w:t>
      </w:r>
      <w:r>
        <w:rPr>
          <w:rFonts w:ascii="Times New Roman;serif" w:hAnsi="Times New Roman;serif"/>
          <w:b w:val="false"/>
          <w:color w:val="000000"/>
          <w:sz w:val="20"/>
        </w:rPr>
        <w:t>for information regarding the Weichai Shareholder’s Loan Agreement and Collaboration Agreement</w:t>
      </w:r>
      <w:r>
        <w:rPr>
          <w:rFonts w:ascii="Times New Roman;serif" w:hAnsi="Times New Roman;serif"/>
          <w:b/>
          <w:color w:val="000000"/>
          <w:sz w:val="20"/>
        </w:rPr>
        <w:t>.</w:t>
      </w:r>
      <w:r>
        <w:rPr>
          <w:color w:val="000000"/>
        </w:rPr>
        <w:t xml:space="preserve"> </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Other Related Party Transactions</w:t>
      </w:r>
    </w:p>
    <w:p>
      <w:pPr>
        <w:pStyle w:val="TextBody"/>
        <w:bidi w:val="0"/>
        <w:spacing w:lineRule="auto" w:line="288" w:before="120" w:after="120"/>
        <w:jc w:val="both"/>
        <w:rPr/>
      </w:pPr>
      <w:r>
        <w:rPr>
          <w:rFonts w:ascii="Times New Roman;serif" w:hAnsi="Times New Roman;serif"/>
          <w:b w:val="false"/>
          <w:color w:val="000000"/>
          <w:sz w:val="20"/>
        </w:rPr>
        <w:t xml:space="preserve">See Note 11. </w:t>
      </w:r>
      <w:r>
        <w:rPr>
          <w:rFonts w:ascii="Times New Roman;serif" w:hAnsi="Times New Roman;serif"/>
          <w:b w:val="false"/>
          <w:i/>
          <w:color w:val="000000"/>
          <w:sz w:val="20"/>
        </w:rPr>
        <w:t>Commitments and Contingencies</w:t>
      </w:r>
      <w:r>
        <w:rPr>
          <w:color w:val="000000"/>
        </w:rPr>
        <w:t xml:space="preserve"> </w:t>
      </w:r>
      <w:r>
        <w:rPr>
          <w:rFonts w:ascii="Times New Roman;serif" w:hAnsi="Times New Roman;serif"/>
          <w:b w:val="false"/>
          <w:color w:val="000000"/>
          <w:sz w:val="20"/>
        </w:rPr>
        <w:t>for information regarding the Company’s indemnification obligations related to a former director and officer of the Company.</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In January 2025, the Company entered into a five-year purchase agreement with SWIEC, for the exclusive purchase and distribution of certain engine and engine components for the fulfillment of a contract with a customer in North America. The supply agreement includes annual minimum requirements of products ordered during the initial term. If all minimum targets are met within the first three-year periods, the contract may be negotiated to extend beyond the five-year initial term. The annual minimum requirements are as follows: </w:t>
      </w:r>
    </w:p>
    <w:tbl>
      <w:tblPr>
        <w:tblW w:w="5922" w:type="dxa"/>
        <w:jc w:val="left"/>
        <w:tblInd w:w="0" w:type="dxa"/>
        <w:tblLayout w:type="fixed"/>
        <w:tblCellMar>
          <w:top w:w="28" w:type="dxa"/>
          <w:left w:w="28" w:type="dxa"/>
          <w:bottom w:w="28" w:type="dxa"/>
          <w:right w:w="28" w:type="dxa"/>
        </w:tblCellMar>
      </w:tblPr>
      <w:tblGrid>
        <w:gridCol w:w="1085"/>
        <w:gridCol w:w="956"/>
        <w:gridCol w:w="959"/>
        <w:gridCol w:w="109"/>
        <w:gridCol w:w="109"/>
        <w:gridCol w:w="109"/>
        <w:gridCol w:w="467"/>
        <w:gridCol w:w="1758"/>
        <w:gridCol w:w="370"/>
      </w:tblGrid>
      <w:tr>
        <w:trPr/>
        <w:tc>
          <w:tcPr>
            <w:tcW w:w="1085"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758"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Annual minimum requirements</w:t>
            </w:r>
          </w:p>
        </w:tc>
      </w:tr>
      <w:tr>
        <w:trPr/>
        <w:tc>
          <w:tcPr>
            <w:tcW w:w="30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95" w:type="dxa"/>
            <w:gridSpan w:val="3"/>
            <w:tcBorders/>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Nine months ending December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49,937 </w:t>
            </w:r>
          </w:p>
        </w:tc>
        <w:tc>
          <w:tcPr>
            <w:tcW w:w="3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Year ending December 31, 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49,937 </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Year ending December 31, 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95,117 </w:t>
            </w:r>
          </w:p>
        </w:tc>
        <w:tc>
          <w:tcPr>
            <w:tcW w:w="3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Year ending December 31, 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95,117 </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7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290,108 </w:t>
            </w:r>
          </w:p>
        </w:tc>
        <w:tc>
          <w:tcPr>
            <w:tcW w:w="3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In February 2025, the Company entered into a MOR agreement with Weichai. The MOR agreement requires the Company to pay Weichai a fee of 1.75% of gross revenues generated by the sale of certain engines manufactured by Weichai. Fees are due on a quarterly basis. The first quarter 2026 fee is $0.1 million. The MOR agreement expires in December 2029.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pPr>
      <w:r>
        <w:rPr>
          <w:rFonts w:ascii="Times New Roman;serif" w:hAnsi="Times New Roman;serif"/>
          <w:b/>
          <w:color w:val="000000"/>
          <w:sz w:val="20"/>
        </w:rPr>
        <w:t>Note 17.</w:t>
      </w:r>
      <w:r>
        <w:rPr>
          <w:color w:val="000000"/>
        </w:rPr>
        <w:t xml:space="preserve"> </w:t>
      </w:r>
      <w:r>
        <w:rPr>
          <w:rFonts w:ascii="Times New Roman;serif" w:hAnsi="Times New Roman;serif"/>
          <w:b/>
          <w:color w:val="000000"/>
          <w:sz w:val="20"/>
        </w:rPr>
        <w:t>Segment Reporting</w:t>
      </w:r>
    </w:p>
    <w:p>
      <w:pPr>
        <w:pStyle w:val="TextBody"/>
        <w:bidi w:val="0"/>
        <w:spacing w:lineRule="auto" w:line="288" w:before="120" w:after="120"/>
        <w:jc w:val="both"/>
        <w:rPr/>
      </w:pPr>
      <w:r>
        <w:rPr>
          <w:rFonts w:ascii="Times New Roman;serif" w:hAnsi="Times New Roman;serif"/>
          <w:b w:val="false"/>
          <w:color w:val="000000"/>
          <w:sz w:val="20"/>
        </w:rPr>
        <w:t xml:space="preserve">Operating segments are defined as components of a business that can earn revenues and incur expenses for which discrete financial information is available that is reviewed on a regular basis by the chief operating decision maker (“CODM”). The Company operates </w:t>
      </w:r>
      <w:r>
        <w:rPr>
          <w:rFonts w:ascii="Times New Roman;serif" w:hAnsi="Times New Roman;serif"/>
          <w:b w:val="false"/>
          <w:color w:val="000000"/>
          <w:sz w:val="20"/>
          <w:shd w:fill="FFFFFF" w:val="clear"/>
        </w:rPr>
        <w:t xml:space="preserve">as one business and geographic operating and reportable segment. </w:t>
      </w:r>
    </w:p>
    <w:p>
      <w:pPr>
        <w:pStyle w:val="TextBody"/>
        <w:bidi w:val="0"/>
        <w:spacing w:lineRule="auto" w:line="288" w:before="120" w:after="120"/>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Chief Operating Decision Maker</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CODM is its Chief Executive Officer (“CEO”). The CEO oversees the strategic planning and direction of the Company, and the CEO has final approval in assessing the Company’s performance and allocating its resources. </w:t>
      </w:r>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Identification of Reportable Segment</w:t>
      </w:r>
    </w:p>
    <w:p>
      <w:pPr>
        <w:pStyle w:val="TextBody"/>
        <w:bidi w:val="0"/>
        <w:spacing w:lineRule="auto" w:line="288" w:before="120" w:after="120"/>
        <w:jc w:val="both"/>
        <w:rPr/>
      </w:pPr>
      <w:r>
        <w:rPr>
          <w:rFonts w:ascii="Times New Roman;serif" w:hAnsi="Times New Roman;serif"/>
          <w:b w:val="false"/>
          <w:color w:val="000000"/>
          <w:sz w:val="20"/>
        </w:rPr>
        <w:t xml:space="preserve">The Company’s single reportable segment derives revenues primarily in North America from customers by designing, engineering, manufacturing, marketing and selling a broad range of advanced, emission-certified engines and power systems that are powered by a wide variety of clean, alternative fuels, including natural gas, propane, and biofuels, as well as gasoline and diesel options, within the power systems, industrial and transportation end markets. Revenue is attributed to geographic areas based on the country of sale. The sources of external revenue by end market and geographic area are previously disclosed in Note 3. </w:t>
      </w:r>
      <w:r>
        <w:rPr>
          <w:rFonts w:ascii="Times New Roman;serif" w:hAnsi="Times New Roman;serif"/>
          <w:b w:val="false"/>
          <w:i/>
          <w:color w:val="000000"/>
          <w:sz w:val="20"/>
        </w:rPr>
        <w:t>Revenue</w:t>
      </w:r>
      <w:r>
        <w:rPr>
          <w:rFonts w:ascii="Times New Roman;serif" w:hAnsi="Times New Roman;serif"/>
          <w:b w:val="false"/>
          <w:color w:val="000000"/>
          <w:sz w:val="20"/>
        </w:rPr>
        <w:t>.</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 evaluated the basis for the CODM's decisions about the allocation of Company resources as well as the basis for the CODM's assessments of the evaluation of the Company's (segment) performance. Specifically, the Company evaluated the financial information that is generally provided and / or is available to the CODM. The Company’s CODM reviews consolidated statements of income to make decisions, allocate resources and assess performance.</w:t>
      </w:r>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Measurement</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CODM assesses performance and decides how to allocate resources primarily using consolidated revenue by end market and consolidated net income (loss). The CODM uses consolidated net income (loss) to monitor budget and forecast information to actual results. The CODM reviews cash, accounts receivable, inventory, accounts payable, and total debt; however other long-lived asset information is not reviewed by the CODM. </w:t>
      </w:r>
    </w:p>
    <w:p>
      <w:pPr>
        <w:pStyle w:val="TextBody"/>
        <w:bidi w:val="0"/>
        <w:spacing w:lineRule="auto" w:line="288" w:before="120" w:after="120"/>
        <w:jc w:val="both"/>
        <w:rPr/>
      </w:pPr>
      <w:r>
        <w:rPr>
          <w:rFonts w:ascii="Times New Roman;serif" w:hAnsi="Times New Roman;serif"/>
          <w:b w:val="false"/>
          <w:color w:val="000000"/>
          <w:sz w:val="20"/>
        </w:rPr>
        <w:t xml:space="preserve">The accounting policies of the Company’s single reportable segment are the same as those described in the Note 1. </w:t>
      </w:r>
      <w:r>
        <w:rPr>
          <w:rFonts w:ascii="Times New Roman;serif" w:hAnsi="Times New Roman;serif"/>
          <w:b w:val="false"/>
          <w:i/>
          <w:color w:val="000000"/>
          <w:sz w:val="20"/>
        </w:rPr>
        <w:t>Summary of Significant Accounting Policies and Other Information</w:t>
      </w:r>
      <w:r>
        <w:rPr>
          <w:rFonts w:ascii="Times New Roman;serif" w:hAnsi="Times New Roman;serif"/>
          <w:b w:val="false"/>
          <w:color w:val="000000"/>
          <w:sz w:val="20"/>
        </w:rPr>
        <w:t xml:space="preserve">. The measure of segment assets is consolidated total assets presented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222885"/>
                <wp:effectExtent l="0" t="0" r="0" b="0"/>
                <wp:wrapNone/>
                <wp:docPr id="29" name="Frame2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before="120" w:after="120"/>
        <w:jc w:val="both"/>
        <w:rPr/>
      </w:pPr>
      <w:r>
        <w:rPr/>
      </w:r>
    </w:p>
    <w:p>
      <w:pPr>
        <w:pStyle w:val="TextBody"/>
        <w:bidi w:val="0"/>
        <w:spacing w:lineRule="auto" w:line="288" w:before="120" w:after="120"/>
        <w:jc w:val="both"/>
        <w:rPr/>
      </w:pPr>
      <w:r>
        <w:rPr>
          <w:rFonts w:ascii="Times New Roman;serif" w:hAnsi="Times New Roman;serif"/>
          <w:b w:val="false"/>
          <w:color w:val="000000"/>
          <w:sz w:val="20"/>
        </w:rPr>
        <w:t xml:space="preserve">the Company’s Consolidated Balance Sheets. Note 1 </w:t>
      </w:r>
      <w:r>
        <w:rPr>
          <w:rFonts w:ascii="Times New Roman;serif" w:hAnsi="Times New Roman;serif"/>
          <w:b w:val="false"/>
          <w:i/>
          <w:color w:val="000000"/>
          <w:sz w:val="20"/>
        </w:rPr>
        <w:t>Concentrations</w:t>
      </w:r>
      <w:r>
        <w:rPr>
          <w:color w:val="000000"/>
        </w:rPr>
        <w:t xml:space="preserve"> </w:t>
      </w:r>
      <w:r>
        <w:rPr>
          <w:rFonts w:ascii="Times New Roman;serif" w:hAnsi="Times New Roman;serif"/>
          <w:b w:val="false"/>
          <w:color w:val="000000"/>
          <w:sz w:val="20"/>
        </w:rPr>
        <w:t xml:space="preserve">discloses customers individually accounting for more than 10% of the Company’s consolidated net sales. </w:t>
      </w:r>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Significant Expenses</w:t>
      </w:r>
    </w:p>
    <w:p>
      <w:pPr>
        <w:pStyle w:val="TextBody"/>
        <w:bidi w:val="0"/>
        <w:spacing w:lineRule="auto" w:line="268" w:before="0" w:after="0"/>
        <w:jc w:val="left"/>
        <w:rPr/>
      </w:pPr>
      <w:r>
        <w:rPr>
          <w:rFonts w:ascii="Times New Roman;serif" w:hAnsi="Times New Roman;serif"/>
          <w:b w:val="false"/>
          <w:color w:val="000000"/>
          <w:sz w:val="20"/>
        </w:rPr>
        <w:t xml:space="preserve">Significant segment expenses are presented in the </w:t>
      </w:r>
      <w:r>
        <w:rPr>
          <w:rFonts w:ascii="Times New Roman;serif" w:hAnsi="Times New Roman;serif"/>
          <w:b w:val="false"/>
          <w:i/>
          <w:color w:val="000000"/>
          <w:sz w:val="20"/>
        </w:rPr>
        <w:t>Consolidated Statements of Income</w:t>
      </w:r>
      <w:r>
        <w:rPr>
          <w:rFonts w:ascii="Times New Roman;serif" w:hAnsi="Times New Roman;serif"/>
          <w:b w:val="false"/>
          <w:color w:val="000000"/>
          <w:sz w:val="2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222885"/>
                <wp:effectExtent l="0" t="0" r="0" b="0"/>
                <wp:wrapNone/>
                <wp:docPr id="30" name="Frame2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before="120" w:after="120"/>
        <w:jc w:val="both"/>
        <w:rPr/>
      </w:pPr>
      <w:r>
        <w:rPr/>
      </w:r>
    </w:p>
    <w:p>
      <w:pPr>
        <w:pStyle w:val="TextBody"/>
        <w:bidi w:val="0"/>
        <w:spacing w:lineRule="auto" w:line="288" w:before="240" w:after="120"/>
        <w:jc w:val="both"/>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The following discussion and analysis includes forward-looking statements about the Company’s business and consolidated results of operations for the three months ended March 31, 2026 and 2025, including discussions about management’s expectations for the Company’s business. These statements represent projections, beliefs and expectations based on current circumstances and conditions and are made in light of recent events and trends. These statements should not be construed either as assurances of performance or as promises of a given course of action. Instead, various known and unknown factors are likely to cause the Company’s actual performance and management’s actions to vary, and the results of these variances may be both material and adverse. See “Forward-Looking Statements” in this Quarterly Report. The following discussion should also be read in conjunction with the Company’s unaudited consolidated financial statements and the related Notes included in this Quarterly Report.</w:t>
      </w:r>
    </w:p>
    <w:p>
      <w:pPr>
        <w:pStyle w:val="TextBody"/>
        <w:bidi w:val="0"/>
        <w:spacing w:lineRule="auto" w:line="288" w:before="120" w:after="12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Executive Overview</w:t>
      </w:r>
    </w:p>
    <w:p>
      <w:pPr>
        <w:pStyle w:val="TextBody"/>
        <w:bidi w:val="0"/>
        <w:spacing w:lineRule="auto" w:line="288" w:before="120" w:after="120"/>
        <w:jc w:val="both"/>
        <w:rPr/>
      </w:pPr>
      <w:r>
        <w:rPr>
          <w:rFonts w:ascii="Times New Roman;serif" w:hAnsi="Times New Roman;serif"/>
          <w:b w:val="false"/>
          <w:color w:val="000000"/>
          <w:sz w:val="20"/>
          <w:shd w:fill="FFFFFF" w:val="clear"/>
        </w:rPr>
        <w:t xml:space="preserve">The Company </w:t>
      </w:r>
      <w:r>
        <w:rPr>
          <w:rFonts w:ascii="Times New Roman;serif" w:hAnsi="Times New Roman;serif"/>
          <w:b w:val="false"/>
          <w:color w:val="000000"/>
          <w:sz w:val="20"/>
        </w:rPr>
        <w:t xml:space="preserve">designs, engineers, manufactures, markets and sells a broad range of advanced, emission-certified engines and power systems that run on a wide variety of clean, alternative fuels, including natural gas, propane, and biofuels, as well as gasoline and diesel options, within the power systems, industrial and transportation end markets with primary manufacturing, assembly, engineering, R&amp;D, sales and distribution facilities located in suburban Chicago, Illinois and Darien and Beloit, Wisconsin. The Company provides highly engineered, comprehensive solutions designed to meet specific customer application requirements and technical specifications, including those imposed by environmental regulatory bodies, such as the U.S. Environment Protection Agency (“EPA”), the California Air Resource Board (“CARB”) and the People’s Republic of China’s Ministry of Ecology and Environment (“MEE”).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Company’s products are primarily used by global original equipment manufacturers (“OEM”) and end-user customers across a wide range of applications and equipment that includes standby and prime power generation, demand response, microgrid, combined heat and power, arbor care, material handling (including forklifts), agricultural and turf, construction, pumps and irrigation, compressors, utility vehicles, light- and medium-duty vocational trucks, school and transit buses, and utility power. The Company manages the business as a single reportable segment.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40"/>
        <w:jc w:val="both"/>
        <w:rPr/>
      </w:pPr>
      <w:r>
        <w:rPr>
          <w:rFonts w:ascii="Times New Roman;serif" w:hAnsi="Times New Roman;serif"/>
          <w:b w:val="false"/>
          <w:color w:val="000000"/>
          <w:sz w:val="20"/>
          <w:shd w:fill="FFFFFF" w:val="clear"/>
        </w:rPr>
        <w:t xml:space="preserve">Net sales by geographic area and by end market for the </w:t>
      </w:r>
      <w:r>
        <w:rPr>
          <w:rFonts w:ascii="Times New Roman;serif" w:hAnsi="Times New Roman;serif"/>
          <w:b w:val="false"/>
          <w:color w:val="000000"/>
          <w:sz w:val="20"/>
        </w:rPr>
        <w:t>three</w:t>
      </w:r>
      <w:r>
        <w:rPr>
          <w:color w:val="000000"/>
          <w:shd w:fill="FFFFFF" w:val="clear"/>
        </w:rPr>
        <w:t xml:space="preserve"> </w:t>
      </w:r>
      <w:r>
        <w:rPr>
          <w:rFonts w:ascii="Times New Roman;serif" w:hAnsi="Times New Roman;serif"/>
          <w:b w:val="false"/>
          <w:color w:val="000000"/>
          <w:sz w:val="20"/>
          <w:shd w:fill="FFFFFF" w:val="clear"/>
        </w:rPr>
        <w:t>months ended March 31, 2026 and 2025 are presented below:</w:t>
      </w:r>
    </w:p>
    <w:tbl>
      <w:tblPr>
        <w:tblW w:w="6590" w:type="dxa"/>
        <w:jc w:val="left"/>
        <w:tblInd w:w="0" w:type="dxa"/>
        <w:tblLayout w:type="fixed"/>
        <w:tblCellMar>
          <w:top w:w="28" w:type="dxa"/>
          <w:left w:w="28" w:type="dxa"/>
          <w:bottom w:w="28" w:type="dxa"/>
          <w:right w:w="28" w:type="dxa"/>
        </w:tblCellMar>
      </w:tblPr>
      <w:tblGrid>
        <w:gridCol w:w="700"/>
        <w:gridCol w:w="617"/>
        <w:gridCol w:w="618"/>
        <w:gridCol w:w="109"/>
        <w:gridCol w:w="109"/>
        <w:gridCol w:w="109"/>
        <w:gridCol w:w="196"/>
        <w:gridCol w:w="736"/>
        <w:gridCol w:w="109"/>
        <w:gridCol w:w="213"/>
        <w:gridCol w:w="213"/>
        <w:gridCol w:w="504"/>
        <w:gridCol w:w="109"/>
        <w:gridCol w:w="109"/>
        <w:gridCol w:w="109"/>
        <w:gridCol w:w="196"/>
        <w:gridCol w:w="736"/>
        <w:gridCol w:w="109"/>
        <w:gridCol w:w="210"/>
        <w:gridCol w:w="211"/>
        <w:gridCol w:w="568"/>
      </w:tblGrid>
      <w:tr>
        <w:trPr/>
        <w:tc>
          <w:tcPr>
            <w:tcW w:w="700"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r>
      <w:tr>
        <w:trPr/>
        <w:tc>
          <w:tcPr>
            <w:tcW w:w="19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8"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Three Months Ended March 31,</w:t>
            </w:r>
          </w:p>
        </w:tc>
      </w:tr>
      <w:tr>
        <w:trPr/>
        <w:tc>
          <w:tcPr>
            <w:tcW w:w="1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1"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0"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19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Geographic Area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of 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of Total</w:t>
            </w:r>
          </w:p>
        </w:tc>
      </w:tr>
      <w:tr>
        <w:trPr/>
        <w:tc>
          <w:tcPr>
            <w:tcW w:w="19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United States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116,700 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91 </w:t>
            </w:r>
          </w:p>
        </w:tc>
        <w:tc>
          <w:tcPr>
            <w:tcW w:w="5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127,656 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94 </w:t>
            </w:r>
          </w:p>
        </w:tc>
        <w:tc>
          <w:tcPr>
            <w:tcW w:w="5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9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North America </w:t>
              <w:br/>
              <w:t>(outside of United States)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5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5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9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Pacific Rim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5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5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9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Europe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5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5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9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9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128,592 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5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135,446 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5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tbl>
      <w:tblPr>
        <w:tblW w:w="5925" w:type="dxa"/>
        <w:jc w:val="center"/>
        <w:tblInd w:w="0" w:type="dxa"/>
        <w:tblLayout w:type="fixed"/>
        <w:tblCellMar>
          <w:top w:w="28" w:type="dxa"/>
          <w:left w:w="28" w:type="dxa"/>
          <w:bottom w:w="28" w:type="dxa"/>
          <w:right w:w="28" w:type="dxa"/>
        </w:tblCellMar>
      </w:tblPr>
      <w:tblGrid>
        <w:gridCol w:w="445"/>
        <w:gridCol w:w="392"/>
        <w:gridCol w:w="393"/>
        <w:gridCol w:w="109"/>
        <w:gridCol w:w="109"/>
        <w:gridCol w:w="109"/>
        <w:gridCol w:w="196"/>
        <w:gridCol w:w="736"/>
        <w:gridCol w:w="109"/>
        <w:gridCol w:w="213"/>
        <w:gridCol w:w="213"/>
        <w:gridCol w:w="504"/>
        <w:gridCol w:w="109"/>
        <w:gridCol w:w="109"/>
        <w:gridCol w:w="109"/>
        <w:gridCol w:w="196"/>
        <w:gridCol w:w="736"/>
        <w:gridCol w:w="109"/>
        <w:gridCol w:w="258"/>
        <w:gridCol w:w="203"/>
        <w:gridCol w:w="568"/>
      </w:tblGrid>
      <w:tr>
        <w:trPr/>
        <w:tc>
          <w:tcPr>
            <w:tcW w:w="445"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r>
      <w:tr>
        <w:trPr/>
        <w:tc>
          <w:tcPr>
            <w:tcW w:w="1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8"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Three Months Ended March 31,</w:t>
            </w:r>
          </w:p>
        </w:tc>
      </w:tr>
      <w:tr>
        <w:trPr/>
        <w:tc>
          <w:tcPr>
            <w:tcW w:w="1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1"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1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End Market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of 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of Total</w:t>
            </w:r>
          </w:p>
        </w:tc>
      </w:tr>
      <w:tr>
        <w:trPr/>
        <w:tc>
          <w:tcPr>
            <w:tcW w:w="12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Power Systems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96,491 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75 </w:t>
            </w:r>
          </w:p>
        </w:tc>
        <w:tc>
          <w:tcPr>
            <w:tcW w:w="5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106,647 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79 </w:t>
            </w:r>
          </w:p>
        </w:tc>
        <w:tc>
          <w:tcPr>
            <w:tcW w:w="5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Industrial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26,557 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50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23,513 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56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Transportation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5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5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128,592 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50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135,446 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1"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56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180" w:after="120"/>
        <w:jc w:val="both"/>
        <w:rPr>
          <w:rFonts w:ascii="Times New Roman;serif" w:hAnsi="Times New Roman;serif"/>
          <w:b/>
          <w:i/>
          <w:color w:val="000000"/>
          <w:sz w:val="20"/>
        </w:rPr>
      </w:pPr>
      <w:r>
        <w:rPr>
          <w:rFonts w:ascii="Times New Roman;serif" w:hAnsi="Times New Roman;serif"/>
          <w:b/>
          <w:i/>
          <w:color w:val="000000"/>
          <w:sz w:val="20"/>
        </w:rPr>
        <w:t>Recent Trends and Business Outlook</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Sales declined in the first quarter of 2026, primarily within the power systems end market, reflecting uneven customer ordering patterns and some softness in the oil and gas market. Looking ahead, we expect sales to improve in the second half of the year, driven by demand in data center-related markets, partially offset by ongoing softness in the oil and gas market.</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is focused on leading the business through a growth phase with a stronger balance sheet while strategically prioritizing products that demonstrate strong demand and higher gross margins. Consistent with those goals, the Company is actively pursuing several initiatives to enhance and expand manufacturing capacity to meet the increasing demand from data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222885"/>
                <wp:effectExtent l="0" t="0" r="0" b="0"/>
                <wp:wrapNone/>
                <wp:docPr id="31" name="Frame3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before="120" w:after="120"/>
        <w:jc w:val="both"/>
        <w:rPr/>
      </w:pPr>
      <w:r>
        <w:rPr/>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center markets. Pivoting the focus to these markets will drive net sales growth and profitability. Through expanded capacity and strategic partnerships, management expects this positive trend to continue. </w:t>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PSI’s operating results are influenced by macroeconomic and geopolitical conditions, including recent softening in the oil and gas sector. In response, the Company is actively managing capital allocation and operating expenses while adjusting commercial strategies.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 addition to prioritizing gross profit, the Company is committed to efficiently managing expenses, including streamlining operating expenses and prioritizing certain R&amp;D investments in support of long-term growth objectives. The Company is committed to focusing on growth opportunities and investment while also optimizing its cost structure to enhance growth and profitability, ultimately delivering sustained value to our shareholders.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has experienced tariff costs associated with products in its supply chain. The Supreme Court's decision to strike down certain tariffs and the administration's response have created significant uncertainty regarding the scope, rate, duration, and legal authority for future tariffs, as well as the timing, process, and likelihood of recovering tariffs previously paid. We are actively assessing the evolving tariff environment and are committed to proactively mitigating any associated risks through strategic sourcing, pricing actions, and supply chain agility.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potential for continued economic uncertainty and unfavorable oil and gas market dynamics may have a material adverse impact on the levels of future customer orders and the Company’s future business operations, financial condition and liquidity. </w:t>
      </w:r>
    </w:p>
    <w:p>
      <w:pPr>
        <w:pStyle w:val="TextBody"/>
        <w:bidi w:val="0"/>
        <w:spacing w:lineRule="auto" w:line="288" w:before="120" w:after="120"/>
        <w:jc w:val="both"/>
        <w:rPr/>
      </w:pPr>
      <w:r>
        <w:rPr>
          <w:rFonts w:ascii="Times New Roman;serif" w:hAnsi="Times New Roman;serif"/>
          <w:b w:val="false"/>
          <w:color w:val="000000"/>
          <w:sz w:val="20"/>
          <w:shd w:fill="FFFFFF" w:val="clear"/>
        </w:rPr>
        <w:t>The Company is party to several legal contingencies. Se</w:t>
      </w:r>
      <w:r>
        <w:rPr>
          <w:rFonts w:ascii="Times New Roman;serif" w:hAnsi="Times New Roman;serif"/>
          <w:b w:val="false"/>
          <w:color w:val="000000"/>
          <w:sz w:val="20"/>
        </w:rPr>
        <w:t xml:space="preserve">e </w:t>
      </w:r>
      <w:r>
        <w:rPr>
          <w:rFonts w:ascii="Times New Roman;serif" w:hAnsi="Times New Roman;serif"/>
          <w:b w:val="false"/>
          <w:color w:val="000000"/>
          <w:sz w:val="20"/>
          <w:shd w:fill="FFFFFF" w:val="clear"/>
        </w:rPr>
        <w:t>Note 11.</w:t>
      </w:r>
      <w:r>
        <w:rPr>
          <w:color w:val="000000"/>
        </w:rPr>
        <w:t xml:space="preserve"> </w:t>
      </w:r>
      <w:r>
        <w:rPr>
          <w:rFonts w:ascii="Times New Roman;serif" w:hAnsi="Times New Roman;serif"/>
          <w:b w:val="false"/>
          <w:i/>
          <w:color w:val="000000"/>
          <w:sz w:val="20"/>
        </w:rPr>
        <w:t>Commitments and Contingencies</w:t>
      </w:r>
      <w:r>
        <w:rPr>
          <w:color w:val="000000"/>
        </w:rPr>
        <w:t xml:space="preserve"> </w:t>
      </w:r>
      <w:r>
        <w:rPr>
          <w:rFonts w:ascii="Times New Roman;serif" w:hAnsi="Times New Roman;serif"/>
          <w:b w:val="false"/>
          <w:color w:val="000000"/>
          <w:sz w:val="20"/>
        </w:rPr>
        <w:t xml:space="preserve">for further discussion of the Company’s indemnification obligations.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Given ongoing variability in order timing and market conditions, the Company is not providing formal full-year guidance at this time. Based on current visibility, the Company currently expects second-quarter 2026 revenue to be generally consistent with the first quarter on a sequential basis. The Company anticipates stronger sales growth in the second half of 2026, approximately in line with sales in the second half of 2025, as larger Power Systems orders move into production and are recognized as revenue. However, the timing and ultimate volume of those shipments remain subject to customer scheduling, manufacturing throughput, supply chain factors and other variables. There can be no assurance that those orders will translate to a uniformly stronger second half. Continued softness in the oil and gas end market is expected to weigh on quarterly revenue trends, and capacity ramp-up activities at the Company’s Wisconsin operations and their related cost effects on gross margin are expected to continue.</w:t>
      </w:r>
    </w:p>
    <w:p>
      <w:pPr>
        <w:pStyle w:val="TextBody"/>
        <w:bidi w:val="0"/>
        <w:spacing w:lineRule="auto" w:line="288" w:before="120" w:after="120"/>
        <w:jc w:val="both"/>
        <w:rPr/>
      </w:pPr>
      <w:r>
        <w:rPr>
          <w:rFonts w:ascii="Times New Roman;serif" w:hAnsi="Times New Roman;serif"/>
          <w:b/>
          <w:i/>
          <w:color w:val="000000"/>
          <w:sz w:val="20"/>
        </w:rPr>
        <w:t>Strategic Initiatives/Growth Strategies</w:t>
      </w:r>
      <w:r>
        <w:rPr>
          <w:rFonts w:ascii="Times New Roman;serif" w:hAnsi="Times New Roman;serif"/>
          <w:b w:val="false"/>
          <w:color w:val="000000"/>
          <w:sz w:val="20"/>
        </w:rPr>
        <w:t>: The Company has initiated various business objectives aimed at improving profitability, streamlining processes, strengthening the business and focusing on achieving growth in higher-return product lines. Central to this plan is the Company’s increased emphasis on power systems product offerings through new product development and investments, in addition to leveraging the Company’s relationship with Weichai. With the recent introduction of numerous natural gas and diesel engines, coupled with its existing strong product lineup, the Company believes that it has a solid foundation to achieve long-term growth, particularly within the power systems market.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222885"/>
                <wp:effectExtent l="0" t="0" r="0" b="0"/>
                <wp:wrapNone/>
                <wp:docPr id="32" name="Frame3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before="120" w:after="120"/>
        <w:jc w:val="both"/>
        <w:rPr/>
      </w:pPr>
      <w:r>
        <w:rPr/>
      </w: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120" w:after="240"/>
        <w:jc w:val="both"/>
        <w:rPr/>
      </w:pPr>
      <w:r>
        <w:rPr>
          <w:rFonts w:ascii="Times New Roman;serif" w:hAnsi="Times New Roman;serif"/>
          <w:b/>
          <w:i/>
          <w:color w:val="000000"/>
          <w:sz w:val="20"/>
        </w:rPr>
        <w:t xml:space="preserve">Results of operations for the three months ended March 31, 2026 compared with the three months ended March 31, 2025 </w:t>
      </w:r>
      <w:r>
        <w:rPr>
          <w:rFonts w:ascii="Times New Roman;serif" w:hAnsi="Times New Roman;serif"/>
          <w:b/>
          <w:color w:val="000000"/>
          <w:sz w:val="20"/>
        </w:rPr>
        <w:t>(UNAUDITED)</w:t>
      </w:r>
      <w:r>
        <w:rPr>
          <w:rFonts w:ascii="Times New Roman;serif" w:hAnsi="Times New Roman;serif"/>
          <w:b w:val="false"/>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1619"/>
        <w:gridCol w:w="1291"/>
        <w:gridCol w:w="1297"/>
        <w:gridCol w:w="109"/>
        <w:gridCol w:w="109"/>
        <w:gridCol w:w="109"/>
        <w:gridCol w:w="210"/>
        <w:gridCol w:w="790"/>
        <w:gridCol w:w="274"/>
        <w:gridCol w:w="116"/>
        <w:gridCol w:w="116"/>
        <w:gridCol w:w="116"/>
        <w:gridCol w:w="210"/>
        <w:gridCol w:w="790"/>
        <w:gridCol w:w="274"/>
        <w:gridCol w:w="109"/>
        <w:gridCol w:w="109"/>
        <w:gridCol w:w="109"/>
        <w:gridCol w:w="196"/>
        <w:gridCol w:w="686"/>
        <w:gridCol w:w="256"/>
        <w:gridCol w:w="109"/>
        <w:gridCol w:w="109"/>
        <w:gridCol w:w="109"/>
        <w:gridCol w:w="204"/>
        <w:gridCol w:w="204"/>
        <w:gridCol w:w="575"/>
      </w:tblGrid>
      <w:tr>
        <w:trPr/>
        <w:tc>
          <w:tcPr>
            <w:tcW w:w="1619"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r>
      <w:tr>
        <w:trPr/>
        <w:tc>
          <w:tcPr>
            <w:tcW w:w="42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 thousands, except per share 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r>
      <w:tr>
        <w:trPr/>
        <w:tc>
          <w:tcPr>
            <w:tcW w:w="420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Net sales</w:t>
            </w:r>
          </w:p>
          <w:p>
            <w:pPr>
              <w:pStyle w:val="TableContents"/>
              <w:bidi w:val="0"/>
              <w:spacing w:lineRule="auto" w:line="240" w:before="0" w:after="0"/>
              <w:jc w:val="left"/>
              <w:rPr/>
            </w:pPr>
            <w:r>
              <w:rPr>
                <w:rFonts w:ascii="Times New Roman;serif" w:hAnsi="Times New Roman;serif"/>
                <w:b w:val="false"/>
                <w:color w:val="000000"/>
                <w:sz w:val="18"/>
              </w:rPr>
              <w:t xml:space="preserve">(to related parties </w:t>
            </w:r>
            <w:r>
              <w:rPr>
                <w:rFonts w:ascii="Times New Roman;serif" w:hAnsi="Times New Roman;serif"/>
                <w:b w:val="false"/>
                <w:color w:val="000000"/>
                <w:sz w:val="18"/>
                <w:shd w:fill="CCEEFF" w:val="clear"/>
              </w:rPr>
              <w:t>$9</w:t>
            </w:r>
            <w:r>
              <w:rPr>
                <w:color w:val="000000"/>
              </w:rPr>
              <w:t xml:space="preserve"> </w:t>
            </w:r>
            <w:r>
              <w:rPr>
                <w:rFonts w:ascii="Times New Roman;serif" w:hAnsi="Times New Roman;serif"/>
                <w:b w:val="false"/>
                <w:color w:val="000000"/>
                <w:sz w:val="18"/>
              </w:rPr>
              <w:t xml:space="preserve">and </w:t>
            </w:r>
            <w:r>
              <w:rPr>
                <w:rFonts w:ascii="Times New Roman;serif" w:hAnsi="Times New Roman;serif"/>
                <w:b w:val="false"/>
                <w:color w:val="000000"/>
                <w:sz w:val="18"/>
                <w:shd w:fill="CCEEFF" w:val="clear"/>
              </w:rPr>
              <w:t>$464</w:t>
            </w:r>
            <w:r>
              <w:rPr>
                <w:color w:val="000000"/>
              </w:rPr>
              <w:t xml:space="preserve"> </w:t>
            </w:r>
            <w:r>
              <w:rPr>
                <w:rFonts w:ascii="Times New Roman;serif" w:hAnsi="Times New Roman;serif"/>
                <w:b w:val="false"/>
                <w:color w:val="000000"/>
                <w:sz w:val="18"/>
              </w:rPr>
              <w:t>for the three months ended March 31, 2026 and 2025,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128,592 </w:t>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135,446 </w:t>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(6,854)</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5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20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Cost of sales</w:t>
            </w:r>
          </w:p>
          <w:p>
            <w:pPr>
              <w:pStyle w:val="TableContents"/>
              <w:bidi w:val="0"/>
              <w:spacing w:lineRule="auto" w:line="240" w:before="0" w:after="0"/>
              <w:jc w:val="left"/>
              <w:rPr/>
            </w:pPr>
            <w:r>
              <w:rPr>
                <w:rFonts w:ascii="Times New Roman;serif" w:hAnsi="Times New Roman;serif"/>
                <w:b w:val="false"/>
                <w:color w:val="000000"/>
                <w:sz w:val="18"/>
              </w:rPr>
              <w:t xml:space="preserve">(derived from related party net sales </w:t>
            </w:r>
            <w:r>
              <w:rPr>
                <w:rFonts w:ascii="Times New Roman;serif" w:hAnsi="Times New Roman;serif"/>
                <w:b w:val="false"/>
                <w:color w:val="000000"/>
                <w:sz w:val="18"/>
                <w:shd w:fill="FFFFFF" w:val="clear"/>
              </w:rPr>
              <w:t>$5</w:t>
            </w:r>
            <w:r>
              <w:rPr>
                <w:color w:val="000000"/>
              </w:rPr>
              <w:t xml:space="preserve"> </w:t>
            </w:r>
            <w:r>
              <w:rPr>
                <w:rFonts w:ascii="Times New Roman;serif" w:hAnsi="Times New Roman;serif"/>
                <w:b w:val="false"/>
                <w:color w:val="000000"/>
                <w:sz w:val="18"/>
              </w:rPr>
              <w:t xml:space="preserve">and </w:t>
            </w:r>
            <w:r>
              <w:rPr>
                <w:rFonts w:ascii="Times New Roman;serif" w:hAnsi="Times New Roman;serif"/>
                <w:b w:val="false"/>
                <w:color w:val="000000"/>
                <w:sz w:val="18"/>
                <w:shd w:fill="FFFFFF" w:val="clear"/>
              </w:rPr>
              <w:t>$316</w:t>
            </w:r>
            <w:r>
              <w:rPr>
                <w:color w:val="000000"/>
              </w:rPr>
              <w:t xml:space="preserve"> </w:t>
            </w:r>
            <w:r>
              <w:rPr>
                <w:rFonts w:ascii="Times New Roman;serif" w:hAnsi="Times New Roman;serif"/>
                <w:b w:val="false"/>
                <w:color w:val="000000"/>
                <w:sz w:val="18"/>
              </w:rPr>
              <w:t>for the three months ended March 31, 2026 and 2025,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99,168 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95,152 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4,016 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5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2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29,424 </w:t>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40,294 </w:t>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(10,870)</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w:t>
            </w:r>
          </w:p>
        </w:tc>
        <w:tc>
          <w:tcPr>
            <w:tcW w:w="5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2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Gross margin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22.9 </w:t>
            </w:r>
          </w:p>
        </w:tc>
        <w:tc>
          <w:tcPr>
            <w:tcW w:w="2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29.7 </w:t>
            </w:r>
          </w:p>
        </w:tc>
        <w:tc>
          <w:tcPr>
            <w:tcW w:w="2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(6.8)</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4,805 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4,244 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5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2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Research and development expenses as a % of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3.7 </w:t>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3.1 </w:t>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0.6 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12,977 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11,109 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5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2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Selling, general and administrative expenses as a % of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10.1 </w:t>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8.2 </w:t>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1.9 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42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249 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307 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w:t>
            </w:r>
          </w:p>
        </w:tc>
        <w:tc>
          <w:tcPr>
            <w:tcW w:w="5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2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18,031 </w:t>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15,660 </w:t>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2,371 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5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2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Operating income</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11,393 </w:t>
            </w:r>
          </w:p>
        </w:tc>
        <w:tc>
          <w:tcPr>
            <w:tcW w:w="2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24,634 </w:t>
            </w:r>
          </w:p>
        </w:tc>
        <w:tc>
          <w:tcPr>
            <w:tcW w:w="2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(13,241)</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w:t>
            </w:r>
          </w:p>
        </w:tc>
        <w:tc>
          <w:tcPr>
            <w:tcW w:w="5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2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expense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Interest expense (from related parties $0 and $415 for the three months ended March 31, 2026 and 2025,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1,745 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1,766 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5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4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42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expense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NM</w:t>
            </w:r>
          </w:p>
        </w:tc>
      </w:tr>
      <w:tr>
        <w:trPr/>
        <w:tc>
          <w:tcPr>
            <w:tcW w:w="42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other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1,660 </w:t>
            </w:r>
          </w:p>
        </w:tc>
        <w:tc>
          <w:tcPr>
            <w:tcW w:w="2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1,766 </w:t>
            </w:r>
          </w:p>
        </w:tc>
        <w:tc>
          <w:tcPr>
            <w:tcW w:w="2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5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2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Income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9,733 </w:t>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22,868 </w:t>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(13,135)</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w:t>
            </w:r>
          </w:p>
        </w:tc>
        <w:tc>
          <w:tcPr>
            <w:tcW w:w="5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2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expense</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2,433 </w:t>
            </w:r>
          </w:p>
        </w:tc>
        <w:tc>
          <w:tcPr>
            <w:tcW w:w="2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3,786 </w:t>
            </w:r>
          </w:p>
        </w:tc>
        <w:tc>
          <w:tcPr>
            <w:tcW w:w="2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(1,353)</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w:t>
            </w:r>
          </w:p>
        </w:tc>
        <w:tc>
          <w:tcPr>
            <w:tcW w:w="5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2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7,300 </w:t>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19,082 </w:t>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(11,782)</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w:t>
            </w:r>
          </w:p>
        </w:tc>
        <w:tc>
          <w:tcPr>
            <w:tcW w:w="5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2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Earnings per common share:</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0.32 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0.83 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w:t>
            </w:r>
          </w:p>
        </w:tc>
        <w:tc>
          <w:tcPr>
            <w:tcW w:w="5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2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0.32 </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0.83 </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(0.51)</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w:t>
            </w:r>
          </w:p>
        </w:tc>
        <w:tc>
          <w:tcPr>
            <w:tcW w:w="5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2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Non-GAAP Financial Measures: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Adjusted net income </w:t>
            </w:r>
            <w:r>
              <w:rPr>
                <w:rFonts w:ascii="Times New Roman;serif" w:hAnsi="Times New Roman;serif"/>
                <w:b w:val="false"/>
                <w:color w:val="000000"/>
                <w:sz w:val="12"/>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8,005 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19,235 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(11,230)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w:t>
            </w:r>
          </w:p>
        </w:tc>
        <w:tc>
          <w:tcPr>
            <w:tcW w:w="5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20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Adjusted net income per share – diluted</w:t>
            </w:r>
            <w:r>
              <w:rPr>
                <w:rFonts w:ascii="Times New Roman;serif" w:hAnsi="Times New Roman;serif"/>
                <w:b w:val="false"/>
                <w:color w:val="000000"/>
                <w:sz w:val="12"/>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0.36 </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0.83 </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(0.47)</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w:t>
            </w:r>
          </w:p>
        </w:tc>
        <w:tc>
          <w:tcPr>
            <w:tcW w:w="5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20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EBITDA </w:t>
            </w:r>
            <w:r>
              <w:rPr>
                <w:rFonts w:ascii="Times New Roman;serif" w:hAnsi="Times New Roman;serif"/>
                <w:b w:val="false"/>
                <w:color w:val="000000"/>
                <w:sz w:val="12"/>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13,170 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25,916 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(12,746)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w:t>
            </w:r>
          </w:p>
        </w:tc>
        <w:tc>
          <w:tcPr>
            <w:tcW w:w="5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20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Adjusted EBITDA </w:t>
            </w:r>
            <w:r>
              <w:rPr>
                <w:rFonts w:ascii="Times New Roman;serif" w:hAnsi="Times New Roman;serif"/>
                <w:b w:val="false"/>
                <w:color w:val="000000"/>
                <w:sz w:val="12"/>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13,875 </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26,069 </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(12,194)</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w:t>
            </w:r>
          </w:p>
        </w:tc>
        <w:tc>
          <w:tcPr>
            <w:tcW w:w="5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0" w:after="0"/>
        <w:ind w:left="0" w:right="0" w:hanging="720"/>
        <w:jc w:val="both"/>
        <w:rPr>
          <w:rFonts w:ascii="Times New Roman;serif" w:hAnsi="Times New Roman;serif"/>
          <w:b w:val="false"/>
          <w:color w:val="000000"/>
          <w:sz w:val="16"/>
        </w:rPr>
      </w:pPr>
      <w:r>
        <w:rPr>
          <w:rFonts w:ascii="Times New Roman;serif" w:hAnsi="Times New Roman;serif"/>
          <w:b w:val="false"/>
          <w:color w:val="000000"/>
          <w:sz w:val="16"/>
        </w:rPr>
        <w:t xml:space="preserve">NM    Not meaningful </w:t>
      </w:r>
    </w:p>
    <w:p>
      <w:pPr>
        <w:pStyle w:val="TextBody"/>
        <w:bidi w:val="0"/>
        <w:spacing w:lineRule="auto" w:line="288" w:before="0" w:after="0"/>
        <w:ind w:left="0" w:right="0" w:hanging="720"/>
        <w:jc w:val="both"/>
        <w:rPr>
          <w:rFonts w:ascii="Times New Roman;serif" w:hAnsi="Times New Roman;serif"/>
          <w:b w:val="false"/>
          <w:color w:val="000000"/>
          <w:sz w:val="16"/>
        </w:rPr>
      </w:pPr>
      <w:r>
        <w:rPr>
          <w:rFonts w:ascii="Times New Roman;serif" w:hAnsi="Times New Roman;serif"/>
          <w:b w:val="false"/>
          <w:color w:val="000000"/>
          <w:sz w:val="16"/>
        </w:rPr>
        <w:t>*    See reconciliation of non-GAAP financial measures to GAAP results below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222885"/>
                <wp:effectExtent l="0" t="0" r="0" b="0"/>
                <wp:wrapNone/>
                <wp:docPr id="33" name="Frame3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before="120" w:after="120"/>
        <w:jc w:val="both"/>
        <w:rPr/>
      </w:pPr>
      <w:r>
        <w:rPr/>
      </w:r>
    </w:p>
    <w:p>
      <w:pPr>
        <w:pStyle w:val="TextBody"/>
        <w:bidi w:val="0"/>
        <w:spacing w:lineRule="auto" w:line="288" w:before="120" w:after="12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Net Sales</w:t>
      </w:r>
    </w:p>
    <w:p>
      <w:pPr>
        <w:pStyle w:val="TextBody"/>
        <w:bidi w:val="0"/>
        <w:spacing w:lineRule="auto" w:line="288" w:before="120" w:after="120"/>
        <w:jc w:val="both"/>
        <w:rPr/>
      </w:pPr>
      <w:r>
        <w:rPr>
          <w:rFonts w:ascii="Times New Roman;serif" w:hAnsi="Times New Roman;serif"/>
          <w:b w:val="false"/>
          <w:color w:val="000000"/>
          <w:sz w:val="20"/>
          <w:shd w:fill="FFFFFF" w:val="clear"/>
        </w:rPr>
        <w:t xml:space="preserve">Net sales for the first quarter of 2026 were $128.6 million, a decrease of $6.9 million, or 5%, compared to the first quarter of 2025. </w:t>
      </w:r>
      <w:r>
        <w:rPr>
          <w:rFonts w:ascii="Times New Roman;serif" w:hAnsi="Times New Roman;serif"/>
          <w:b w:val="false"/>
          <w:color w:val="000000"/>
          <w:sz w:val="20"/>
        </w:rPr>
        <w:t xml:space="preserve">The decrease reflected lower sales in the power systems end market of </w:t>
      </w:r>
      <w:r>
        <w:rPr>
          <w:rFonts w:ascii="Times New Roman;serif" w:hAnsi="Times New Roman;serif"/>
          <w:b w:val="false"/>
          <w:color w:val="000000"/>
          <w:sz w:val="20"/>
          <w:shd w:fill="FFFFFF" w:val="clear"/>
        </w:rPr>
        <w:t>$10.2 million</w:t>
      </w:r>
      <w:r>
        <w:rPr>
          <w:rFonts w:ascii="Times New Roman;serif" w:hAnsi="Times New Roman;serif"/>
          <w:b w:val="false"/>
          <w:color w:val="000000"/>
          <w:sz w:val="20"/>
        </w:rPr>
        <w:t>, partially offset by increases of</w:t>
      </w:r>
      <w:r>
        <w:rPr>
          <w:color w:val="000000"/>
          <w:shd w:fill="FFFFFF" w:val="clear"/>
        </w:rPr>
        <w:t xml:space="preserve"> </w:t>
      </w:r>
      <w:r>
        <w:rPr>
          <w:rFonts w:ascii="Times New Roman;serif" w:hAnsi="Times New Roman;serif"/>
          <w:b w:val="false"/>
          <w:color w:val="000000"/>
          <w:sz w:val="20"/>
          <w:shd w:fill="FFFFFF" w:val="clear"/>
        </w:rPr>
        <w:t xml:space="preserve">$3.0 million and $0.3 million </w:t>
      </w:r>
      <w:r>
        <w:rPr>
          <w:rFonts w:ascii="Times New Roman;serif" w:hAnsi="Times New Roman;serif"/>
          <w:b w:val="false"/>
          <w:color w:val="000000"/>
          <w:sz w:val="20"/>
        </w:rPr>
        <w:t>in the industrial and transportation end markets, respectively. Sales in the power systems end market declined primarily due to softness in oil and gas markets, together with uneven order patterns and shipment timing for data center-related products. However, the timing and ultimate volume of related shipments remain subject to customer scheduling, manufacturing throughput, supply-chain factors, and other variables, and the Company is not predicting any specific level of data center revenue in any future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Gross Profit</w:t>
      </w:r>
    </w:p>
    <w:p>
      <w:pPr>
        <w:pStyle w:val="TextBody"/>
        <w:bidi w:val="0"/>
        <w:spacing w:lineRule="auto" w:line="288" w:before="120" w:after="120"/>
        <w:jc w:val="both"/>
        <w:rPr/>
      </w:pPr>
      <w:r>
        <w:rPr>
          <w:rFonts w:ascii="Times New Roman;serif" w:hAnsi="Times New Roman;serif"/>
          <w:b w:val="false"/>
          <w:color w:val="000000"/>
          <w:sz w:val="20"/>
          <w:shd w:fill="FFFFFF" w:val="clear"/>
        </w:rPr>
        <w:t xml:space="preserve">Gross profit for the first quarter of 2026 was $29.4 million, a </w:t>
      </w:r>
      <w:r>
        <w:rPr>
          <w:rFonts w:ascii="Times New Roman;serif" w:hAnsi="Times New Roman;serif"/>
          <w:b w:val="false"/>
          <w:color w:val="000000"/>
          <w:sz w:val="20"/>
        </w:rPr>
        <w:t>decrease</w:t>
      </w:r>
      <w:r>
        <w:rPr>
          <w:color w:val="000000"/>
          <w:shd w:fill="FFFFFF" w:val="clear"/>
        </w:rPr>
        <w:t xml:space="preserve"> </w:t>
      </w:r>
      <w:r>
        <w:rPr>
          <w:rFonts w:ascii="Times New Roman;serif" w:hAnsi="Times New Roman;serif"/>
          <w:b w:val="false"/>
          <w:color w:val="000000"/>
          <w:sz w:val="20"/>
          <w:shd w:fill="FFFFFF" w:val="clear"/>
        </w:rPr>
        <w:t xml:space="preserve">of $10.9 million, or 27%, compared to the first quarter of 2025. Gross margin in the first quarter of 2026 was 22.9%, compared to 29.7% in the same period last year. </w:t>
      </w:r>
      <w:r>
        <w:rPr>
          <w:rFonts w:ascii="Times New Roman;serif" w:hAnsi="Times New Roman;serif"/>
          <w:b w:val="false"/>
          <w:color w:val="000000"/>
          <w:sz w:val="20"/>
        </w:rPr>
        <w:t>Gross margin reflected a lower mix of oil and gas products, together with elevated production costs associated with capacity ramp-up activities supporting data center-related applications at the Company’s Wisconsin operations. On a sequential basis, gross margin improved by approximately 100 basis points compared to the fourth quarter of 2025, owing in part to the Company’s efforts to improve operational efficiency in Wisconsin, but was partially offset by an unfavorable product mix in the first quarter. The Company’s capacity ramp-up activities at its Wisconsin operations are continuing, and the Company expects related production costs to persist; the trajectory of any further sequential improvement remains subject to product mix, throughput and other operational factors.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Research and Development Expenses</w:t>
      </w:r>
    </w:p>
    <w:p>
      <w:pPr>
        <w:pStyle w:val="TextBody"/>
        <w:bidi w:val="0"/>
        <w:spacing w:lineRule="auto" w:line="288" w:before="120" w:after="120"/>
        <w:jc w:val="both"/>
        <w:rPr/>
      </w:pPr>
      <w:r>
        <w:rPr>
          <w:rFonts w:ascii="Times New Roman;serif" w:hAnsi="Times New Roman;serif"/>
          <w:b w:val="false"/>
          <w:color w:val="000000"/>
          <w:sz w:val="20"/>
          <w:shd w:fill="FFFFFF" w:val="clear"/>
        </w:rPr>
        <w:t xml:space="preserve">Research and development expenses during the three months ended March 31, 2026 and 2025 were $4.8 million and $4.2 million, respectively. </w:t>
      </w:r>
      <w:r>
        <w:rPr>
          <w:rFonts w:ascii="Times New Roman;serif" w:hAnsi="Times New Roman;serif"/>
          <w:b w:val="false"/>
          <w:color w:val="000000"/>
          <w:sz w:val="20"/>
        </w:rPr>
        <w:t xml:space="preserve">The increase was primarily driven by higher R&amp;D program expenditures to support new programs in </w:t>
      </w:r>
      <w:r>
        <w:rPr>
          <w:rFonts w:ascii="Times New Roman;serif" w:hAnsi="Times New Roman;serif"/>
          <w:b w:val="false"/>
          <w:color w:val="000000"/>
          <w:sz w:val="20"/>
          <w:shd w:fill="FFFFFF" w:val="clear"/>
        </w:rPr>
        <w:t xml:space="preserve">2026 </w:t>
      </w:r>
      <w:r>
        <w:rPr>
          <w:rFonts w:ascii="Times New Roman;serif" w:hAnsi="Times New Roman;serif"/>
          <w:b w:val="false"/>
          <w:color w:val="000000"/>
          <w:sz w:val="20"/>
        </w:rPr>
        <w:t xml:space="preserve">and the recovery of R&amp;D costs from certain customers in </w:t>
      </w:r>
      <w:r>
        <w:rPr>
          <w:rFonts w:ascii="Times New Roman;serif" w:hAnsi="Times New Roman;serif"/>
          <w:b w:val="false"/>
          <w:color w:val="000000"/>
          <w:sz w:val="20"/>
          <w:shd w:fill="FFFFFF" w:val="clear"/>
        </w:rPr>
        <w:t>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Selling, General and Administrative Expenses</w:t>
      </w:r>
    </w:p>
    <w:p>
      <w:pPr>
        <w:pStyle w:val="TextBody"/>
        <w:bidi w:val="0"/>
        <w:spacing w:lineRule="auto" w:line="288" w:before="120" w:after="120"/>
        <w:jc w:val="both"/>
        <w:rPr/>
      </w:pPr>
      <w:r>
        <w:rPr>
          <w:rFonts w:ascii="Times New Roman;serif" w:hAnsi="Times New Roman;serif"/>
          <w:b w:val="false"/>
          <w:color w:val="000000"/>
          <w:sz w:val="20"/>
          <w:shd w:fill="FFFFFF" w:val="clear"/>
        </w:rPr>
        <w:t xml:space="preserve">Selling, general and administrative (“SG&amp;A”) expenses were $13.0 million during the first quarter of 2026, an </w:t>
      </w:r>
      <w:r>
        <w:rPr>
          <w:rFonts w:ascii="Times New Roman;serif" w:hAnsi="Times New Roman;serif"/>
          <w:b w:val="false"/>
          <w:color w:val="000000"/>
          <w:sz w:val="20"/>
        </w:rPr>
        <w:t>increase</w:t>
      </w:r>
      <w:r>
        <w:rPr>
          <w:color w:val="000000"/>
          <w:shd w:fill="FFFFFF" w:val="clear"/>
        </w:rPr>
        <w:t xml:space="preserve"> </w:t>
      </w:r>
      <w:r>
        <w:rPr>
          <w:rFonts w:ascii="Times New Roman;serif" w:hAnsi="Times New Roman;serif"/>
          <w:b w:val="false"/>
          <w:color w:val="000000"/>
          <w:sz w:val="20"/>
          <w:shd w:fill="FFFFFF" w:val="clear"/>
        </w:rPr>
        <w:t xml:space="preserve">of </w:t>
      </w:r>
      <w:r>
        <w:rPr>
          <w:rFonts w:ascii="Times New Roman;serif" w:hAnsi="Times New Roman;serif"/>
          <w:b w:val="false"/>
          <w:color w:val="000000"/>
          <w:sz w:val="20"/>
        </w:rPr>
        <w:t>$1.9 million, or 17%</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rPr>
        <w:t>compared to the same period in the prior year. The variance primarily reflects higher compensation expense related to the revaluation of previously awarded SARs, incremental selling and administrative expenses associated with MTL Manufacturing and Equipment, and other administrative and management expenses supporting the business in 2026.</w:t>
      </w:r>
      <w:r>
        <w:rPr>
          <w:color w:val="000000"/>
          <w:shd w:fill="FFFFFF" w:val="clear"/>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Interest Expense</w:t>
      </w:r>
    </w:p>
    <w:p>
      <w:pPr>
        <w:pStyle w:val="TextBody"/>
        <w:bidi w:val="0"/>
        <w:spacing w:lineRule="auto" w:line="288" w:before="120" w:after="120"/>
        <w:jc w:val="both"/>
        <w:rPr/>
      </w:pPr>
      <w:r>
        <w:rPr>
          <w:rFonts w:ascii="Times New Roman;serif" w:hAnsi="Times New Roman;serif"/>
          <w:b w:val="false"/>
          <w:color w:val="000000"/>
          <w:sz w:val="20"/>
          <w:shd w:fill="FFFFFF" w:val="clear"/>
        </w:rPr>
        <w:t xml:space="preserve">Interest expense was $1.7 million in the first quarter of 2026, compared to $1.8 million in the same period in the prior year, primarily due to lower overall effective interest rates. See Note 7. </w:t>
      </w:r>
      <w:r>
        <w:rPr>
          <w:rFonts w:ascii="Times New Roman;serif" w:hAnsi="Times New Roman;serif"/>
          <w:b w:val="false"/>
          <w:i/>
          <w:color w:val="000000"/>
          <w:sz w:val="20"/>
          <w:shd w:fill="FFFFFF" w:val="clear"/>
        </w:rPr>
        <w:t>Debt</w:t>
      </w:r>
      <w:r>
        <w:rPr>
          <w:rFonts w:ascii="Times New Roman;serif" w:hAnsi="Times New Roman;serif"/>
          <w:b w:val="false"/>
          <w:color w:val="000000"/>
          <w:sz w:val="20"/>
          <w:shd w:fill="FFFFFF" w:val="clear"/>
        </w:rPr>
        <w:t xml:space="preserve">, included in Part I, Item 1. </w:t>
      </w:r>
      <w:r>
        <w:rPr>
          <w:rFonts w:ascii="Times New Roman;serif" w:hAnsi="Times New Roman;serif"/>
          <w:b w:val="false"/>
          <w:i/>
          <w:color w:val="000000"/>
          <w:sz w:val="20"/>
          <w:shd w:fill="FFFFFF" w:val="clear"/>
        </w:rPr>
        <w:t>Financial Statements</w:t>
      </w:r>
      <w:r>
        <w:rPr>
          <w:rFonts w:ascii="Times New Roman;serif" w:hAnsi="Times New Roman;serif"/>
          <w:b w:val="false"/>
          <w:color w:val="000000"/>
          <w:sz w:val="20"/>
          <w:shd w:fill="FFFFFF" w:val="clear"/>
        </w:rPr>
        <w:t xml:space="preserve">, for additional information.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Income Tax Expense</w:t>
      </w:r>
    </w:p>
    <w:p>
      <w:pPr>
        <w:pStyle w:val="TextBody"/>
        <w:bidi w:val="0"/>
        <w:spacing w:lineRule="auto" w:line="288" w:before="120" w:after="120"/>
        <w:jc w:val="both"/>
        <w:rPr/>
      </w:pPr>
      <w:r>
        <w:rPr>
          <w:rFonts w:ascii="Times New Roman;serif" w:hAnsi="Times New Roman;serif"/>
          <w:b w:val="false"/>
          <w:color w:val="000000"/>
          <w:sz w:val="20"/>
          <w:shd w:fill="FFFFFF" w:val="clear"/>
        </w:rPr>
        <w:t>The Company recorded i</w:t>
      </w:r>
      <w:r>
        <w:rPr>
          <w:rFonts w:ascii="Times New Roman;serif" w:hAnsi="Times New Roman;serif"/>
          <w:b w:val="false"/>
          <w:color w:val="000000"/>
          <w:sz w:val="20"/>
        </w:rPr>
        <w:t>ncome tax expense</w:t>
      </w:r>
      <w:r>
        <w:rPr>
          <w:color w:val="000000"/>
          <w:shd w:fill="FFFFFF" w:val="clear"/>
        </w:rPr>
        <w:t xml:space="preserve"> </w:t>
      </w:r>
      <w:r>
        <w:rPr>
          <w:rFonts w:ascii="Times New Roman;serif" w:hAnsi="Times New Roman;serif"/>
          <w:b w:val="false"/>
          <w:color w:val="000000"/>
          <w:sz w:val="20"/>
          <w:shd w:fill="FFFFFF" w:val="clear"/>
        </w:rPr>
        <w:t xml:space="preserve">of $2.4 million and </w:t>
      </w:r>
      <w:r>
        <w:rPr>
          <w:rFonts w:ascii="Times New Roman;serif" w:hAnsi="Times New Roman;serif"/>
          <w:b w:val="false"/>
          <w:color w:val="000000"/>
          <w:sz w:val="20"/>
        </w:rPr>
        <w:t xml:space="preserve">$3.8 million </w:t>
      </w:r>
      <w:r>
        <w:rPr>
          <w:rFonts w:ascii="Times New Roman;serif" w:hAnsi="Times New Roman;serif"/>
          <w:b w:val="false"/>
          <w:color w:val="000000"/>
          <w:sz w:val="20"/>
          <w:shd w:fill="FFFFFF" w:val="clear"/>
        </w:rPr>
        <w:t xml:space="preserve">for the three months ended March 31, 2026 and 2025, respectively. The Company’s pretax income was $9.7 million for the three months ended March 31, 2026, compared to a pretax income of $22.9 million for the three months ended March 31, 2025. The decrease was primarily driven by lower pre-tax income in 2026, partially offset by a higher effective tax rate. See Note 12. </w:t>
      </w:r>
      <w:r>
        <w:rPr>
          <w:rFonts w:ascii="Times New Roman;serif" w:hAnsi="Times New Roman;serif"/>
          <w:b w:val="false"/>
          <w:i/>
          <w:color w:val="000000"/>
          <w:sz w:val="20"/>
          <w:shd w:fill="FFFFFF" w:val="clear"/>
        </w:rPr>
        <w:t>Income Taxes</w:t>
      </w:r>
      <w:r>
        <w:rPr>
          <w:rFonts w:ascii="Times New Roman;serif" w:hAnsi="Times New Roman;serif"/>
          <w:b w:val="false"/>
          <w:color w:val="000000"/>
          <w:sz w:val="20"/>
          <w:shd w:fill="FFFFFF" w:val="clear"/>
        </w:rPr>
        <w:t xml:space="preserve">, included in Part 1, Item 1. </w:t>
      </w:r>
      <w:r>
        <w:rPr>
          <w:rFonts w:ascii="Times New Roman;serif" w:hAnsi="Times New Roman;serif"/>
          <w:b w:val="false"/>
          <w:i/>
          <w:color w:val="000000"/>
          <w:sz w:val="20"/>
          <w:shd w:fill="FFFFFF" w:val="clear"/>
        </w:rPr>
        <w:t>Financial Statements</w:t>
      </w:r>
      <w:r>
        <w:rPr>
          <w:rFonts w:ascii="Times New Roman;serif" w:hAnsi="Times New Roman;serif"/>
          <w:b w:val="false"/>
          <w:color w:val="000000"/>
          <w:sz w:val="20"/>
          <w:shd w:fill="FFFFFF" w:val="clear"/>
        </w:rPr>
        <w:t>, for additional information related to the Company’s income tax provision.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Non-GAAP Financial Measures</w:t>
      </w:r>
    </w:p>
    <w:p>
      <w:pPr>
        <w:pStyle w:val="TextBody"/>
        <w:bidi w:val="0"/>
        <w:spacing w:lineRule="auto" w:line="288" w:before="120" w:after="120"/>
        <w:jc w:val="both"/>
        <w:rPr/>
      </w:pPr>
      <w:r>
        <w:rPr>
          <w:rFonts w:ascii="Times New Roman;serif" w:hAnsi="Times New Roman;serif"/>
          <w:b w:val="false"/>
          <w:color w:val="000000"/>
          <w:sz w:val="20"/>
        </w:rPr>
        <w:t xml:space="preserve">In addition to the results provided in accordance with U.S. GAAP above, this report also includes non-GAAP (adjusted) financial measures. Non-GAAP financial measures provide insight into selected financial information and should be evaluated in the context in which they are presented. These non-GAAP financial measures have limitations as analytical tools and should not be considered in isolation from, or as a substitute for, financial information presented in compliance with U.S. GAAP, and non-GAAP financial measures as reported by the Company may not be comparable to similarly titled amounts reported by other companies. The non-GAAP financial measures should be considered in conjunction with the consolidated financial statements, including the related notes, and </w:t>
      </w:r>
      <w:r>
        <w:rPr>
          <w:rFonts w:ascii="Times New Roman;serif" w:hAnsi="Times New Roman;serif"/>
          <w:b w:val="false"/>
          <w:i/>
          <w:color w:val="000000"/>
          <w:sz w:val="20"/>
        </w:rPr>
        <w:t>Management’s Discussion and Analysis of Financial Condition and Results of Operations</w:t>
      </w:r>
      <w:r>
        <w:rPr>
          <w:color w:val="000000"/>
        </w:rPr>
        <w:t xml:space="preserve"> </w:t>
      </w:r>
      <w:r>
        <w:rPr>
          <w:rFonts w:ascii="Times New Roman;serif" w:hAnsi="Times New Roman;serif"/>
          <w:b w:val="false"/>
          <w:color w:val="000000"/>
          <w:sz w:val="20"/>
        </w:rPr>
        <w:t>included in this report. Management does not use these non-GAAP financial measures for any purpose other than the reasons stated below.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222885"/>
                <wp:effectExtent l="0" t="0" r="0" b="0"/>
                <wp:wrapNone/>
                <wp:docPr id="34" name="Frame3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before="120" w:after="120"/>
        <w:jc w:val="both"/>
        <w:rPr/>
      </w:pPr>
      <w:r>
        <w:rPr/>
      </w:r>
    </w:p>
    <w:tbl>
      <w:tblPr>
        <w:tblW w:w="6043" w:type="dxa"/>
        <w:jc w:val="left"/>
        <w:tblInd w:w="0" w:type="dxa"/>
        <w:tblLayout w:type="fixed"/>
        <w:tblCellMar>
          <w:top w:w="28" w:type="dxa"/>
          <w:left w:w="28" w:type="dxa"/>
          <w:bottom w:w="28" w:type="dxa"/>
          <w:right w:w="28" w:type="dxa"/>
        </w:tblCellMar>
      </w:tblPr>
      <w:tblGrid>
        <w:gridCol w:w="1060"/>
        <w:gridCol w:w="931"/>
        <w:gridCol w:w="933"/>
        <w:gridCol w:w="912"/>
        <w:gridCol w:w="912"/>
        <w:gridCol w:w="1295"/>
      </w:tblGrid>
      <w:tr>
        <w:trPr/>
        <w:tc>
          <w:tcPr>
            <w:tcW w:w="1060"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Non-GAAP Financial Measure</w:t>
            </w:r>
          </w:p>
        </w:tc>
        <w:tc>
          <w:tcPr>
            <w:tcW w:w="31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Comparable GAAP Financial Measure</w:t>
            </w:r>
          </w:p>
        </w:tc>
      </w:tr>
      <w:tr>
        <w:trPr/>
        <w:tc>
          <w:tcPr>
            <w:tcW w:w="29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net income</w:t>
            </w:r>
          </w:p>
        </w:tc>
        <w:tc>
          <w:tcPr>
            <w:tcW w:w="31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r>
      <w:tr>
        <w:trPr/>
        <w:tc>
          <w:tcPr>
            <w:tcW w:w="29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net income per share – diluted</w:t>
            </w:r>
          </w:p>
        </w:tc>
        <w:tc>
          <w:tcPr>
            <w:tcW w:w="3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per share – diluted</w:t>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EBITDA</w:t>
            </w:r>
          </w:p>
        </w:tc>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r>
      <w:tr>
        <w:trPr/>
        <w:tc>
          <w:tcPr>
            <w:tcW w:w="29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EBITDA</w:t>
            </w:r>
          </w:p>
        </w:tc>
        <w:tc>
          <w:tcPr>
            <w:tcW w:w="3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r>
    </w:tbl>
    <w:p>
      <w:pPr>
        <w:pStyle w:val="TextBody"/>
        <w:bidi w:val="0"/>
        <w:spacing w:lineRule="auto" w:line="288" w:before="14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believes that Adjusted net income, Adjusted net income per share – diluted, EBITDA, and Adjusted EBITDA provide relevant and useful information, which is widely used by analysts, investors and competitors in its industry as well as by the Company’s management in assessing the performance of the Company. Adjusted net income is defined as net income as adjusted for certain items that the Company believes are not indicative of its ongoing operating performance. Adjusted net income per share – diluted is a measure of the Company’s diluted earnings per common share adjusted for the impact of special items. EBITDA provides the Company with an understanding of earnings before the impact of investing and financing charges and income taxes. Adjusted EBITDA further excludes the effects of other non-cash charges and certain other items that do not reflect the ordinary earnings of the Company’s operations. </w:t>
      </w:r>
    </w:p>
    <w:p>
      <w:pPr>
        <w:pStyle w:val="TextBody"/>
        <w:bidi w:val="0"/>
        <w:spacing w:lineRule="auto" w:line="288" w:before="14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Adjusted net income, Adjusted net income per share – diluted, EBITDA, and Adjusted EBITDA are used by management for various purposes, including as a measure of performance of the Company’s operations and as a basis for strategic planning and forecasting. Adjusted net income, Adjusted net income per share – diluted, and Adjusted EBITDA may be useful to an investor because these measures are widely used to evaluate companies’ operating performance without regard to items excluded from the calculation of such measures, which can vary substantially from company to company depending on the accounting methods, the book value of assets, the capital structure and the method by which the assets were acquired, among other factors. They are not, however, intended as alternative measures of operating results or cash flow from operations as determined in accordance with U.S. GAAP.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a reconciliation from Net income to Adjusted net income for the three months ended March 31, 2026 and 2025:</w:t>
      </w:r>
    </w:p>
    <w:tbl>
      <w:tblPr>
        <w:tblW w:w="6101" w:type="dxa"/>
        <w:jc w:val="left"/>
        <w:tblInd w:w="0" w:type="dxa"/>
        <w:tblLayout w:type="fixed"/>
        <w:tblCellMar>
          <w:top w:w="28" w:type="dxa"/>
          <w:left w:w="28" w:type="dxa"/>
          <w:bottom w:w="28" w:type="dxa"/>
          <w:right w:w="28" w:type="dxa"/>
        </w:tblCellMar>
      </w:tblPr>
      <w:tblGrid>
        <w:gridCol w:w="765"/>
        <w:gridCol w:w="674"/>
        <w:gridCol w:w="676"/>
        <w:gridCol w:w="109"/>
        <w:gridCol w:w="109"/>
        <w:gridCol w:w="109"/>
        <w:gridCol w:w="291"/>
        <w:gridCol w:w="826"/>
        <w:gridCol w:w="162"/>
        <w:gridCol w:w="162"/>
        <w:gridCol w:w="162"/>
        <w:gridCol w:w="162"/>
        <w:gridCol w:w="291"/>
        <w:gridCol w:w="960"/>
        <w:gridCol w:w="162"/>
        <w:gridCol w:w="109"/>
        <w:gridCol w:w="109"/>
        <w:gridCol w:w="109"/>
        <w:gridCol w:w="154"/>
      </w:tblGrid>
      <w:tr>
        <w:trPr/>
        <w:tc>
          <w:tcPr>
            <w:tcW w:w="765"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7,300 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19,082 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9"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141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Stock-based compensation </w:t>
            </w:r>
            <w:r>
              <w:rPr>
                <w:rFonts w:ascii="Times New Roman;serif" w:hAnsi="Times New Roman;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424 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9"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141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9"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141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9"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141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9"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141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Severance </w:t>
            </w:r>
            <w:r>
              <w:rPr>
                <w:rFonts w:ascii="Times New Roman;serif" w:hAnsi="Times New Roman;serif"/>
                <w:b w:val="false"/>
                <w:color w:val="000000"/>
                <w:sz w:val="12"/>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9"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141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9"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141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Other legal matters </w:t>
            </w:r>
            <w:r>
              <w:rPr>
                <w:rFonts w:ascii="Times New Roman;serif" w:hAnsi="Times New Roman;serif"/>
                <w:b w:val="false"/>
                <w:color w:val="000000"/>
                <w:sz w:val="12"/>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9"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141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9"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141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9"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141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Adjusted 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8,005 </w:t>
            </w:r>
          </w:p>
        </w:tc>
        <w:tc>
          <w:tcPr>
            <w:tcW w:w="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19,235 </w:t>
            </w:r>
          </w:p>
        </w:tc>
        <w:tc>
          <w:tcPr>
            <w:tcW w:w="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4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a reconciliation from Net income per share – diluted to Adjusted net income per share – diluted for the three months ended March 31, 2026 and 2025:</w:t>
      </w:r>
    </w:p>
    <w:tbl>
      <w:tblPr>
        <w:tblW w:w="7180" w:type="dxa"/>
        <w:jc w:val="left"/>
        <w:tblInd w:w="0" w:type="dxa"/>
        <w:tblLayout w:type="fixed"/>
        <w:tblCellMar>
          <w:top w:w="28" w:type="dxa"/>
          <w:left w:w="28" w:type="dxa"/>
          <w:bottom w:w="28" w:type="dxa"/>
          <w:right w:w="28" w:type="dxa"/>
        </w:tblCellMar>
      </w:tblPr>
      <w:tblGrid>
        <w:gridCol w:w="1155"/>
        <w:gridCol w:w="1016"/>
        <w:gridCol w:w="1024"/>
        <w:gridCol w:w="109"/>
        <w:gridCol w:w="109"/>
        <w:gridCol w:w="109"/>
        <w:gridCol w:w="333"/>
        <w:gridCol w:w="793"/>
        <w:gridCol w:w="185"/>
        <w:gridCol w:w="185"/>
        <w:gridCol w:w="185"/>
        <w:gridCol w:w="185"/>
        <w:gridCol w:w="333"/>
        <w:gridCol w:w="793"/>
        <w:gridCol w:w="185"/>
        <w:gridCol w:w="109"/>
        <w:gridCol w:w="109"/>
        <w:gridCol w:w="109"/>
        <w:gridCol w:w="154"/>
      </w:tblGrid>
      <w:tr>
        <w:trPr/>
        <w:tc>
          <w:tcPr>
            <w:tcW w:w="1155"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7"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5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per share –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0.32 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0.83 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555"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Stock-based compensation </w:t>
            </w:r>
            <w:r>
              <w:rPr>
                <w:rFonts w:ascii="Times New Roman;serif" w:hAnsi="Times New Roman;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0.02 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555"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555"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555"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Severance </w:t>
            </w:r>
            <w:r>
              <w:rPr>
                <w:rFonts w:ascii="Times New Roman;serif" w:hAnsi="Times New Roman;serif"/>
                <w:b w:val="false"/>
                <w:color w:val="000000"/>
                <w:sz w:val="12"/>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0.01 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555"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555"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Other legal matters </w:t>
            </w:r>
            <w:r>
              <w:rPr>
                <w:rFonts w:ascii="Times New Roman;serif" w:hAnsi="Times New Roman;serif"/>
                <w:b w:val="false"/>
                <w:color w:val="000000"/>
                <w:sz w:val="12"/>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0.01 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555"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555"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Adjusted net income per share –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0.36 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0.83 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Diluted shares (in thousands)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23,063</w:t>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23,061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222885"/>
                <wp:effectExtent l="0" t="0" r="0" b="0"/>
                <wp:wrapNone/>
                <wp:docPr id="35" name="Frame3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before="120" w:after="120"/>
        <w:jc w:val="both"/>
        <w:rPr/>
      </w:pPr>
      <w:r>
        <w:rPr/>
      </w:r>
    </w:p>
    <w:p>
      <w:pPr>
        <w:pStyle w:val="TextBody"/>
        <w:bidi w:val="0"/>
        <w:spacing w:lineRule="auto" w:line="288" w:before="120" w:after="120"/>
        <w:jc w:val="both"/>
        <w:rPr/>
      </w:pPr>
      <w:r>
        <w:rPr>
          <w:rFonts w:ascii="Times New Roman;serif" w:hAnsi="Times New Roman;serif"/>
          <w:b w:val="false"/>
          <w:color w:val="000000"/>
          <w:sz w:val="20"/>
        </w:rPr>
        <w:t xml:space="preserve">The following table presents a reconciliation from </w:t>
      </w:r>
      <w:r>
        <w:rPr>
          <w:rFonts w:ascii="Times New Roman;serif" w:hAnsi="Times New Roman;serif"/>
          <w:b w:val="false"/>
          <w:color w:val="000000"/>
          <w:sz w:val="20"/>
          <w:shd w:fill="FFFFFF" w:val="clear"/>
        </w:rPr>
        <w:t>Net income</w:t>
      </w:r>
      <w:r>
        <w:rPr>
          <w:color w:val="000000"/>
        </w:rPr>
        <w:t xml:space="preserve"> </w:t>
      </w:r>
      <w:r>
        <w:rPr>
          <w:rFonts w:ascii="Times New Roman;serif" w:hAnsi="Times New Roman;serif"/>
          <w:b w:val="false"/>
          <w:color w:val="000000"/>
          <w:sz w:val="20"/>
        </w:rPr>
        <w:t>to EBITDA and Adjusted EBITDA for the three months ended March 31, 2026 and 2025:</w:t>
      </w:r>
    </w:p>
    <w:tbl>
      <w:tblPr>
        <w:tblW w:w="6428" w:type="dxa"/>
        <w:jc w:val="left"/>
        <w:tblInd w:w="0" w:type="dxa"/>
        <w:tblLayout w:type="fixed"/>
        <w:tblCellMar>
          <w:top w:w="28" w:type="dxa"/>
          <w:left w:w="28" w:type="dxa"/>
          <w:bottom w:w="28" w:type="dxa"/>
          <w:right w:w="28" w:type="dxa"/>
        </w:tblCellMar>
      </w:tblPr>
      <w:tblGrid>
        <w:gridCol w:w="886"/>
        <w:gridCol w:w="778"/>
        <w:gridCol w:w="781"/>
        <w:gridCol w:w="109"/>
        <w:gridCol w:w="109"/>
        <w:gridCol w:w="109"/>
        <w:gridCol w:w="279"/>
        <w:gridCol w:w="921"/>
        <w:gridCol w:w="155"/>
        <w:gridCol w:w="155"/>
        <w:gridCol w:w="155"/>
        <w:gridCol w:w="155"/>
        <w:gridCol w:w="279"/>
        <w:gridCol w:w="921"/>
        <w:gridCol w:w="155"/>
        <w:gridCol w:w="109"/>
        <w:gridCol w:w="109"/>
        <w:gridCol w:w="109"/>
        <w:gridCol w:w="154"/>
      </w:tblGrid>
      <w:tr>
        <w:trPr/>
        <w:tc>
          <w:tcPr>
            <w:tcW w:w="886"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5"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7,300 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19,082 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2,433 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3,786 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13,170 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25,916 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Stock-based compensation </w:t>
            </w:r>
            <w:r>
              <w:rPr>
                <w:rFonts w:ascii="Times New Roman;serif" w:hAnsi="Times New Roman;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Severance </w:t>
            </w:r>
            <w:r>
              <w:rPr>
                <w:rFonts w:ascii="Times New Roman;serif" w:hAnsi="Times New Roman;serif"/>
                <w:b w:val="false"/>
                <w:color w:val="000000"/>
                <w:sz w:val="12"/>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Other legal matters</w:t>
            </w:r>
            <w:r>
              <w:rPr>
                <w:color w:val="000000"/>
              </w:rPr>
              <w:t xml:space="preserve"> </w:t>
            </w:r>
            <w:r>
              <w:rPr>
                <w:rFonts w:ascii="Times New Roman;serif" w:hAnsi="Times New Roman;serif"/>
                <w:b w:val="false"/>
                <w:color w:val="000000"/>
                <w:sz w:val="12"/>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Adjusted 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13,875 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26,069 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720"/>
        <w:jc w:val="both"/>
        <w:rPr/>
      </w:pPr>
      <w:r>
        <w:rPr>
          <w:rFonts w:ascii="Times New Roman;serif" w:hAnsi="Times New Roman;serif"/>
          <w:b w:val="false"/>
          <w:color w:val="000000"/>
          <w:sz w:val="16"/>
          <w:shd w:fill="FFFFFF" w:val="clear"/>
        </w:rPr>
        <w:t>1.</w:t>
      </w:r>
      <w:r>
        <w:rPr>
          <w:rFonts w:ascii="Times New Roman;serif" w:hAnsi="Times New Roman;serif"/>
          <w:b w:val="false"/>
          <w:color w:val="000000"/>
          <w:sz w:val="16"/>
        </w:rPr>
        <w:t>Amounts reflect non-cash</w:t>
      </w:r>
      <w:r>
        <w:rPr>
          <w:color w:val="000000"/>
        </w:rPr>
        <w:t xml:space="preserve"> </w:t>
      </w:r>
      <w:r>
        <w:rPr>
          <w:rFonts w:ascii="Times New Roman;serif" w:hAnsi="Times New Roman;serif"/>
          <w:b w:val="false"/>
          <w:color w:val="000000"/>
          <w:sz w:val="16"/>
        </w:rPr>
        <w:t>stock-based compensation expense</w:t>
      </w:r>
      <w:r>
        <w:rPr>
          <w:color w:val="000000"/>
          <w:shd w:fill="FFFFFF" w:val="clear"/>
        </w:rPr>
        <w:t xml:space="preserve"> </w:t>
      </w:r>
      <w:r>
        <w:rPr>
          <w:rFonts w:ascii="Times New Roman;serif" w:hAnsi="Times New Roman;serif"/>
          <w:b w:val="false"/>
          <w:color w:val="000000"/>
          <w:sz w:val="16"/>
          <w:shd w:fill="FFFFFF" w:val="clear"/>
        </w:rPr>
        <w:t xml:space="preserve">for the three months ended March 31, 2026 and </w:t>
      </w:r>
      <w:r>
        <w:rPr>
          <w:rFonts w:ascii="Times New Roman;serif" w:hAnsi="Times New Roman;serif"/>
          <w:b w:val="false"/>
          <w:color w:val="000000"/>
          <w:sz w:val="16"/>
        </w:rPr>
        <w:t>2025</w:t>
      </w:r>
      <w:r>
        <w:rPr>
          <w:rFonts w:ascii="Times New Roman;serif" w:hAnsi="Times New Roman;serif"/>
          <w:b w:val="false"/>
          <w:color w:val="000000"/>
          <w:sz w:val="16"/>
          <w:shd w:fill="FFFFFF" w:val="clear"/>
        </w:rPr>
        <w:t>.</w:t>
      </w:r>
    </w:p>
    <w:p>
      <w:pPr>
        <w:pStyle w:val="TextBody"/>
        <w:bidi w:val="0"/>
        <w:spacing w:lineRule="auto" w:line="288" w:before="0" w:after="0"/>
        <w:ind w:left="0" w:right="0" w:hanging="720"/>
        <w:jc w:val="both"/>
        <w:rPr/>
      </w:pPr>
      <w:r>
        <w:rPr>
          <w:rFonts w:ascii="Times New Roman;serif" w:hAnsi="Times New Roman;serif"/>
          <w:b w:val="false"/>
          <w:color w:val="000000"/>
          <w:sz w:val="16"/>
          <w:shd w:fill="FFFFFF" w:val="clear"/>
        </w:rPr>
        <w:t>2.Amounts include severance expense</w:t>
      </w:r>
      <w:r>
        <w:rPr>
          <w:color w:val="000000"/>
        </w:rPr>
        <w:t xml:space="preserve"> </w:t>
      </w:r>
      <w:r>
        <w:rPr>
          <w:rFonts w:ascii="Times New Roman;serif" w:hAnsi="Times New Roman;serif"/>
          <w:b w:val="false"/>
          <w:color w:val="000000"/>
          <w:sz w:val="16"/>
        </w:rPr>
        <w:t xml:space="preserve">for the </w:t>
      </w:r>
      <w:r>
        <w:rPr>
          <w:rFonts w:ascii="Times New Roman;serif" w:hAnsi="Times New Roman;serif"/>
          <w:b w:val="false"/>
          <w:color w:val="000000"/>
          <w:sz w:val="16"/>
          <w:shd w:fill="FFFFFF" w:val="clear"/>
        </w:rPr>
        <w:t>three months ended March 31, 2026.</w:t>
      </w:r>
    </w:p>
    <w:p>
      <w:pPr>
        <w:pStyle w:val="TextBody"/>
        <w:bidi w:val="0"/>
        <w:spacing w:lineRule="auto" w:line="288" w:before="0" w:after="0"/>
        <w:ind w:left="0" w:right="0" w:hanging="720"/>
        <w:jc w:val="both"/>
        <w:rPr/>
      </w:pPr>
      <w:r>
        <w:rPr>
          <w:rFonts w:ascii="Times New Roman;serif" w:hAnsi="Times New Roman;serif"/>
          <w:b w:val="false"/>
          <w:color w:val="000000"/>
          <w:sz w:val="16"/>
          <w:shd w:fill="FFFFFF" w:val="clear"/>
        </w:rPr>
        <w:t>3.Amounts include legal settlements f</w:t>
      </w:r>
      <w:r>
        <w:rPr>
          <w:rFonts w:ascii="Times New Roman;serif" w:hAnsi="Times New Roman;serif"/>
          <w:b w:val="false"/>
          <w:color w:val="000000"/>
          <w:sz w:val="16"/>
        </w:rPr>
        <w:t>or the three months ended March 31, 2026.</w:t>
      </w:r>
    </w:p>
    <w:p>
      <w:pPr>
        <w:pStyle w:val="TextBody"/>
        <w:bidi w:val="0"/>
        <w:spacing w:before="0" w:after="0"/>
        <w:ind w:left="0" w:right="0" w:hanging="360"/>
        <w:jc w:val="both"/>
        <w:rPr/>
      </w:pPr>
      <w:r>
        <w:rPr/>
      </w:r>
    </w:p>
    <w:p>
      <w:pPr>
        <w:pStyle w:val="TextBody"/>
        <w:bidi w:val="0"/>
        <w:spacing w:before="0" w:after="0"/>
        <w:ind w:left="0" w:right="0" w:hanging="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Cash Flows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Cash was impacted as follows:</w:t>
      </w:r>
    </w:p>
    <w:tbl>
      <w:tblPr>
        <w:tblW w:w="10205" w:type="dxa"/>
        <w:jc w:val="left"/>
        <w:tblInd w:w="0" w:type="dxa"/>
        <w:tblLayout w:type="fixed"/>
        <w:tblCellMar>
          <w:top w:w="28" w:type="dxa"/>
          <w:left w:w="28" w:type="dxa"/>
          <w:bottom w:w="28" w:type="dxa"/>
          <w:right w:w="28" w:type="dxa"/>
        </w:tblCellMar>
      </w:tblPr>
      <w:tblGrid>
        <w:gridCol w:w="1597"/>
        <w:gridCol w:w="1348"/>
        <w:gridCol w:w="1353"/>
        <w:gridCol w:w="109"/>
        <w:gridCol w:w="109"/>
        <w:gridCol w:w="109"/>
        <w:gridCol w:w="260"/>
        <w:gridCol w:w="858"/>
        <w:gridCol w:w="144"/>
        <w:gridCol w:w="144"/>
        <w:gridCol w:w="144"/>
        <w:gridCol w:w="144"/>
        <w:gridCol w:w="260"/>
        <w:gridCol w:w="823"/>
        <w:gridCol w:w="144"/>
        <w:gridCol w:w="109"/>
        <w:gridCol w:w="109"/>
        <w:gridCol w:w="109"/>
        <w:gridCol w:w="196"/>
        <w:gridCol w:w="646"/>
        <w:gridCol w:w="109"/>
        <w:gridCol w:w="109"/>
        <w:gridCol w:w="109"/>
        <w:gridCol w:w="109"/>
        <w:gridCol w:w="238"/>
        <w:gridCol w:w="241"/>
        <w:gridCol w:w="575"/>
      </w:tblGrid>
      <w:tr>
        <w:trPr/>
        <w:tc>
          <w:tcPr>
            <w:tcW w:w="1597"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r>
      <w:tr>
        <w:trPr/>
        <w:tc>
          <w:tcPr>
            <w:tcW w:w="42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r>
      <w:tr>
        <w:trPr/>
        <w:tc>
          <w:tcPr>
            <w:tcW w:w="42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19,130 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8,811 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117 </w:t>
            </w:r>
          </w:p>
        </w:tc>
        <w:tc>
          <w:tcPr>
            <w:tcW w:w="5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2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investing activities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(13,801)</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(3,403)</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(10,398)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(306)</w:t>
            </w:r>
          </w:p>
        </w:tc>
        <w:tc>
          <w:tcPr>
            <w:tcW w:w="57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2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(740)</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(10,240)</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93 </w:t>
            </w:r>
          </w:p>
        </w:tc>
        <w:tc>
          <w:tcPr>
            <w:tcW w:w="5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2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increase (decrease) in cash, cash equivalents, and restricted cash</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4,589 </w:t>
            </w:r>
          </w:p>
        </w:tc>
        <w:tc>
          <w:tcPr>
            <w:tcW w:w="14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(4,832)</w:t>
            </w:r>
          </w:p>
        </w:tc>
        <w:tc>
          <w:tcPr>
            <w:tcW w:w="14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9,421 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195 </w:t>
            </w:r>
          </w:p>
        </w:tc>
        <w:tc>
          <w:tcPr>
            <w:tcW w:w="57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2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Capital expenditures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(1,890)</w:t>
            </w:r>
          </w:p>
        </w:tc>
        <w:tc>
          <w:tcPr>
            <w:tcW w:w="14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3"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(3,403)</w:t>
            </w:r>
          </w:p>
        </w:tc>
        <w:tc>
          <w:tcPr>
            <w:tcW w:w="14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1,513 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44 </w:t>
            </w:r>
          </w:p>
        </w:tc>
        <w:tc>
          <w:tcPr>
            <w:tcW w:w="57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120" w:after="12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Cash Flows for the Three Months Ended March 31, 2026</w:t>
      </w:r>
    </w:p>
    <w:p>
      <w:pPr>
        <w:pStyle w:val="TextBody"/>
        <w:bidi w:val="0"/>
        <w:spacing w:lineRule="auto" w:line="288" w:before="120" w:after="120"/>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Cash Flow from Operating Activities</w:t>
      </w:r>
    </w:p>
    <w:p>
      <w:pPr>
        <w:pStyle w:val="TextBody"/>
        <w:bidi w:val="0"/>
        <w:spacing w:lineRule="auto" w:line="288" w:before="120" w:after="120"/>
        <w:jc w:val="both"/>
        <w:rPr/>
      </w:pPr>
      <w:r>
        <w:rPr>
          <w:rFonts w:ascii="Times New Roman;serif" w:hAnsi="Times New Roman;serif"/>
          <w:b w:val="false"/>
          <w:color w:val="000000"/>
          <w:sz w:val="20"/>
          <w:shd w:fill="FFFFFF" w:val="clear"/>
        </w:rPr>
        <w:t xml:space="preserve">Net cash provided by operating activities was $19.1 million for the three months ended March 31, 2026, compared to $8.8 million for the three months ended March 31, 2025, representing an increase of $10.3 million in cash provided by operating activities year-over-year. The </w:t>
      </w:r>
      <w:r>
        <w:rPr>
          <w:rFonts w:ascii="Times New Roman;serif" w:hAnsi="Times New Roman;serif"/>
          <w:b w:val="false"/>
          <w:color w:val="000000"/>
          <w:sz w:val="20"/>
        </w:rPr>
        <w:t>increase</w:t>
      </w:r>
      <w:r>
        <w:rPr>
          <w:color w:val="000000"/>
          <w:shd w:fill="FFFFFF" w:val="clear"/>
        </w:rPr>
        <w:t xml:space="preserve"> </w:t>
      </w:r>
      <w:r>
        <w:rPr>
          <w:rFonts w:ascii="Times New Roman;serif" w:hAnsi="Times New Roman;serif"/>
          <w:b w:val="false"/>
          <w:color w:val="000000"/>
          <w:sz w:val="20"/>
          <w:shd w:fill="FFFFFF" w:val="clear"/>
        </w:rPr>
        <w:t>occurred despite a decrease in net income of $11.8 million, driven primarily by favorable changes in working capital. These changes included a significant source of cash from accounts receivable, reflecting improved collections in the current period, as well as a lower use of cash for inventory purchases compared to the prior</w:t>
        <w:noBreakHyphen/>
        <w:t>year period. These favorable impacts were partially offset by increased uses of cash related to accrued expenses and accounts payable during the three months ended March 31, 2026 compared to March 31, 2025.</w:t>
      </w:r>
    </w:p>
    <w:p>
      <w:pPr>
        <w:pStyle w:val="TextBody"/>
        <w:bidi w:val="0"/>
        <w:spacing w:lineRule="auto" w:line="288" w:before="0" w:after="0"/>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Cash Flow from Investing Activities</w:t>
      </w:r>
    </w:p>
    <w:p>
      <w:pPr>
        <w:pStyle w:val="TextBody"/>
        <w:bidi w:val="0"/>
        <w:spacing w:lineRule="auto" w:line="288" w:before="120" w:after="120"/>
        <w:jc w:val="both"/>
        <w:rPr/>
      </w:pPr>
      <w:r>
        <w:rPr>
          <w:rFonts w:ascii="Times New Roman;serif" w:hAnsi="Times New Roman;serif"/>
          <w:b w:val="false"/>
          <w:color w:val="000000"/>
          <w:sz w:val="20"/>
          <w:shd w:fill="FFFFFF" w:val="clear"/>
        </w:rPr>
        <w:t>Net cash used in investing activities was $13.8 million for the three months ended March 31, 2026, compared to cash used in investin</w:t>
      </w:r>
      <w:r>
        <w:rPr>
          <w:rFonts w:ascii="Times New Roman;serif" w:hAnsi="Times New Roman;serif"/>
          <w:b w:val="false"/>
          <w:color w:val="000000"/>
          <w:sz w:val="20"/>
        </w:rPr>
        <w:t>g activities of $3.4 million for the three months ended March 31, 2025</w:t>
      </w:r>
      <w:r>
        <w:rPr>
          <w:rFonts w:ascii="Times New Roman;serif" w:hAnsi="Times New Roman;serif"/>
          <w:b w:val="false"/>
          <w:color w:val="000000"/>
          <w:sz w:val="20"/>
          <w:shd w:fill="FFFFFF" w:val="clear"/>
        </w:rPr>
        <w:t>. For the three months ended March 31, 2026 and 2025, cash used in investing activities related to capital expenditures and the acquisition of MTL.</w:t>
      </w:r>
    </w:p>
    <w:p>
      <w:pPr>
        <w:pStyle w:val="TextBody"/>
        <w:bidi w:val="0"/>
        <w:spacing w:lineRule="auto" w:line="288" w:before="120" w:after="120"/>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Cash Flow from Financing Activities</w:t>
      </w:r>
    </w:p>
    <w:p>
      <w:pPr>
        <w:pStyle w:val="TextBody"/>
        <w:bidi w:val="0"/>
        <w:spacing w:lineRule="auto" w:line="288" w:before="120" w:after="120"/>
        <w:jc w:val="both"/>
        <w:rPr/>
      </w:pPr>
      <w:r>
        <w:rPr>
          <w:rFonts w:ascii="Times New Roman;serif" w:hAnsi="Times New Roman;serif"/>
          <w:b w:val="false"/>
          <w:color w:val="000000"/>
          <w:sz w:val="20"/>
        </w:rPr>
        <w:t xml:space="preserve">The Company used $0.7 million in cash from financing activities for </w:t>
      </w:r>
      <w:r>
        <w:rPr>
          <w:rFonts w:ascii="Times New Roman;serif" w:hAnsi="Times New Roman;serif"/>
          <w:b w:val="false"/>
          <w:color w:val="000000"/>
          <w:sz w:val="20"/>
          <w:shd w:fill="FFFFFF" w:val="clear"/>
        </w:rPr>
        <w:t xml:space="preserve">the three months ended March 31, 2026, compared to $10.2 million cash used by financing activities for the three months ended March 31, 2025. The cash used by financing activities for the three months ended March 31, 2026 was primarily due to repayments of lease liabilities and share repurchases to settle tax withholding obligations for stock-based compensation awards. See additional discussion in Note 7. </w:t>
      </w:r>
      <w:r>
        <w:rPr>
          <w:rFonts w:ascii="Times New Roman;serif" w:hAnsi="Times New Roman;serif"/>
          <w:b w:val="false"/>
          <w:i/>
          <w:color w:val="000000"/>
          <w:sz w:val="20"/>
          <w:shd w:fill="FFFFFF" w:val="clear"/>
        </w:rPr>
        <w:t>Debt</w:t>
      </w:r>
      <w:r>
        <w:rPr>
          <w:rFonts w:ascii="Times New Roman;serif" w:hAnsi="Times New Roman;serif"/>
          <w:b w:val="false"/>
          <w:color w:val="000000"/>
          <w:sz w:val="20"/>
          <w:shd w:fill="FFFFFF" w:val="clear"/>
        </w:rPr>
        <w:t xml:space="preserve">, included in Part I, Item 1. Financial Statements, which further describe the Company’s debt arrangements.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222885"/>
                <wp:effectExtent l="0" t="0" r="0" b="0"/>
                <wp:wrapNone/>
                <wp:docPr id="36" name="Frame3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before="120" w:after="120"/>
        <w:jc w:val="both"/>
        <w:rPr/>
      </w:pPr>
      <w:r>
        <w:rPr/>
      </w:r>
    </w:p>
    <w:p>
      <w:pPr>
        <w:pStyle w:val="TextBody"/>
        <w:bidi w:val="0"/>
        <w:spacing w:lineRule="auto" w:line="288" w:before="120" w:after="12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Liquidity and Capital Resources</w:t>
      </w:r>
    </w:p>
    <w:p>
      <w:pPr>
        <w:pStyle w:val="TextBody"/>
        <w:bidi w:val="0"/>
        <w:spacing w:lineRule="auto" w:line="288" w:before="12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Company’s sources of funds are cash flows from operations, borrowings made pursuant to its credit facilities and cash and cash equivalents on hand. Uses of funds include payments of principal on our debt facilities, capital expenditures, and working capital needs. We currently anticipate that cash flows from operations, available funds and access to financing sources, including under our Revolving Credit Agreement, will continue to be sufficient to meet our cash needs for the next twelve months and beyond.</w:t>
      </w:r>
    </w:p>
    <w:p>
      <w:pPr>
        <w:pStyle w:val="TextBody"/>
        <w:bidi w:val="0"/>
        <w:spacing w:lineRule="auto" w:line="288" w:before="120" w:after="120"/>
        <w:jc w:val="both"/>
        <w:rPr/>
      </w:pPr>
      <w:r>
        <w:rPr>
          <w:rFonts w:ascii="Times New Roman;serif" w:hAnsi="Times New Roman;serif"/>
          <w:b w:val="false"/>
          <w:color w:val="000000"/>
          <w:sz w:val="20"/>
          <w:shd w:fill="FFFFFF" w:val="clear"/>
        </w:rPr>
        <w:t xml:space="preserve">Our material cash requirements from known contractual and other obligations primarily relate to our debt and lease obligations. The Company has achieved profitability and generated positive cash flows from operating activities in 2026. As of March 31, 2026, the Company’s total outstanding debt obligations under the Revolving Credit Agreement and for finance leases and other debt, were $103.4 million in the aggregate, and its cash and cash equivalents were $45.1 million. See Item 1. </w:t>
      </w:r>
      <w:r>
        <w:rPr>
          <w:rFonts w:ascii="Times New Roman;serif" w:hAnsi="Times New Roman;serif"/>
          <w:b w:val="false"/>
          <w:i/>
          <w:color w:val="000000"/>
          <w:sz w:val="20"/>
          <w:shd w:fill="FFFFFF" w:val="clear"/>
        </w:rPr>
        <w:t>Financial Statements</w:t>
      </w:r>
      <w:r>
        <w:rPr>
          <w:rFonts w:ascii="Times New Roman;serif" w:hAnsi="Times New Roman;serif"/>
          <w:b w:val="false"/>
          <w:color w:val="000000"/>
          <w:sz w:val="20"/>
          <w:shd w:fill="FFFFFF" w:val="clear"/>
        </w:rPr>
        <w:t xml:space="preserve">, Note 7. </w:t>
      </w:r>
      <w:r>
        <w:rPr>
          <w:rFonts w:ascii="Times New Roman;serif" w:hAnsi="Times New Roman;serif"/>
          <w:b w:val="false"/>
          <w:i/>
          <w:color w:val="000000"/>
          <w:sz w:val="20"/>
          <w:shd w:fill="FFFFFF" w:val="clear"/>
        </w:rPr>
        <w:t>Debt</w:t>
      </w:r>
      <w:r>
        <w:rPr>
          <w:rFonts w:ascii="Times New Roman;serif" w:hAnsi="Times New Roman;serif"/>
          <w:b w:val="false"/>
          <w:color w:val="000000"/>
          <w:sz w:val="20"/>
          <w:shd w:fill="FFFFFF" w:val="clear"/>
        </w:rPr>
        <w:t xml:space="preserve">, for additional information. On </w:t>
      </w:r>
      <w:r>
        <w:rPr>
          <w:rFonts w:ascii="Times New Roman;serif" w:hAnsi="Times New Roman;serif"/>
          <w:b w:val="false"/>
          <w:color w:val="000000"/>
          <w:sz w:val="20"/>
        </w:rPr>
        <w:t>July 30, 2025</w:t>
      </w:r>
      <w:r>
        <w:rPr>
          <w:rFonts w:ascii="Times New Roman;serif" w:hAnsi="Times New Roman;serif"/>
          <w:b w:val="false"/>
          <w:color w:val="000000"/>
          <w:sz w:val="20"/>
          <w:shd w:fill="FFFFFF" w:val="clear"/>
        </w:rPr>
        <w:t>, the Company amended its Revolving Credit Agreement with Standard Chartered Bank and three other lenders. The second amended Revolving Credit Agreement allows the Company to borrow up to $135.0 million and extends the maturity date to July 30, 2027.</w:t>
      </w:r>
    </w:p>
    <w:p>
      <w:pPr>
        <w:pStyle w:val="TextBody"/>
        <w:bidi w:val="0"/>
        <w:spacing w:lineRule="auto" w:line="288" w:before="120" w:after="1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PSI’s business is subject to broader macroeconomic and geopolitical conditions. The oil and gas market, one of the Company’s end markets, has recently softened. The Company is responding by managing investments and expenses and making adjustments to its commercial strategies across its end markets. The Company experiences tariff costs associated with products in its supply chain. We are actively assessing the evolving tariff environment and are committed to proactively mitigating any associated risks through strategic sourcing, pricing actions, and supply chain agility. The potential for continued economic uncertainty and unfavorable oil and gas market dynamics may have a material adverse impact on the levels of future customer orders and the Company’s future business operations, financial condition and liquidity.</w:t>
      </w:r>
    </w:p>
    <w:p>
      <w:pPr>
        <w:pStyle w:val="TextBody"/>
        <w:bidi w:val="0"/>
        <w:spacing w:lineRule="auto" w:line="288" w:before="120" w:after="120"/>
        <w:jc w:val="both"/>
        <w:rPr/>
      </w:pPr>
      <w:r>
        <w:rPr>
          <w:rFonts w:ascii="Times New Roman;serif" w:hAnsi="Times New Roman;serif"/>
          <w:b w:val="false"/>
          <w:color w:val="000000"/>
          <w:sz w:val="20"/>
        </w:rPr>
        <w:t>At March 31, 2026, the Company ha</w:t>
      </w:r>
      <w:r>
        <w:rPr>
          <w:rFonts w:ascii="Times New Roman;serif" w:hAnsi="Times New Roman;serif"/>
          <w:b w:val="false"/>
          <w:color w:val="000000"/>
          <w:sz w:val="20"/>
          <w:shd w:fill="FFFFFF" w:val="clear"/>
        </w:rPr>
        <w:t>d four outstanding letters of credit totaling $2.5 million</w:t>
      </w:r>
      <w:r>
        <w:rPr>
          <w:rFonts w:ascii="Times New Roman;serif" w:hAnsi="Times New Roman;serif"/>
          <w:b w:val="false"/>
          <w:color w:val="000000"/>
          <w:sz w:val="20"/>
        </w:rPr>
        <w:t xml:space="preserve">. See Item 1. </w:t>
      </w:r>
      <w:r>
        <w:rPr>
          <w:rFonts w:ascii="Times New Roman;serif" w:hAnsi="Times New Roman;serif"/>
          <w:b w:val="false"/>
          <w:i/>
          <w:color w:val="000000"/>
          <w:sz w:val="20"/>
        </w:rPr>
        <w:t>Financial Statements</w:t>
      </w:r>
      <w:r>
        <w:rPr>
          <w:rFonts w:ascii="Times New Roman;serif" w:hAnsi="Times New Roman;serif"/>
          <w:b w:val="false"/>
          <w:i/>
          <w:color w:val="000000"/>
          <w:sz w:val="20"/>
          <w:shd w:fill="FFFFFF" w:val="clear"/>
        </w:rPr>
        <w:t xml:space="preserve">, </w:t>
      </w:r>
      <w:r>
        <w:rPr>
          <w:rFonts w:ascii="Times New Roman;serif" w:hAnsi="Times New Roman;serif"/>
          <w:b w:val="false"/>
          <w:color w:val="000000"/>
          <w:sz w:val="20"/>
        </w:rPr>
        <w:t xml:space="preserve">Note 11. </w:t>
      </w:r>
      <w:r>
        <w:rPr>
          <w:rFonts w:ascii="Times New Roman;serif" w:hAnsi="Times New Roman;serif"/>
          <w:b w:val="false"/>
          <w:i/>
          <w:color w:val="000000"/>
          <w:sz w:val="20"/>
        </w:rPr>
        <w:t>Commitments and Contingencies</w:t>
      </w:r>
      <w:r>
        <w:rPr>
          <w:color w:val="000000"/>
        </w:rPr>
        <w:t xml:space="preserve"> </w:t>
      </w:r>
      <w:r>
        <w:rPr>
          <w:rFonts w:ascii="Times New Roman;serif" w:hAnsi="Times New Roman;serif"/>
          <w:b w:val="false"/>
          <w:color w:val="000000"/>
          <w:sz w:val="20"/>
        </w:rPr>
        <w:t>for additional information related to the Company’s off-balance sheet arrangements and the outstanding letters of credit.</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Critical Accounting Policies and Estimates</w:t>
      </w:r>
    </w:p>
    <w:p>
      <w:pPr>
        <w:pStyle w:val="TextBody"/>
        <w:bidi w:val="0"/>
        <w:spacing w:lineRule="auto" w:line="288" w:before="120" w:after="120"/>
        <w:jc w:val="both"/>
        <w:rPr/>
      </w:pPr>
      <w:r>
        <w:rPr>
          <w:rFonts w:ascii="Times New Roman;serif" w:hAnsi="Times New Roman;serif"/>
          <w:b w:val="false"/>
          <w:color w:val="000000"/>
          <w:sz w:val="20"/>
        </w:rPr>
        <w:t xml:space="preserve">The Company’s consolidated financial statements are prepared in accordance with U.S. GAAP. </w:t>
      </w:r>
      <w:r>
        <w:rPr>
          <w:rFonts w:ascii="Times New Roman;serif" w:hAnsi="Times New Roman;serif"/>
          <w:b w:val="false"/>
          <w:color w:val="000000"/>
          <w:sz w:val="20"/>
          <w:shd w:fill="FFFFFF" w:val="clear"/>
        </w:rPr>
        <w:t>Preparation of these financial statements requires the Company to make estimates, assumptions and judgments that affect the reported amounts of assets, liabilities, revenues and expenses, and related disclosure of contingent assets and liabilities. The Company’s most critical accounting policies and estimates are those most important to the portrayal of its financial condition and results of operations which require the Company to make its most difficult and subjective judgments, often as a result of the need to make estimates regarding matters that are inherently uncertain. The Company has identified the items listed below as its most critical accounting policies and judgments. Although management believes that its estimates and assumptions are reasonable, they are based on information available when they are made and, therefore, may differ from estimates made under different assumptions or conditions.</w:t>
      </w:r>
    </w:p>
    <w:p>
      <w:pPr>
        <w:pStyle w:val="TextBody"/>
        <w:bidi w:val="0"/>
        <w:spacing w:lineRule="auto" w:line="288" w:before="120" w:after="120"/>
        <w:jc w:val="both"/>
        <w:rPr/>
      </w:pPr>
      <w:r>
        <w:rPr>
          <w:rFonts w:ascii="Times New Roman;serif" w:hAnsi="Times New Roman;serif"/>
          <w:b w:val="false"/>
          <w:color w:val="000000"/>
          <w:sz w:val="20"/>
        </w:rPr>
        <w:t xml:space="preserve">The Company’s significant accounting policies are consistent with those discussed in Note 1. </w:t>
      </w:r>
      <w:r>
        <w:rPr>
          <w:rFonts w:ascii="Times New Roman;serif" w:hAnsi="Times New Roman;serif"/>
          <w:b w:val="false"/>
          <w:i/>
          <w:color w:val="000000"/>
          <w:sz w:val="20"/>
        </w:rPr>
        <w:t>Summary of Significant Accounting Policies and Other Information</w:t>
      </w:r>
      <w:r>
        <w:rPr>
          <w:rFonts w:ascii="Times New Roman;serif" w:hAnsi="Times New Roman;serif"/>
          <w:b w:val="false"/>
          <w:color w:val="000000"/>
          <w:sz w:val="20"/>
        </w:rPr>
        <w:t xml:space="preserve">, to the consolidated financial statements and the MD&amp;A section of the Company’s 2025 Annual Report. During the three months ended March 31, 2026, there were no significant changes in the application of critical accounting policies.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has identified the following accounting policies as its most critical because they require the Company to make difficult, subjective, and complex judgments and estimates: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Revenue Recognition</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Goodwill Impairment</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Warranties</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Impact of New Accounting Standards</w:t>
      </w:r>
    </w:p>
    <w:p>
      <w:pPr>
        <w:pStyle w:val="TextBody"/>
        <w:bidi w:val="0"/>
        <w:spacing w:lineRule="auto" w:line="288" w:before="120" w:after="120"/>
        <w:jc w:val="both"/>
        <w:rPr/>
      </w:pPr>
      <w:r>
        <w:rPr>
          <w:rFonts w:ascii="Times New Roman;serif" w:hAnsi="Times New Roman;serif"/>
          <w:b w:val="false"/>
          <w:color w:val="000000"/>
          <w:sz w:val="20"/>
        </w:rPr>
        <w:t xml:space="preserve">For information about recently issued accounting pronouncements, see Note 1. </w:t>
      </w:r>
      <w:r>
        <w:rPr>
          <w:rFonts w:ascii="Times New Roman;serif" w:hAnsi="Times New Roman;serif"/>
          <w:b w:val="false"/>
          <w:i/>
          <w:color w:val="000000"/>
          <w:sz w:val="20"/>
        </w:rPr>
        <w:t>Summary of Significant Accounting Policies and Other Information</w:t>
      </w:r>
      <w:r>
        <w:rPr>
          <w:rFonts w:ascii="Times New Roman;serif" w:hAnsi="Times New Roman;serif"/>
          <w:b w:val="false"/>
          <w:color w:val="000000"/>
          <w:sz w:val="20"/>
        </w:rPr>
        <w:t>, included in Part 1, Item 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222885"/>
                <wp:effectExtent l="0" t="0" r="0" b="0"/>
                <wp:wrapNone/>
                <wp:docPr id="37" name="Frame3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before="120" w:after="120"/>
        <w:jc w:val="both"/>
        <w:rPr/>
      </w:pPr>
      <w:r>
        <w:rPr/>
      </w:r>
    </w:p>
    <w:p>
      <w:pPr>
        <w:pStyle w:val="TextBody"/>
        <w:bidi w:val="0"/>
        <w:spacing w:lineRule="auto" w:line="288" w:before="240" w:after="120"/>
        <w:jc w:val="both"/>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market risk includes changes in interest rates on its variable</w:t>
        <w:noBreakHyphen/>
        <w:t>rate debt obligations. As of March 31, 2026, the Company’s outstanding borrowings bear interest at variable rates indexed to the SOFR. Increases in SOFR would result in higher interest expense and could adversely affect the Company’s results of operations and cash flows. The Company does not currently use derivative instruments to hedge its exposure to variable interest rates.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 does not have material exposure to foreign currency exchange rate risk, as substantially all of its transactions are denominated in U.S. dollars. In addition, the Company is not materially exposed to commodity price risk or equity price risk, as it does not engage in activities that are directly affected by fluctuations in commodity prices or publicly traded equity securities.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Item 4.    Controls and Procedures.</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Evaluation of Disclosure Controls and Procedures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term “disclosure controls and procedures” is defined in Rule 13a-15(e) of the Exchange Act as “controls and other procedures of an issuer that are designed to ensure that information required to be disclosed by the issuer in the reports that it files or submits under the Exchange Act are recorded, processed, summarized and reported, within the time periods specified in the SEC rules and forms.” The Company’s disclosure controls and procedures are designed to ensure that material information relating to the Company and its consolidated subsidiaries is accumulated and communicated to its management, including its Chief Executive Officer and its Chief Financial Officer, as appropriate to allow timely decisions regarding required disclosures.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Company’s management, with the participation of its Chief Executive Officer and Chief Financial Officer, conducted an evaluation of the effectiveness of its disclosure controls and procedures as of March 31, 2026. Based upon that evaluation, the Company’s Chief Executive Officer and Chief Financial Officer have concluded that the Company’s disclosure controls and procedures were effective as of March 31, 2026, to provide reasonable assurance that information required to be disclosed in the reports that it files or submits under the Exchange Act is recorded, processed, summarized and reported within the time periods specified by the rules and forms of the Exchange Act, and that such information is accumulated and communicated to management, including our Chief Executive Officer and Chief Financial Officer, as appropriate, to allow timely decisions regarding required disclosure.</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Management recognizes that any controls and procedures, no matter how well designed and operated, can provide only reasonable assurance of achieving their objectives, and management necessarily applies its judgment in evaluating the benefits of possible controls and procedures relative to their costs.</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Changes in Internal Control over Financial Reporting</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There has been no change in the Company’s internal control over financial reporting during the first quarter of 2026 that has materially affected, or is reasonably likely to materially affect, the Company’s internal control over financial reporting.</w:t>
      </w:r>
    </w:p>
    <w:p>
      <w:pPr>
        <w:pStyle w:val="TextBody"/>
        <w:bidi w:val="0"/>
        <w:spacing w:before="120" w:after="120"/>
        <w:jc w:val="both"/>
        <w:rPr/>
      </w:pPr>
      <w:r>
        <w:rPr/>
      </w:r>
    </w:p>
    <w:p>
      <w:pPr>
        <w:pStyle w:val="TextBody"/>
        <w:bidi w:val="0"/>
        <w:spacing w:before="120" w:after="1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222885"/>
                <wp:effectExtent l="0" t="0" r="0" b="0"/>
                <wp:wrapNone/>
                <wp:docPr id="38" name="Frame3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before="120" w:after="120"/>
        <w:jc w:val="both"/>
        <w:rPr/>
      </w:pPr>
      <w:r>
        <w:rPr/>
      </w:r>
    </w:p>
    <w:p>
      <w:pPr>
        <w:pStyle w:val="TextBody"/>
        <w:bidi w:val="0"/>
        <w:spacing w:lineRule="auto" w:line="288" w:before="120" w:after="120"/>
        <w:jc w:val="center"/>
        <w:rPr>
          <w:rFonts w:ascii="Times New Roman;serif" w:hAnsi="Times New Roman;serif"/>
          <w:b/>
          <w:color w:val="000000"/>
          <w:sz w:val="20"/>
        </w:rPr>
      </w:pPr>
      <w:r>
        <w:rPr>
          <w:rFonts w:ascii="Times New Roman;serif" w:hAnsi="Times New Roman;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erif" w:hAnsi="Times New Roman;serif"/>
          <w:b/>
          <w:color w:val="000000"/>
          <w:sz w:val="20"/>
        </w:rPr>
      </w:pPr>
      <w:r>
        <w:rPr>
          <w:rFonts w:ascii="Times New Roman;serif" w:hAnsi="Times New Roman;serif"/>
          <w:b/>
          <w:color w:val="000000"/>
          <w:sz w:val="20"/>
        </w:rPr>
        <w:t xml:space="preserve">Item 1.    Legal Proceedings. </w:t>
      </w:r>
    </w:p>
    <w:p>
      <w:pPr>
        <w:pStyle w:val="TextBody"/>
        <w:bidi w:val="0"/>
        <w:spacing w:lineRule="auto" w:line="288" w:before="120" w:after="120"/>
        <w:jc w:val="both"/>
        <w:rPr/>
      </w:pPr>
      <w:r>
        <w:rPr>
          <w:rFonts w:ascii="Times New Roman;serif" w:hAnsi="Times New Roman;serif"/>
          <w:b w:val="false"/>
          <w:color w:val="000000"/>
          <w:sz w:val="20"/>
        </w:rPr>
        <w:t xml:space="preserve">See Note 11. </w:t>
      </w:r>
      <w:r>
        <w:rPr>
          <w:rFonts w:ascii="Times New Roman;serif" w:hAnsi="Times New Roman;serif"/>
          <w:b w:val="false"/>
          <w:i/>
          <w:color w:val="000000"/>
          <w:sz w:val="20"/>
        </w:rPr>
        <w:t>Commitments and Contingencies</w:t>
      </w:r>
      <w:r>
        <w:rPr>
          <w:rFonts w:ascii="Times New Roman;serif" w:hAnsi="Times New Roman;serif"/>
          <w:b w:val="false"/>
          <w:color w:val="000000"/>
          <w:sz w:val="20"/>
        </w:rPr>
        <w:t>, included in Part I, Item 1.</w:t>
      </w:r>
      <w:r>
        <w:rPr>
          <w:color w:val="000000"/>
        </w:rPr>
        <w:t xml:space="preserve"> </w:t>
      </w:r>
      <w:r>
        <w:rPr>
          <w:rFonts w:ascii="Times New Roman;serif" w:hAnsi="Times New Roman;serif"/>
          <w:b w:val="false"/>
          <w:i/>
          <w:color w:val="000000"/>
          <w:sz w:val="20"/>
        </w:rPr>
        <w:t>Financial Statements</w:t>
      </w:r>
      <w:r>
        <w:rPr>
          <w:rFonts w:ascii="Times New Roman;serif" w:hAnsi="Times New Roman;serif"/>
          <w:b w:val="false"/>
          <w:color w:val="000000"/>
          <w:sz w:val="20"/>
        </w:rPr>
        <w:t>, for a discussion of legal proceedings, which are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120" w:after="120"/>
        <w:jc w:val="both"/>
        <w:rPr/>
      </w:pPr>
      <w:r>
        <w:rPr>
          <w:rFonts w:ascii="Times New Roman;serif" w:hAnsi="Times New Roman;serif"/>
          <w:b w:val="false"/>
          <w:color w:val="000000"/>
          <w:sz w:val="20"/>
        </w:rPr>
        <w:t xml:space="preserve">In addition to the other information set forth in this report, you should carefully consider the risk factors described in Item 1A. </w:t>
      </w:r>
      <w:r>
        <w:rPr>
          <w:rFonts w:ascii="Times New Roman;serif" w:hAnsi="Times New Roman;serif"/>
          <w:b w:val="false"/>
          <w:i/>
          <w:color w:val="000000"/>
          <w:sz w:val="20"/>
        </w:rPr>
        <w:t>Risk Factors</w:t>
      </w:r>
      <w:r>
        <w:rPr>
          <w:rFonts w:ascii="Times New Roman;serif" w:hAnsi="Times New Roman;serif"/>
          <w:b w:val="false"/>
          <w:color w:val="000000"/>
          <w:sz w:val="20"/>
        </w:rPr>
        <w:t>, in Part II of the Company’s Quarterly Report on Form 10</w:t>
        <w:noBreakHyphen/>
        <w:t xml:space="preserve">Q for the period ended March 31, 2025, as well as those described in Item 1A. </w:t>
      </w:r>
      <w:r>
        <w:rPr>
          <w:rFonts w:ascii="Times New Roman;serif" w:hAnsi="Times New Roman;serif"/>
          <w:b w:val="false"/>
          <w:i/>
          <w:color w:val="000000"/>
          <w:sz w:val="20"/>
        </w:rPr>
        <w:t>Risk Factors</w:t>
      </w:r>
      <w:r>
        <w:rPr>
          <w:rFonts w:ascii="Times New Roman;serif" w:hAnsi="Times New Roman;serif"/>
          <w:b w:val="false"/>
          <w:color w:val="000000"/>
          <w:sz w:val="20"/>
        </w:rPr>
        <w:t>, in Part I of the Company’s 2025 Annual Report on Form 10-K, filed with the SEC on March 2, 2026. These risk factors could materially affect the Company’s business, financial condition, results of operations, liquidity, or future results. The risks described in these filings are not the only risks the Company faces. Additional risks and uncertainties not currently known to the Company or that the Company currently deems immaterial may also materially adversely affect its business, financial condition, results of operations, or liquidity. There have been no material changes to the risk factors previously disclosed in the filings referenced above.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erif" w:hAnsi="Times New Roman;serif"/>
          <w:b/>
          <w:color w:val="000000"/>
          <w:sz w:val="20"/>
        </w:rPr>
      </w:pPr>
      <w:r>
        <w:rPr>
          <w:rFonts w:ascii="Times New Roman;serif" w:hAnsi="Times New Roman;serif"/>
          <w:b/>
          <w:color w:val="000000"/>
          <w:sz w:val="20"/>
        </w:rPr>
        <w:t xml:space="preserve">Item 3.    Defaults upon Senior Securities.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March 31, 2026, no director or Section 16 officer of the Company adopted or terminated a “Rule 10b5-1 trading arrangement” or “non-Rule 10b5-1 trading arrangement,” as each term is defined in item 408(a)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222885"/>
                <wp:effectExtent l="0" t="0" r="0" b="0"/>
                <wp:wrapNone/>
                <wp:docPr id="39" name="Frame3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before="120" w:after="120"/>
        <w:jc w:val="both"/>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120"/>
        <w:jc w:val="center"/>
        <w:rPr>
          <w:rFonts w:ascii="Times New Roman;serif" w:hAnsi="Times New Roman;serif"/>
          <w:b/>
          <w:color w:val="000000"/>
          <w:sz w:val="20"/>
        </w:rPr>
      </w:pPr>
      <w:r>
        <w:rPr>
          <w:rFonts w:ascii="Times New Roman;serif" w:hAnsi="Times New Roman;serif"/>
          <w:b/>
          <w:color w:val="000000"/>
          <w:sz w:val="20"/>
        </w:rPr>
        <w:t>EXHIBIT INDEX</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following documents listed below that have been previously filed with the SEC (1934 Act File No. 001-35944) are incorporated herein by reference:</w:t>
      </w:r>
    </w:p>
    <w:tbl>
      <w:tblPr>
        <w:tblW w:w="10205" w:type="dxa"/>
        <w:jc w:val="center"/>
        <w:tblInd w:w="0" w:type="dxa"/>
        <w:tblLayout w:type="fixed"/>
        <w:tblCellMar>
          <w:top w:w="28" w:type="dxa"/>
          <w:left w:w="28" w:type="dxa"/>
          <w:bottom w:w="28" w:type="dxa"/>
          <w:right w:w="28" w:type="dxa"/>
        </w:tblCellMar>
      </w:tblPr>
      <w:tblGrid>
        <w:gridCol w:w="309"/>
        <w:gridCol w:w="272"/>
        <w:gridCol w:w="273"/>
        <w:gridCol w:w="109"/>
        <w:gridCol w:w="109"/>
        <w:gridCol w:w="109"/>
        <w:gridCol w:w="2150"/>
        <w:gridCol w:w="2029"/>
        <w:gridCol w:w="2036"/>
        <w:gridCol w:w="222"/>
        <w:gridCol w:w="209"/>
        <w:gridCol w:w="168"/>
        <w:gridCol w:w="225"/>
        <w:gridCol w:w="225"/>
        <w:gridCol w:w="226"/>
        <w:gridCol w:w="271"/>
        <w:gridCol w:w="265"/>
        <w:gridCol w:w="217"/>
        <w:gridCol w:w="248"/>
        <w:gridCol w:w="248"/>
        <w:gridCol w:w="285"/>
      </w:tblGrid>
      <w:tr>
        <w:trPr/>
        <w:tc>
          <w:tcPr>
            <w:tcW w:w="3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0" w:type="dxa"/>
            <w:tcBorders/>
            <w:vAlign w:val="center"/>
          </w:tcPr>
          <w:p>
            <w:pPr>
              <w:pStyle w:val="TableContents"/>
              <w:bidi w:val="0"/>
              <w:spacing w:before="0" w:after="283"/>
              <w:jc w:val="left"/>
              <w:rPr>
                <w:sz w:val="4"/>
                <w:szCs w:val="4"/>
              </w:rPr>
            </w:pPr>
            <w:r>
              <w:rPr>
                <w:sz w:val="4"/>
                <w:szCs w:val="4"/>
              </w:rPr>
            </w:r>
          </w:p>
        </w:tc>
        <w:tc>
          <w:tcPr>
            <w:tcW w:w="2029" w:type="dxa"/>
            <w:tcBorders/>
            <w:vAlign w:val="center"/>
          </w:tcPr>
          <w:p>
            <w:pPr>
              <w:pStyle w:val="TableContents"/>
              <w:bidi w:val="0"/>
              <w:spacing w:before="0" w:after="283"/>
              <w:jc w:val="left"/>
              <w:rPr>
                <w:sz w:val="4"/>
                <w:szCs w:val="4"/>
              </w:rPr>
            </w:pPr>
            <w:r>
              <w:rPr>
                <w:sz w:val="4"/>
                <w:szCs w:val="4"/>
              </w:rPr>
            </w:r>
          </w:p>
        </w:tc>
        <w:tc>
          <w:tcPr>
            <w:tcW w:w="203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r>
      <w:tr>
        <w:trPr/>
        <w:tc>
          <w:tcPr>
            <w:tcW w:w="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9"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Incorporated by Reference Herein</w:t>
            </w:r>
          </w:p>
        </w:tc>
      </w:tr>
      <w:tr>
        <w:trPr/>
        <w:tc>
          <w:tcPr>
            <w:tcW w:w="8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Exhibit No.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18"/>
              </w:rPr>
            </w:pPr>
            <w:r>
              <w:rPr>
                <w:rFonts w:ascii="Times New Roman;serif" w:hAnsi="Times New Roman;serif"/>
                <w:b/>
                <w:color w:val="000000"/>
                <w:sz w:val="18"/>
              </w:rPr>
              <w:t>Exhibit Description</w:t>
            </w:r>
          </w:p>
        </w:tc>
        <w:tc>
          <w:tcPr>
            <w:tcW w:w="5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Form</w:t>
            </w:r>
          </w:p>
        </w:tc>
        <w:tc>
          <w:tcPr>
            <w:tcW w:w="6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Exhibit</w:t>
            </w:r>
          </w:p>
        </w:tc>
        <w:tc>
          <w:tcPr>
            <w:tcW w:w="7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Filing Date</w:t>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File No.</w:t>
            </w:r>
          </w:p>
        </w:tc>
      </w:tr>
      <w:tr>
        <w:trPr/>
        <w:tc>
          <w:tcPr>
            <w:tcW w:w="8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erif" w:hAnsi="Times New Roman;serif"/>
                  <w:b w:val="false"/>
                  <w:color w:val="0000FF"/>
                  <w:sz w:val="18"/>
                  <w:u w:val="single"/>
                </w:rPr>
                <w:t>Power Solutions International, Inc. 2026 Phantom Unit Plan</w:t>
              </w:r>
            </w:hyperlink>
          </w:p>
        </w:tc>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8-K</w:t>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w:t>
            </w:r>
          </w:p>
        </w:tc>
        <w:tc>
          <w:tcPr>
            <w:tcW w:w="7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03/06/2026</w:t>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001-35944</w:t>
            </w:r>
          </w:p>
        </w:tc>
      </w:tr>
      <w:tr>
        <w:trPr/>
        <w:tc>
          <w:tcPr>
            <w:tcW w:w="8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erif" w:hAnsi="Times New Roman;serif"/>
                  <w:b w:val="false"/>
                  <w:color w:val="0000FF"/>
                  <w:sz w:val="18"/>
                  <w:u w:val="single"/>
                </w:rPr>
                <w:t>Form of Phantom Unit Award Agreement</w:t>
              </w:r>
            </w:hyperlink>
          </w:p>
        </w:tc>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8-K</w:t>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10.2</w:t>
            </w:r>
          </w:p>
        </w:tc>
        <w:tc>
          <w:tcPr>
            <w:tcW w:w="7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03/06/2026</w:t>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001-35944</w:t>
            </w:r>
          </w:p>
        </w:tc>
      </w:tr>
      <w:tr>
        <w:trPr/>
        <w:tc>
          <w:tcPr>
            <w:tcW w:w="8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15" w:type="dxa"/>
            <w:gridSpan w:val="3"/>
            <w:tcBorders/>
            <w:vAlign w:val="center"/>
          </w:tcPr>
          <w:p>
            <w:pPr>
              <w:pStyle w:val="TableContents"/>
              <w:bidi w:val="0"/>
              <w:spacing w:before="0" w:after="283"/>
              <w:jc w:val="left"/>
              <w:rPr>
                <w:sz w:val="4"/>
                <w:szCs w:val="4"/>
              </w:rPr>
            </w:pPr>
            <w:r>
              <w:rPr>
                <w:sz w:val="4"/>
                <w:szCs w:val="4"/>
              </w:rPr>
            </w:r>
          </w:p>
        </w:tc>
        <w:tc>
          <w:tcPr>
            <w:tcW w:w="599"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753"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r>
      <w:tr>
        <w:trPr/>
        <w:tc>
          <w:tcPr>
            <w:tcW w:w="8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15" w:type="dxa"/>
            <w:gridSpan w:val="3"/>
            <w:tcBorders/>
            <w:vAlign w:val="center"/>
          </w:tcPr>
          <w:p>
            <w:pPr>
              <w:pStyle w:val="TableContents"/>
              <w:bidi w:val="0"/>
              <w:spacing w:before="0" w:after="283"/>
              <w:jc w:val="left"/>
              <w:rPr>
                <w:sz w:val="4"/>
                <w:szCs w:val="4"/>
              </w:rPr>
            </w:pPr>
            <w:r>
              <w:rPr>
                <w:sz w:val="4"/>
                <w:szCs w:val="4"/>
              </w:rPr>
            </w:r>
          </w:p>
        </w:tc>
        <w:tc>
          <w:tcPr>
            <w:tcW w:w="599"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753"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r>
      <w:tr>
        <w:trPr/>
        <w:tc>
          <w:tcPr>
            <w:tcW w:w="8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31.1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1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hibit311-ceocertificatio.htm">
              <w:r>
                <w:rPr>
                  <w:rStyle w:val="InternetLink"/>
                  <w:rFonts w:ascii="Times New Roman;serif" w:hAnsi="Times New Roman;serif"/>
                  <w:b w:val="false"/>
                  <w:color w:val="0000FF"/>
                  <w:sz w:val="18"/>
                  <w:u w:val="single"/>
                </w:rPr>
                <w:t xml:space="preserve">Certification of Chief Executive Officer, as adopted pursuant to Section 302 of the Sarbanes-Oxley Act of 2002. </w:t>
              </w:r>
            </w:hyperlink>
          </w:p>
        </w:tc>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31.2</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1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hibit312-cfocertificatio.htm">
              <w:r>
                <w:rPr>
                  <w:rStyle w:val="InternetLink"/>
                  <w:rFonts w:ascii="Times New Roman;serif" w:hAnsi="Times New Roman;serif"/>
                  <w:b w:val="false"/>
                  <w:color w:val="0000FF"/>
                  <w:sz w:val="18"/>
                  <w:u w:val="single"/>
                </w:rPr>
                <w:t>Certification of Chief Financial Officer, as adopted pursuant to Section 302 of the Sarbanes-Oxley Act of 2002.</w:t>
              </w:r>
            </w:hyperlink>
          </w:p>
        </w:tc>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32.1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1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hibit321-ceocertificatio.htm">
              <w:r>
                <w:rPr>
                  <w:rStyle w:val="InternetLink"/>
                  <w:rFonts w:ascii="Times New Roman;serif" w:hAnsi="Times New Roman;serif"/>
                  <w:b w:val="false"/>
                  <w:color w:val="0000FF"/>
                  <w:sz w:val="18"/>
                  <w:u w:val="single"/>
                </w:rPr>
                <w:t>Certification of Chief Executive Officer, pursuant to 18 U.S.C. Section 1350, as adopted pursuant to Section 906 of the Sarbanes Oxley Act of 2002.</w:t>
              </w:r>
            </w:hyperlink>
          </w:p>
        </w:tc>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32.2</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1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hibit322-cfocertificatio.htm">
              <w:r>
                <w:rPr>
                  <w:rStyle w:val="InternetLink"/>
                  <w:rFonts w:ascii="Times New Roman;serif" w:hAnsi="Times New Roman;serif"/>
                  <w:b w:val="false"/>
                  <w:color w:val="0000FF"/>
                  <w:sz w:val="18"/>
                  <w:u w:val="single"/>
                </w:rPr>
                <w:t>Certification of Chief Financial Officer, pursuant to 18 U.S.C. Section 1350, as adopted pursuant to Section 906 of the Sarbanes Oxley Act of 2002.</w:t>
              </w:r>
            </w:hyperlink>
          </w:p>
        </w:tc>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101.INS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1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XBRL Instance Document.</w:t>
            </w:r>
          </w:p>
        </w:tc>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XBRL Taxonomy Extension Schema Document.</w:t>
            </w:r>
          </w:p>
        </w:tc>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XBRL Taxonomy Extension Calculation Linkbase Document.</w:t>
            </w:r>
          </w:p>
        </w:tc>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XBRL Taxonomy Extension Labels Linkbase Document.</w:t>
            </w:r>
          </w:p>
        </w:tc>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XBRL Taxonomy Extension Presentation Linkbase Document.</w:t>
            </w:r>
          </w:p>
        </w:tc>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101.DEF</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1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XBRL Taxonomy Definition Linkbase Document.</w:t>
            </w:r>
          </w:p>
        </w:tc>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104</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1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Cover Page Interactive Data File (embedded within the Inline XBRL document)</w:t>
            </w:r>
          </w:p>
        </w:tc>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720"/>
        <w:jc w:val="both"/>
        <w:rPr>
          <w:rFonts w:ascii="Times New Roman;serif" w:hAnsi="Times New Roman;serif"/>
          <w:b w:val="false"/>
          <w:color w:val="000000"/>
          <w:sz w:val="16"/>
        </w:rPr>
      </w:pPr>
      <w:r>
        <w:rPr>
          <w:rFonts w:ascii="Times New Roman;serif" w:hAnsi="Times New Roman;serif"/>
          <w:b w:val="false"/>
          <w:color w:val="000000"/>
          <w:sz w:val="16"/>
        </w:rPr>
        <w:t>*Filed with this Report.</w:t>
      </w:r>
    </w:p>
    <w:p>
      <w:pPr>
        <w:pStyle w:val="TextBody"/>
        <w:bidi w:val="0"/>
        <w:spacing w:lineRule="auto" w:line="288" w:before="0" w:after="0"/>
        <w:ind w:left="0" w:right="0" w:hanging="720"/>
        <w:jc w:val="both"/>
        <w:rPr>
          <w:rFonts w:ascii="Times New Roman;serif" w:hAnsi="Times New Roman;serif"/>
          <w:b w:val="false"/>
          <w:color w:val="000000"/>
          <w:sz w:val="16"/>
        </w:rPr>
      </w:pPr>
      <w:r>
        <w:rPr>
          <w:rFonts w:ascii="Times New Roman;serif" w:hAnsi="Times New Roman;serif"/>
          <w:b w:val="false"/>
          <w:color w:val="000000"/>
          <w:sz w:val="16"/>
        </w:rPr>
        <w:t>**This exhibit shall not be deemed “filed” for purposes of Section 18 of the Exchange Act, or otherwise subject to the liability of that Section. Such exhibit shall not be deemed incorporated into any filing under the Securities Act of 1933, as amended, or the Exchange Act.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98" w:after="12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120" w:after="240"/>
        <w:jc w:val="both"/>
        <w:rPr/>
      </w:pPr>
      <w:r>
        <w:rPr>
          <w:rFonts w:ascii="Times New Roman;serif" w:hAnsi="Times New Roman;serif"/>
          <w:b w:val="false"/>
          <w:color w:val="000000"/>
          <w:sz w:val="20"/>
        </w:rPr>
        <w:t>Pursuant to the requirements of the Exchange Act, the registrant has duly caused this Report to be signed on its behalf by the undersigned, thereunto duly authorized, o</w:t>
      </w:r>
      <w:r>
        <w:rPr>
          <w:rFonts w:ascii="Times New Roman;serif" w:hAnsi="Times New Roman;serif"/>
          <w:b w:val="false"/>
          <w:color w:val="000000"/>
          <w:sz w:val="20"/>
          <w:shd w:fill="FFFFFF" w:val="clear"/>
        </w:rPr>
        <w:t>n the 11th day of May 2026.</w:t>
      </w:r>
    </w:p>
    <w:tbl>
      <w:tblPr>
        <w:tblW w:w="706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428"/>
        <w:gridCol w:w="428"/>
        <w:gridCol w:w="428"/>
        <w:gridCol w:w="428"/>
        <w:gridCol w:w="428"/>
        <w:gridCol w:w="428"/>
        <w:gridCol w:w="1118"/>
        <w:gridCol w:w="1118"/>
        <w:gridCol w:w="158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2"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POWER SOLUTIONS INTERNATIONAL, INC.</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By:</w:t>
            </w:r>
          </w:p>
        </w:tc>
        <w:tc>
          <w:tcPr>
            <w:tcW w:w="12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 Xun Li</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Name:</w:t>
            </w:r>
          </w:p>
        </w:tc>
        <w:tc>
          <w:tcPr>
            <w:tcW w:w="12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8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Xun Li</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Title:</w:t>
            </w:r>
          </w:p>
        </w:tc>
        <w:tc>
          <w:tcPr>
            <w:tcW w:w="12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Chief Financial Officer (Principal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222885"/>
                <wp:effectExtent l="0" t="0" r="0" b="0"/>
                <wp:wrapNone/>
                <wp:docPr id="40" name="Frame3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120" w:after="12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 xml:space="preserve">CERTIFICATION PURSUANT TO 17 CFR 240.13a-14 PROMULGATED UNDER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SECTION 302 OF THE SARBANES-OXLEY ACT OF 2002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I, Dino Xykis, certify that:</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1. I have reviewed this quarterly report on Form 10-Q of Power Solutions International, Inc.;</w:t>
      </w:r>
    </w:p>
    <w:p>
      <w:pPr>
        <w:pStyle w:val="TextBody"/>
        <w:bidi w:val="0"/>
        <w:spacing w:lineRule="auto" w:line="288" w:before="12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12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12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12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12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12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12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lineRule="auto" w:line="288" w:before="120" w:after="120"/>
        <w:jc w:val="left"/>
        <w:rPr>
          <w:color w:val="000000"/>
        </w:rPr>
      </w:pPr>
      <w:r>
        <w:rPr>
          <w:color w:val="000000"/>
        </w:rPr>
        <w:t> </w:t>
      </w:r>
    </w:p>
    <w:tbl>
      <w:tblPr>
        <w:tblW w:w="4597" w:type="dxa"/>
        <w:jc w:val="left"/>
        <w:tblInd w:w="0" w:type="dxa"/>
        <w:tblLayout w:type="fixed"/>
        <w:tblCellMar>
          <w:top w:w="28" w:type="dxa"/>
          <w:left w:w="28" w:type="dxa"/>
          <w:bottom w:w="28" w:type="dxa"/>
          <w:right w:w="28" w:type="dxa"/>
        </w:tblCellMar>
      </w:tblPr>
      <w:tblGrid>
        <w:gridCol w:w="557"/>
        <w:gridCol w:w="492"/>
        <w:gridCol w:w="495"/>
        <w:gridCol w:w="109"/>
        <w:gridCol w:w="109"/>
        <w:gridCol w:w="109"/>
        <w:gridCol w:w="189"/>
        <w:gridCol w:w="189"/>
        <w:gridCol w:w="191"/>
        <w:gridCol w:w="109"/>
        <w:gridCol w:w="109"/>
        <w:gridCol w:w="109"/>
        <w:gridCol w:w="534"/>
        <w:gridCol w:w="534"/>
        <w:gridCol w:w="762"/>
      </w:tblGrid>
      <w:tr>
        <w:trPr/>
        <w:tc>
          <w:tcPr>
            <w:tcW w:w="557"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r>
      <w:tr>
        <w:trPr/>
        <w:tc>
          <w:tcPr>
            <w:tcW w:w="1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Date: May 11,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 Dino Xykis</w:t>
            </w:r>
          </w:p>
        </w:tc>
      </w:tr>
      <w:tr>
        <w:trPr/>
        <w:tc>
          <w:tcPr>
            <w:tcW w:w="1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Dino Xykis</w:t>
            </w:r>
          </w:p>
        </w:tc>
      </w:tr>
      <w:tr>
        <w:trPr/>
        <w:tc>
          <w:tcPr>
            <w:tcW w:w="1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Chief Executive Officer</w:t>
            </w:r>
          </w:p>
        </w:tc>
      </w:tr>
    </w:tbl>
    <w:p>
      <w:pPr>
        <w:pStyle w:val="TextBody"/>
        <w:bidi w:val="0"/>
        <w:spacing w:before="20" w:after="12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75260"/>
                <wp:effectExtent l="0" t="0" r="0" b="0"/>
                <wp:wrapNone/>
                <wp:docPr id="41" name="Frame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12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CERTIFICATION PURSUANT TO 17 CFR 240.13a-14 PROMULGATED UNDER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302 OF THE SARBANES-OXLEY ACT OF 2002</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I, Xun Li, certify that:</w:t>
      </w:r>
    </w:p>
    <w:p>
      <w:pPr>
        <w:pStyle w:val="TextBody"/>
        <w:bidi w:val="0"/>
        <w:spacing w:lineRule="auto" w:line="288" w:before="12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     I have reviewed this quarterly report on Form 10-Q of Power Solutions International, Inc.;</w:t>
      </w:r>
    </w:p>
    <w:p>
      <w:pPr>
        <w:pStyle w:val="TextBody"/>
        <w:bidi w:val="0"/>
        <w:spacing w:lineRule="auto" w:line="288" w:before="12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12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12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12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12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12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12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lineRule="auto" w:line="288" w:before="120" w:after="120"/>
        <w:jc w:val="left"/>
        <w:rPr>
          <w:color w:val="000000"/>
        </w:rPr>
      </w:pPr>
      <w:r>
        <w:rPr>
          <w:color w:val="000000"/>
        </w:rPr>
        <w:t> </w:t>
      </w:r>
    </w:p>
    <w:tbl>
      <w:tblPr>
        <w:tblW w:w="4748" w:type="dxa"/>
        <w:jc w:val="left"/>
        <w:tblInd w:w="0" w:type="dxa"/>
        <w:tblLayout w:type="fixed"/>
        <w:tblCellMar>
          <w:top w:w="28" w:type="dxa"/>
          <w:left w:w="28" w:type="dxa"/>
          <w:bottom w:w="28" w:type="dxa"/>
          <w:right w:w="28" w:type="dxa"/>
        </w:tblCellMar>
      </w:tblPr>
      <w:tblGrid>
        <w:gridCol w:w="629"/>
        <w:gridCol w:w="554"/>
        <w:gridCol w:w="557"/>
        <w:gridCol w:w="109"/>
        <w:gridCol w:w="109"/>
        <w:gridCol w:w="109"/>
        <w:gridCol w:w="189"/>
        <w:gridCol w:w="189"/>
        <w:gridCol w:w="191"/>
        <w:gridCol w:w="109"/>
        <w:gridCol w:w="109"/>
        <w:gridCol w:w="109"/>
        <w:gridCol w:w="523"/>
        <w:gridCol w:w="523"/>
        <w:gridCol w:w="739"/>
      </w:tblGrid>
      <w:tr>
        <w:trPr/>
        <w:tc>
          <w:tcPr>
            <w:tcW w:w="62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May 11,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 Xun Li</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Xun Li</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Chief Financial Officer</w:t>
            </w:r>
          </w:p>
        </w:tc>
      </w:tr>
    </w:tbl>
    <w:p>
      <w:pPr>
        <w:pStyle w:val="TextBody"/>
        <w:bidi w:val="0"/>
        <w:spacing w:before="20" w:after="120"/>
        <w:jc w:val="both"/>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75260"/>
                <wp:effectExtent l="0" t="0" r="0" b="0"/>
                <wp:wrapNone/>
                <wp:docPr id="42" name="Frame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12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CERTIFICATION OF THE PRINCIPAL EXECUTIVE OFFICER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 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240" w:after="120"/>
        <w:jc w:val="both"/>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Power Solutions International, Inc. (the “Company”) on Form 10-Q for the three months ended March 31, 2026, as filed with the Securities and Exchange Commission on the date hereof (the “Report”), I, Dino Xykis, Chief Executive Officer of the Company, certify, pursuant to 18 U.S.C. 1350, as adopted pursuant to 906 of the Sarbanes-Oxley Act of 2002, that:</w:t>
      </w:r>
    </w:p>
    <w:p>
      <w:pPr>
        <w:pStyle w:val="TextBody"/>
        <w:bidi w:val="0"/>
        <w:spacing w:lineRule="auto" w:line="288" w:before="24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     The Report fully complies with the requirements of section 13(a) or 15(d) of the Securities Exchange Act of 1934; and</w:t>
      </w:r>
    </w:p>
    <w:p>
      <w:pPr>
        <w:pStyle w:val="TextBody"/>
        <w:bidi w:val="0"/>
        <w:spacing w:lineRule="auto" w:line="288" w:before="24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     The information contained in the Report fairly presents, in all material respects, the financial condition and results of operations of the Company.</w:t>
      </w:r>
    </w:p>
    <w:p>
      <w:pPr>
        <w:pStyle w:val="TextBody"/>
        <w:bidi w:val="0"/>
        <w:spacing w:lineRule="auto" w:line="288" w:before="120" w:after="120"/>
        <w:jc w:val="left"/>
        <w:rPr>
          <w:color w:val="000000"/>
        </w:rPr>
      </w:pPr>
      <w:r>
        <w:rPr>
          <w:color w:val="000000"/>
        </w:rPr>
        <w:t> </w:t>
      </w:r>
    </w:p>
    <w:tbl>
      <w:tblPr>
        <w:tblW w:w="4597" w:type="dxa"/>
        <w:jc w:val="left"/>
        <w:tblInd w:w="0" w:type="dxa"/>
        <w:tblLayout w:type="fixed"/>
        <w:tblCellMar>
          <w:top w:w="28" w:type="dxa"/>
          <w:left w:w="28" w:type="dxa"/>
          <w:bottom w:w="28" w:type="dxa"/>
          <w:right w:w="28" w:type="dxa"/>
        </w:tblCellMar>
      </w:tblPr>
      <w:tblGrid>
        <w:gridCol w:w="557"/>
        <w:gridCol w:w="492"/>
        <w:gridCol w:w="495"/>
        <w:gridCol w:w="109"/>
        <w:gridCol w:w="109"/>
        <w:gridCol w:w="109"/>
        <w:gridCol w:w="189"/>
        <w:gridCol w:w="189"/>
        <w:gridCol w:w="191"/>
        <w:gridCol w:w="109"/>
        <w:gridCol w:w="109"/>
        <w:gridCol w:w="109"/>
        <w:gridCol w:w="534"/>
        <w:gridCol w:w="534"/>
        <w:gridCol w:w="762"/>
      </w:tblGrid>
      <w:tr>
        <w:trPr/>
        <w:tc>
          <w:tcPr>
            <w:tcW w:w="557"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r>
      <w:tr>
        <w:trPr/>
        <w:tc>
          <w:tcPr>
            <w:tcW w:w="1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Date: May 11,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 Dino Xykis</w:t>
            </w:r>
          </w:p>
        </w:tc>
      </w:tr>
      <w:tr>
        <w:trPr/>
        <w:tc>
          <w:tcPr>
            <w:tcW w:w="1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Dino Xykis</w:t>
            </w:r>
          </w:p>
        </w:tc>
      </w:tr>
      <w:tr>
        <w:trPr/>
        <w:tc>
          <w:tcPr>
            <w:tcW w:w="1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Chief Executive Officer</w:t>
            </w:r>
          </w:p>
        </w:tc>
      </w:tr>
    </w:tbl>
    <w:p>
      <w:pPr>
        <w:pStyle w:val="TextBody"/>
        <w:bidi w:val="0"/>
        <w:spacing w:lineRule="auto" w:line="288" w:before="2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This certification accompanies each Report pursuant to Section 906 of the Sarbanes-Oxley Act of 2002 and shall not, except to the extent required by the Sarbanes-Oxley Act of 2002, be deemed filed by the Company for purposes of Section 18 of the Securities Exchange Act of 1934, as amended. </w:t>
      </w:r>
    </w:p>
    <w:p>
      <w:pPr>
        <w:pStyle w:val="TextBody"/>
        <w:bidi w:val="0"/>
        <w:spacing w:lineRule="auto" w:line="288" w:before="160" w:after="120"/>
        <w:jc w:val="both"/>
        <w:rPr>
          <w:rFonts w:ascii="Times New Roman;serif" w:hAnsi="Times New Roman;serif"/>
          <w:b w:val="false"/>
          <w:color w:val="000000"/>
          <w:sz w:val="20"/>
        </w:rPr>
      </w:pPr>
      <w:r>
        <w:rPr>
          <w:rFonts w:ascii="Times New Roman;serif" w:hAnsi="Times New Roman;serif"/>
          <w:b w:val="false"/>
          <w:color w:val="000000"/>
          <w:sz w:val="20"/>
        </w:rPr>
        <w:t>A signed original of this written statement required by Section 906 has been provided by the Company and will be retained by the Company and furnished to the Securities and Exchange Commission or its staff upon request.</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75260"/>
                <wp:effectExtent l="0" t="0" r="0" b="0"/>
                <wp:wrapNone/>
                <wp:docPr id="43" name="Frame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120"/>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OF THE PRINCIPAL FINANCIAL OFFICER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 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240" w:after="120"/>
        <w:jc w:val="both"/>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Power Solutions International, Inc. (the “Company”) on Form 10-Q for the three months ended March 31, 2026, as filed with the Securities and Exchange Commission on the date hereof (the “Report”), I, Xun Li, Chief Financial Officer of the Company, certify, pursuant to 18 U.S.C. 1350, as adopted pursuant to 906 of the Sarbanes-Oxley Act of 2002, that:</w:t>
      </w:r>
    </w:p>
    <w:p>
      <w:pPr>
        <w:pStyle w:val="TextBody"/>
        <w:bidi w:val="0"/>
        <w:spacing w:lineRule="auto" w:line="288" w:before="24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     The Report fully complies with the requirements of section 13(a) or 15(d) of the Securities Exchange Act of 1934; and</w:t>
      </w:r>
    </w:p>
    <w:p>
      <w:pPr>
        <w:pStyle w:val="TextBody"/>
        <w:bidi w:val="0"/>
        <w:spacing w:lineRule="auto" w:line="288" w:before="24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     The information contained in the Report fairly presents, in all material respects, the financial condition and results of operations of the Company.</w:t>
      </w:r>
    </w:p>
    <w:tbl>
      <w:tblPr>
        <w:tblW w:w="4552" w:type="dxa"/>
        <w:jc w:val="left"/>
        <w:tblInd w:w="0" w:type="dxa"/>
        <w:tblLayout w:type="fixed"/>
        <w:tblCellMar>
          <w:top w:w="28" w:type="dxa"/>
          <w:left w:w="28" w:type="dxa"/>
          <w:bottom w:w="28" w:type="dxa"/>
          <w:right w:w="28" w:type="dxa"/>
        </w:tblCellMar>
      </w:tblPr>
      <w:tblGrid>
        <w:gridCol w:w="557"/>
        <w:gridCol w:w="492"/>
        <w:gridCol w:w="495"/>
        <w:gridCol w:w="109"/>
        <w:gridCol w:w="109"/>
        <w:gridCol w:w="109"/>
        <w:gridCol w:w="189"/>
        <w:gridCol w:w="189"/>
        <w:gridCol w:w="191"/>
        <w:gridCol w:w="109"/>
        <w:gridCol w:w="109"/>
        <w:gridCol w:w="109"/>
        <w:gridCol w:w="523"/>
        <w:gridCol w:w="523"/>
        <w:gridCol w:w="739"/>
      </w:tblGrid>
      <w:tr>
        <w:trPr/>
        <w:tc>
          <w:tcPr>
            <w:tcW w:w="557"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r>
      <w:tr>
        <w:trPr/>
        <w:tc>
          <w:tcPr>
            <w:tcW w:w="1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Date: May 11,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 Xun Li</w:t>
            </w:r>
          </w:p>
        </w:tc>
      </w:tr>
      <w:tr>
        <w:trPr/>
        <w:tc>
          <w:tcPr>
            <w:tcW w:w="1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Xun Li</w:t>
            </w:r>
          </w:p>
        </w:tc>
      </w:tr>
      <w:tr>
        <w:trPr/>
        <w:tc>
          <w:tcPr>
            <w:tcW w:w="1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Chief Financial Officer</w:t>
            </w:r>
          </w:p>
        </w:tc>
      </w:tr>
    </w:tbl>
    <w:p>
      <w:pPr>
        <w:pStyle w:val="TextBody"/>
        <w:bidi w:val="0"/>
        <w:spacing w:lineRule="auto" w:line="288" w:before="6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This certification accompanies each Report pursuant to Section 906 of the Sarbanes-Oxley Act of 2002 and shall not, except to the extent required by the Sarbanes-Oxley Act of 2002, be deemed filed by the Company for purposes of Section 18 of the Securities Exchange Act of 1934, as amended. </w:t>
      </w:r>
    </w:p>
    <w:p>
      <w:pPr>
        <w:pStyle w:val="TextBody"/>
        <w:bidi w:val="0"/>
        <w:spacing w:lineRule="auto" w:line="288" w:before="160" w:after="120"/>
        <w:jc w:val="left"/>
        <w:rPr>
          <w:rFonts w:ascii="Times New Roman;serif" w:hAnsi="Times New Roman;serif"/>
          <w:b w:val="false"/>
          <w:color w:val="000000"/>
          <w:sz w:val="20"/>
        </w:rPr>
      </w:pPr>
      <w:r>
        <w:rPr>
          <w:rFonts w:ascii="Times New Roman;serif" w:hAnsi="Times New Roman;serif"/>
          <w:b w:val="false"/>
          <w:color w:val="000000"/>
          <w:sz w:val="20"/>
        </w:rPr>
        <w:t>A signed original of this written statement required by Section 906 has been provided by the Company and will be retained by the Company and furnished to the Securities and Exchange Commission or its staff upon request.</w:t>
      </w:r>
    </w:p>
    <w:p>
      <w:pPr>
        <w:pStyle w:val="TextBody"/>
        <w:bidi w:val="0"/>
        <w:spacing w:before="120" w:after="120"/>
        <w:jc w:val="both"/>
        <w:rPr/>
      </w:pPr>
      <w:r>
        <w:rPr/>
      </w:r>
    </w:p>
    <w:p>
      <w:pPr>
        <w:pStyle w:val="TextBody"/>
        <w:bidi w:val="0"/>
        <w:spacing w:before="160" w:after="120"/>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75260"/>
                <wp:effectExtent l="0" t="0" r="0" b="0"/>
                <wp:wrapNone/>
                <wp:docPr id="44" name="Frame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137091/000119312526100834/d114678dex101.htm" TargetMode="External"/><Relationship Id="rId4" Type="http://schemas.openxmlformats.org/officeDocument/2006/relationships/hyperlink" Target="https://www.sec.gov/Archives/edgar/data/1137091/000119312526100834/d114678dex102.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18696</Words>
  <Characters>104958</Characters>
  <CharactersWithSpaces>122552</CharactersWithSpaces>
  <Paragraphs>2180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