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Jin Zhao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20" w:type="dxa"/>
            <w:vAlign w:val="bottom"/>
            <w:tcBorders>
              <w:top w:val="single" w:sz="8" w:color="0000EE"/>
              <w:bottom w:val="single" w:sz="8" w:color="9A9A9A"/>
            </w:tcBorders>
          </w:tcPr>
          <w:p>
            <w:pPr>
              <w:spacing w:after="0"/>
              <w:rPr>
                <w:sz w:val="17"/>
                <w:szCs w:val="17"/>
                <w:color w:val="auto"/>
              </w:rPr>
            </w:pPr>
          </w:p>
        </w:tc>
        <w:tc>
          <w:tcPr>
            <w:tcW w:w="2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POWER SOLUTIONS INTERNATIONAL,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PSIX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ind w:left="40"/>
              <w:spacing w:after="0"/>
              <w:rPr>
                <w:sz w:val="20"/>
                <w:szCs w:val="20"/>
                <w:color w:val="auto"/>
              </w:rPr>
            </w:pPr>
            <w:r>
              <w:rPr>
                <w:rFonts w:ascii="Arial" w:cs="Arial" w:eastAsia="Arial" w:hAnsi="Arial"/>
                <w:sz w:val="15"/>
                <w:szCs w:val="15"/>
                <w:color w:val="auto"/>
              </w:rPr>
              <w:t>(Last)</w:t>
            </w:r>
          </w:p>
        </w:tc>
        <w:tc>
          <w:tcPr>
            <w:tcW w:w="920" w:type="dxa"/>
            <w:vAlign w:val="bottom"/>
          </w:tcPr>
          <w:p>
            <w:pPr>
              <w:ind w:left="2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201 MITTEL DRIVE</w:t>
            </w:r>
          </w:p>
        </w:tc>
        <w:tc>
          <w:tcPr>
            <w:tcW w:w="0" w:type="dxa"/>
            <w:vAlign w:val="bottom"/>
          </w:tcPr>
          <w:p>
            <w:pPr>
              <w:spacing w:after="0"/>
              <w:rPr>
                <w:sz w:val="1"/>
                <w:szCs w:val="1"/>
                <w:color w:val="auto"/>
              </w:rPr>
            </w:pPr>
          </w:p>
        </w:tc>
      </w:tr>
      <w:tr>
        <w:trPr>
          <w:trHeight w:val="237"/>
        </w:trPr>
        <w:tc>
          <w:tcPr>
            <w:tcW w:w="84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WOOD</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IL</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60191</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DALE</w:t>
            </w:r>
          </w:p>
        </w:tc>
        <w:tc>
          <w:tcPr>
            <w:tcW w:w="9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See 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8"/>
              </w:rPr>
              <w:t>/s/ Zhao Jin</w:t>
            </w:r>
          </w:p>
        </w:tc>
        <w:tc>
          <w:tcPr>
            <w:tcW w:w="980" w:type="dxa"/>
            <w:vAlign w:val="bottom"/>
          </w:tcPr>
          <w:p>
            <w:pPr>
              <w:spacing w:after="0"/>
              <w:rPr>
                <w:sz w:val="22"/>
                <w:szCs w:val="22"/>
                <w:color w:val="auto"/>
              </w:rPr>
            </w:pP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01/06/2026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(Section 16 Filings)</w:t>
      </w:r>
    </w:p>
    <w:p>
      <w:pPr>
        <w:spacing w:after="0" w:line="238" w:lineRule="exact"/>
        <w:rPr>
          <w:sz w:val="20"/>
          <w:szCs w:val="20"/>
          <w:color w:val="auto"/>
        </w:rPr>
      </w:pPr>
    </w:p>
    <w:p>
      <w:pPr>
        <w:jc w:val="both"/>
        <w:ind w:firstLine="827"/>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the General Counsel, Vice President of Human Resources &amp; Senior Counsel, or such other officers or employees of PSI as may be designated in writing by the General Counsel of Power Solutions International, Inc. (“</w:t>
      </w:r>
      <w:r>
        <w:rPr>
          <w:rFonts w:ascii="Times New Roman" w:cs="Times New Roman" w:eastAsia="Times New Roman" w:hAnsi="Times New Roman"/>
          <w:sz w:val="24"/>
          <w:szCs w:val="24"/>
          <w:u w:val="single" w:color="auto"/>
          <w:color w:val="auto"/>
        </w:rPr>
        <w:t>PSI</w:t>
      </w:r>
      <w:r>
        <w:rPr>
          <w:rFonts w:ascii="Times New Roman" w:cs="Times New Roman" w:eastAsia="Times New Roman" w:hAnsi="Times New Roman"/>
          <w:sz w:val="24"/>
          <w:szCs w:val="24"/>
          <w:color w:val="auto"/>
        </w:rPr>
        <w:t>”), as the undersigned’s true and lawful attorney-in-fact to:</w:t>
      </w:r>
    </w:p>
    <w:p>
      <w:pPr>
        <w:spacing w:after="0" w:line="254" w:lineRule="exact"/>
        <w:rPr>
          <w:sz w:val="20"/>
          <w:szCs w:val="20"/>
          <w:color w:val="auto"/>
        </w:rPr>
      </w:pPr>
    </w:p>
    <w:p>
      <w:pPr>
        <w:jc w:val="both"/>
        <w:ind w:left="360" w:hanging="360"/>
        <w:spacing w:after="0" w:line="237" w:lineRule="auto"/>
        <w:tabs>
          <w:tab w:leader="none" w:pos="360" w:val="left"/>
        </w:tabs>
        <w:numPr>
          <w:ilvl w:val="0"/>
          <w:numId w:val="4"/>
        </w:numPr>
        <w:rPr>
          <w:rFonts w:ascii="Times New Roman" w:cs="Times New Roman" w:eastAsia="Times New Roman" w:hAnsi="Times New Roman"/>
          <w:sz w:val="27"/>
          <w:szCs w:val="27"/>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PSI, Forms 3, 4 and 5 in accordance with Section 16(a) of the Securities Exchange Act of 1934 and the rules and regulations promulgated thereunder;</w:t>
      </w:r>
    </w:p>
    <w:p>
      <w:pPr>
        <w:spacing w:after="0" w:line="303" w:lineRule="exact"/>
        <w:rPr>
          <w:rFonts w:ascii="Times New Roman" w:cs="Times New Roman" w:eastAsia="Times New Roman" w:hAnsi="Times New Roman"/>
          <w:sz w:val="27"/>
          <w:szCs w:val="27"/>
          <w:color w:val="auto"/>
        </w:rPr>
      </w:pPr>
    </w:p>
    <w:p>
      <w:pPr>
        <w:jc w:val="both"/>
        <w:ind w:left="360" w:hanging="360"/>
        <w:spacing w:after="0" w:line="236" w:lineRule="auto"/>
        <w:tabs>
          <w:tab w:leader="none" w:pos="360" w:val="left"/>
        </w:tabs>
        <w:numPr>
          <w:ilvl w:val="0"/>
          <w:numId w:val="4"/>
        </w:numPr>
        <w:rPr>
          <w:rFonts w:ascii="Times New Roman" w:cs="Times New Roman" w:eastAsia="Times New Roman" w:hAnsi="Times New Roman"/>
          <w:sz w:val="27"/>
          <w:szCs w:val="27"/>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national quotation system, national securities exchange, stock exchange or similar authority; and</w:t>
      </w:r>
    </w:p>
    <w:p>
      <w:pPr>
        <w:spacing w:after="0" w:line="306" w:lineRule="exact"/>
        <w:rPr>
          <w:rFonts w:ascii="Times New Roman" w:cs="Times New Roman" w:eastAsia="Times New Roman" w:hAnsi="Times New Roman"/>
          <w:sz w:val="27"/>
          <w:szCs w:val="27"/>
          <w:color w:val="auto"/>
        </w:rPr>
      </w:pPr>
    </w:p>
    <w:p>
      <w:pPr>
        <w:jc w:val="both"/>
        <w:ind w:left="360" w:hanging="360"/>
        <w:spacing w:after="0" w:line="236" w:lineRule="auto"/>
        <w:tabs>
          <w:tab w:leader="none" w:pos="360" w:val="left"/>
        </w:tabs>
        <w:numPr>
          <w:ilvl w:val="0"/>
          <w:numId w:val="4"/>
        </w:numPr>
        <w:rPr>
          <w:rFonts w:ascii="Times New Roman" w:cs="Times New Roman" w:eastAsia="Times New Roman" w:hAnsi="Times New Roman"/>
          <w:sz w:val="27"/>
          <w:szCs w:val="27"/>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0" w:lineRule="exact"/>
        <w:rPr>
          <w:sz w:val="20"/>
          <w:szCs w:val="20"/>
          <w:color w:val="auto"/>
        </w:rPr>
      </w:pPr>
    </w:p>
    <w:p>
      <w:pPr>
        <w:jc w:val="both"/>
        <w:ind w:firstLine="827"/>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PSI assuming, any of the undersigned’s responsibilities to comply with Section 16 of the Securities Exchange Act of 1934.</w:t>
      </w:r>
    </w:p>
    <w:p>
      <w:pPr>
        <w:spacing w:after="0" w:line="238" w:lineRule="exact"/>
        <w:rPr>
          <w:sz w:val="20"/>
          <w:szCs w:val="20"/>
          <w:color w:val="auto"/>
        </w:rPr>
      </w:pPr>
    </w:p>
    <w:p>
      <w:pPr>
        <w:jc w:val="both"/>
        <w:ind w:firstLine="827"/>
        <w:spacing w:after="0" w:line="250"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PSI, unless earlier revoked by the undersigned in a signed writing delivered to the foregoing attorney-in-fact.</w:t>
      </w:r>
    </w:p>
    <w:p>
      <w:pPr>
        <w:spacing w:after="0" w:line="218" w:lineRule="exact"/>
        <w:rPr>
          <w:sz w:val="20"/>
          <w:szCs w:val="20"/>
          <w:color w:val="auto"/>
        </w:rPr>
      </w:pPr>
    </w:p>
    <w:p>
      <w:pPr>
        <w:jc w:val="both"/>
        <w:ind w:firstLine="827"/>
        <w:spacing w:after="0" w:line="24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6th day of January, 2026.</w:t>
      </w:r>
    </w:p>
    <w:p>
      <w:pPr>
        <w:jc w:val="right"/>
        <w:ind w:right="5220"/>
        <w:spacing w:after="0" w:line="235" w:lineRule="auto"/>
        <w:rPr>
          <w:sz w:val="20"/>
          <w:szCs w:val="20"/>
          <w:color w:val="auto"/>
        </w:rPr>
      </w:pPr>
      <w:r>
        <w:rPr>
          <w:rFonts w:ascii="Times New Roman" w:cs="Times New Roman" w:eastAsia="Times New Roman" w:hAnsi="Times New Roman"/>
          <w:sz w:val="24"/>
          <w:szCs w:val="24"/>
          <w:u w:val="single" w:color="auto"/>
          <w:color w:val="auto"/>
        </w:rPr>
        <w:t>/s/ Zhao Jin</w:t>
      </w:r>
    </w:p>
    <w:p>
      <w:pPr>
        <w:jc w:val="right"/>
        <w:ind w:right="5280"/>
        <w:spacing w:after="0"/>
        <w:rPr>
          <w:sz w:val="20"/>
          <w:szCs w:val="20"/>
          <w:color w:val="auto"/>
        </w:rPr>
      </w:pPr>
      <w:r>
        <w:rPr>
          <w:rFonts w:ascii="Times New Roman" w:cs="Times New Roman" w:eastAsia="Times New Roman" w:hAnsi="Times New Roman"/>
          <w:sz w:val="24"/>
          <w:szCs w:val="24"/>
          <w:color w:val="auto"/>
        </w:rPr>
        <w:t>Zhao Jin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977265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03935" TargetMode="External"/><Relationship Id="rId11" Type="http://schemas.openxmlformats.org/officeDocument/2006/relationships/hyperlink" Target="http://www.sec.gov/cgi-bin/browse-edgar?action=getcompany&amp;CIK=0001137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2026-01-06T17:33:46Z</dcterms:created>
  <dcterms:modified xsi:type="dcterms:W3CDTF">2026-01-06T17:33:46Z</dcterms:modified>
</cp:coreProperties>
</file>