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549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5491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spacing w:after="0" w:line="240"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Li Xun</w:t>
              </w:r>
            </w:hyperlink>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Borders>
              <w:bottom w:val="single" w:sz="8" w:color="0000EE"/>
            </w:tcBorders>
            <w:gridSpan w:val="5"/>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POWER SOLUTIONS</w:t>
              </w:r>
            </w:hyperlink>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80" w:type="dxa"/>
            <w:vAlign w:val="bottom"/>
            <w:gridSpan w:val="8"/>
            <w:vMerge w:val="restart"/>
          </w:tcPr>
          <w:p>
            <w:pPr>
              <w:spacing w:after="0" w:line="221"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INTERNATIONAL,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PSIX</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80" w:type="dxa"/>
            <w:vAlign w:val="bottom"/>
            <w:gridSpan w:val="8"/>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line="13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4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780" w:type="dxa"/>
            <w:vAlign w:val="bottom"/>
            <w:tcBorders>
              <w:top w:val="single" w:sz="8" w:color="EEEEEE"/>
              <w:bottom w:val="single" w:sz="8" w:color="EEEEEE"/>
            </w:tcBorders>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CFO</w:t>
            </w: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8"/>
            <w:vMerge w:val="continue"/>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8"/>
            <w:vMerge w:val="continue"/>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201 MITTEL DR</w:t>
            </w: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284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WOOD DALE   IL</w:t>
            </w:r>
          </w:p>
        </w:tc>
        <w:tc>
          <w:tcPr>
            <w:tcW w:w="10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60191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03/06/2026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1,665</w:t>
            </w:r>
          </w:p>
        </w:tc>
        <w:tc>
          <w:tcPr>
            <w:tcW w:w="320" w:type="dxa"/>
            <w:vAlign w:val="bottom"/>
          </w:tcPr>
          <w:p>
            <w:pPr>
              <w:spacing w:after="0"/>
              <w:rPr>
                <w:sz w:val="15"/>
                <w:szCs w:val="15"/>
                <w:color w:val="auto"/>
              </w:rPr>
            </w:pP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1,665</w:t>
            </w:r>
          </w:p>
        </w:tc>
        <w:tc>
          <w:tcPr>
            <w:tcW w:w="6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1,665</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Unit represents an unfunded, unsecured right to receive a cash payment equal to the average Fair Market Value per share of the Issuer's Common Stock over the thirty (30) trading days immediately preceding the applicable vesting date. Phantom Units are settled in cash only and do not entitle the Reporting Person to any shares of Common Stock or voting rights. One-third of the Phantom Units vest on each of March 6, 2027, March 6, 2028 and March 6, 2029, subject to the Reporting Person's continuous service with the Issuer or its affiliates.</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Kennith Li</w:t>
            </w:r>
          </w:p>
        </w:tc>
        <w:tc>
          <w:tcPr>
            <w:tcW w:w="12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04/17/2026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401" TargetMode="External"/><Relationship Id="rId14" Type="http://schemas.openxmlformats.org/officeDocument/2006/relationships/hyperlink" Target="http://www.sec.gov/cgi-bin/browse-edgar?action=getcompany&amp;CIK=0001137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2026-04-17T10:32:29Z</dcterms:created>
  <dcterms:modified xsi:type="dcterms:W3CDTF">2026-04-17T10:32:29Z</dcterms:modified>
</cp:coreProperties>
</file>