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251460</wp:posOffset>
            </wp:positionV>
            <wp:extent cx="1337310" cy="283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37310" cy="2832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37"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11"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8"/>
          <w:szCs w:val="18"/>
          <w:color w:val="auto"/>
        </w:rPr>
        <w:t>For the quarterly period ended June 30, 2024</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128" w:lineRule="exact"/>
        <w:rPr>
          <w:sz w:val="24"/>
          <w:szCs w:val="24"/>
          <w:color w:val="auto"/>
        </w:rPr>
      </w:pPr>
    </w:p>
    <w:p>
      <w:pPr>
        <w:ind w:left="480" w:hanging="454"/>
        <w:spacing w:after="0"/>
        <w:tabs>
          <w:tab w:leader="none" w:pos="4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97"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8"/>
          <w:szCs w:val="18"/>
          <w:color w:val="auto"/>
        </w:rPr>
        <w:t>For the transition period from ________to________</w:t>
      </w:r>
    </w:p>
    <w:p>
      <w:pPr>
        <w:spacing w:after="0" w:line="27"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8"/>
          <w:szCs w:val="18"/>
          <w:color w:val="auto"/>
        </w:rPr>
        <w:t>Commission file number 001-35944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POWER SOLUTIONS INTERNATIONAL, INC.</w:t>
      </w:r>
    </w:p>
    <w:p>
      <w:pPr>
        <w:spacing w:after="0" w:line="31"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tbl>
      <w:tblPr>
        <w:tblLayout w:type="fixed"/>
        <w:tblInd w:w="620" w:type="dxa"/>
        <w:tblCellMar>
          <w:top w:w="0" w:type="dxa"/>
          <w:left w:w="0" w:type="dxa"/>
          <w:bottom w:w="0" w:type="dxa"/>
          <w:right w:w="0" w:type="dxa"/>
        </w:tblCellMar>
      </w:tblPr>
      <w:tr>
        <w:trPr>
          <w:trHeight w:val="212"/>
        </w:trPr>
        <w:tc>
          <w:tcPr>
            <w:tcW w:w="2820" w:type="dxa"/>
            <w:vAlign w:val="bottom"/>
          </w:tcPr>
          <w:p>
            <w:pPr>
              <w:jc w:val="center"/>
              <w:ind w:left="107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720" w:type="dxa"/>
            <w:vAlign w:val="bottom"/>
          </w:tcPr>
          <w:p>
            <w:pPr>
              <w:spacing w:after="0"/>
              <w:rPr>
                <w:sz w:val="18"/>
                <w:szCs w:val="18"/>
                <w:color w:val="auto"/>
              </w:rPr>
            </w:pPr>
          </w:p>
        </w:tc>
        <w:tc>
          <w:tcPr>
            <w:tcW w:w="3300" w:type="dxa"/>
            <w:vAlign w:val="bottom"/>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33-0963637</w:t>
            </w:r>
          </w:p>
        </w:tc>
      </w:tr>
      <w:tr>
        <w:trPr>
          <w:trHeight w:val="229"/>
        </w:trPr>
        <w:tc>
          <w:tcPr>
            <w:tcW w:w="6540" w:type="dxa"/>
            <w:vAlign w:val="bottom"/>
            <w:gridSpan w:val="2"/>
          </w:tcPr>
          <w:p>
            <w:pPr>
              <w:jc w:val="center"/>
              <w:ind w:right="2479"/>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330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56"/>
        </w:trPr>
        <w:tc>
          <w:tcPr>
            <w:tcW w:w="6540" w:type="dxa"/>
            <w:vAlign w:val="bottom"/>
            <w:gridSpan w:val="2"/>
          </w:tcPr>
          <w:p>
            <w:pPr>
              <w:jc w:val="center"/>
              <w:ind w:right="2479"/>
              <w:spacing w:after="0"/>
              <w:rPr>
                <w:sz w:val="20"/>
                <w:szCs w:val="20"/>
                <w:color w:val="auto"/>
              </w:rPr>
            </w:pPr>
            <w:r>
              <w:rPr>
                <w:rFonts w:ascii="Times New Roman" w:cs="Times New Roman" w:eastAsia="Times New Roman" w:hAnsi="Times New Roman"/>
                <w:sz w:val="16"/>
                <w:szCs w:val="16"/>
                <w:b w:val="1"/>
                <w:bCs w:val="1"/>
                <w:color w:val="auto"/>
              </w:rPr>
              <w:t>201 Mittel Drive, Wood Dale, IL</w:t>
            </w:r>
          </w:p>
        </w:tc>
        <w:tc>
          <w:tcPr>
            <w:tcW w:w="3300" w:type="dxa"/>
            <w:vAlign w:val="bottom"/>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w w:val="99"/>
              </w:rPr>
              <w:t>60191</w:t>
            </w:r>
          </w:p>
        </w:tc>
      </w:tr>
      <w:tr>
        <w:trPr>
          <w:trHeight w:val="216"/>
        </w:trPr>
        <w:tc>
          <w:tcPr>
            <w:tcW w:w="6540" w:type="dxa"/>
            <w:vAlign w:val="bottom"/>
            <w:gridSpan w:val="2"/>
          </w:tcPr>
          <w:p>
            <w:pPr>
              <w:jc w:val="center"/>
              <w:ind w:right="249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30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(Zip Code)</w:t>
            </w:r>
          </w:p>
        </w:tc>
      </w:tr>
      <w:tr>
        <w:trPr>
          <w:trHeight w:val="216"/>
        </w:trPr>
        <w:tc>
          <w:tcPr>
            <w:tcW w:w="2820" w:type="dxa"/>
            <w:vAlign w:val="bottom"/>
          </w:tcPr>
          <w:p>
            <w:pPr>
              <w:spacing w:after="0"/>
              <w:rPr>
                <w:sz w:val="18"/>
                <w:szCs w:val="18"/>
                <w:color w:val="auto"/>
              </w:rPr>
            </w:pPr>
          </w:p>
        </w:tc>
        <w:tc>
          <w:tcPr>
            <w:tcW w:w="3720" w:type="dxa"/>
            <w:vAlign w:val="bottom"/>
          </w:tcPr>
          <w:p>
            <w:pPr>
              <w:jc w:val="center"/>
              <w:ind w:left="579"/>
              <w:spacing w:after="0"/>
              <w:rPr>
                <w:sz w:val="20"/>
                <w:szCs w:val="20"/>
                <w:color w:val="auto"/>
              </w:rPr>
            </w:pPr>
            <w:r>
              <w:rPr>
                <w:rFonts w:ascii="Times New Roman" w:cs="Times New Roman" w:eastAsia="Times New Roman" w:hAnsi="Times New Roman"/>
                <w:sz w:val="16"/>
                <w:szCs w:val="16"/>
                <w:b w:val="1"/>
                <w:bCs w:val="1"/>
                <w:color w:val="auto"/>
              </w:rPr>
              <w:t>(630) 350-9400</w:t>
            </w:r>
          </w:p>
        </w:tc>
        <w:tc>
          <w:tcPr>
            <w:tcW w:w="33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7020" w:type="dxa"/>
            <w:vAlign w:val="bottom"/>
            <w:gridSpan w:val="2"/>
          </w:tcPr>
          <w:p>
            <w:pPr>
              <w:jc w:val="center"/>
              <w:ind w:right="257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r>
      <w:tr>
        <w:trPr>
          <w:trHeight w:val="216"/>
        </w:trPr>
        <w:tc>
          <w:tcPr>
            <w:tcW w:w="2820" w:type="dxa"/>
            <w:vAlign w:val="bottom"/>
          </w:tcPr>
          <w:p>
            <w:pPr>
              <w:spacing w:after="0"/>
              <w:rPr>
                <w:sz w:val="18"/>
                <w:szCs w:val="18"/>
                <w:color w:val="auto"/>
              </w:rPr>
            </w:pPr>
          </w:p>
        </w:tc>
        <w:tc>
          <w:tcPr>
            <w:tcW w:w="7020" w:type="dxa"/>
            <w:vAlign w:val="bottom"/>
            <w:gridSpan w:val="2"/>
          </w:tcPr>
          <w:p>
            <w:pPr>
              <w:jc w:val="center"/>
              <w:ind w:right="255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216"/>
        </w:trPr>
        <w:tc>
          <w:tcPr>
            <w:tcW w:w="2820" w:type="dxa"/>
            <w:vAlign w:val="bottom"/>
          </w:tcPr>
          <w:p>
            <w:pPr>
              <w:jc w:val="center"/>
              <w:ind w:left="1079"/>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720" w:type="dxa"/>
            <w:vAlign w:val="bottom"/>
          </w:tcPr>
          <w:p>
            <w:pPr>
              <w:jc w:val="center"/>
              <w:ind w:left="1039"/>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300" w:type="dxa"/>
            <w:vAlign w:val="bottom"/>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16"/>
        </w:trPr>
        <w:tc>
          <w:tcPr>
            <w:tcW w:w="2820" w:type="dxa"/>
            <w:vAlign w:val="bottom"/>
          </w:tcPr>
          <w:p>
            <w:pPr>
              <w:jc w:val="center"/>
              <w:ind w:left="1079"/>
              <w:spacing w:after="0"/>
              <w:rPr>
                <w:sz w:val="20"/>
                <w:szCs w:val="20"/>
                <w:color w:val="auto"/>
              </w:rPr>
            </w:pPr>
            <w:r>
              <w:rPr>
                <w:rFonts w:ascii="Times New Roman" w:cs="Times New Roman" w:eastAsia="Times New Roman" w:hAnsi="Times New Roman"/>
                <w:sz w:val="16"/>
                <w:szCs w:val="16"/>
                <w:color w:val="auto"/>
                <w:w w:val="97"/>
              </w:rPr>
              <w:t>None</w:t>
            </w:r>
          </w:p>
        </w:tc>
        <w:tc>
          <w:tcPr>
            <w:tcW w:w="3720" w:type="dxa"/>
            <w:vAlign w:val="bottom"/>
          </w:tcPr>
          <w:p>
            <w:pPr>
              <w:jc w:val="center"/>
              <w:ind w:left="1039"/>
              <w:spacing w:after="0"/>
              <w:rPr>
                <w:sz w:val="20"/>
                <w:szCs w:val="20"/>
                <w:color w:val="auto"/>
              </w:rPr>
            </w:pPr>
            <w:r>
              <w:rPr>
                <w:rFonts w:ascii="Times New Roman" w:cs="Times New Roman" w:eastAsia="Times New Roman" w:hAnsi="Times New Roman"/>
                <w:sz w:val="16"/>
                <w:szCs w:val="16"/>
                <w:color w:val="auto"/>
                <w:w w:val="99"/>
              </w:rPr>
              <w:t>—</w:t>
            </w:r>
          </w:p>
        </w:tc>
        <w:tc>
          <w:tcPr>
            <w:tcW w:w="330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w w:val="99"/>
              </w:rPr>
              <w:t>—</w:t>
            </w:r>
          </w:p>
        </w:tc>
      </w:tr>
      <w:tr>
        <w:trPr>
          <w:trHeight w:val="216"/>
        </w:trPr>
        <w:tc>
          <w:tcPr>
            <w:tcW w:w="2820" w:type="dxa"/>
            <w:vAlign w:val="bottom"/>
          </w:tcPr>
          <w:p>
            <w:pPr>
              <w:spacing w:after="0"/>
              <w:rPr>
                <w:sz w:val="18"/>
                <w:szCs w:val="18"/>
                <w:color w:val="auto"/>
              </w:rPr>
            </w:pPr>
          </w:p>
        </w:tc>
        <w:tc>
          <w:tcPr>
            <w:tcW w:w="7020" w:type="dxa"/>
            <w:vAlign w:val="bottom"/>
            <w:gridSpan w:val="2"/>
          </w:tcPr>
          <w:p>
            <w:pPr>
              <w:jc w:val="center"/>
              <w:ind w:right="257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tc>
      </w:tr>
      <w:tr>
        <w:trPr>
          <w:trHeight w:val="216"/>
        </w:trPr>
        <w:tc>
          <w:tcPr>
            <w:tcW w:w="2820" w:type="dxa"/>
            <w:vAlign w:val="bottom"/>
          </w:tcPr>
          <w:p>
            <w:pPr>
              <w:spacing w:after="0"/>
              <w:rPr>
                <w:sz w:val="18"/>
                <w:szCs w:val="18"/>
                <w:color w:val="auto"/>
              </w:rPr>
            </w:pPr>
          </w:p>
        </w:tc>
        <w:tc>
          <w:tcPr>
            <w:tcW w:w="3720" w:type="dxa"/>
            <w:vAlign w:val="bottom"/>
          </w:tcPr>
          <w:p>
            <w:pPr>
              <w:jc w:val="center"/>
              <w:ind w:left="559"/>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330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78"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60"/>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ind w:right="140" w:firstLine="405"/>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8" w:lineRule="exact"/>
        <w:rPr>
          <w:sz w:val="24"/>
          <w:szCs w:val="24"/>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3" w:lineRule="exact"/>
        <w:rPr>
          <w:sz w:val="24"/>
          <w:szCs w:val="24"/>
          <w:color w:val="auto"/>
        </w:rPr>
      </w:pPr>
    </w:p>
    <w:tbl>
      <w:tblPr>
        <w:tblLayout w:type="fixed"/>
        <w:tblInd w:w="360" w:type="dxa"/>
        <w:tblCellMar>
          <w:top w:w="0" w:type="dxa"/>
          <w:left w:w="0" w:type="dxa"/>
          <w:bottom w:w="0" w:type="dxa"/>
          <w:right w:w="0" w:type="dxa"/>
        </w:tblCellMar>
      </w:tblPr>
      <w:tr>
        <w:trPr>
          <w:trHeight w:val="216"/>
        </w:trPr>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74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494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Accelerated filer</w:t>
            </w:r>
          </w:p>
        </w:tc>
        <w:tc>
          <w:tcPr>
            <w:tcW w:w="1140" w:type="dxa"/>
            <w:vAlign w:val="bottom"/>
          </w:tcPr>
          <w:p>
            <w:pPr>
              <w:ind w:left="10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74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494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140" w:type="dxa"/>
            <w:vAlign w:val="bottom"/>
          </w:tcPr>
          <w:p>
            <w:pPr>
              <w:ind w:left="10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90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494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Emerging growth company</w:t>
            </w:r>
          </w:p>
        </w:tc>
        <w:tc>
          <w:tcPr>
            <w:tcW w:w="1140" w:type="dxa"/>
            <w:vAlign w:val="bottom"/>
          </w:tcPr>
          <w:p>
            <w:pPr>
              <w:ind w:left="10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3" w:lineRule="exact"/>
        <w:rPr>
          <w:sz w:val="24"/>
          <w:szCs w:val="24"/>
          <w:color w:val="auto"/>
        </w:rPr>
      </w:pPr>
    </w:p>
    <w:p>
      <w:pPr>
        <w:ind w:right="100" w:firstLine="405"/>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420" w:right="1540"/>
        <w:spacing w:after="0" w:line="25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August 5, 2024, there were 22,991,096 outstanding shares of the Common Stock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0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920" w:type="dxa"/>
            <w:vAlign w:val="bottom"/>
            <w:gridSpan w:val="5"/>
          </w:tcPr>
          <w:p>
            <w:pPr>
              <w:ind w:left="260"/>
              <w:spacing w:after="0"/>
              <w:rPr>
                <w:sz w:val="20"/>
                <w:szCs w:val="20"/>
                <w:color w:val="auto"/>
              </w:rPr>
            </w:pPr>
            <w:r>
              <w:rPr>
                <w:rFonts w:ascii="Times New Roman" w:cs="Times New Roman" w:eastAsia="Times New Roman" w:hAnsi="Times New Roman"/>
                <w:sz w:val="16"/>
                <w:szCs w:val="16"/>
                <w:color w:val="auto"/>
              </w:rPr>
              <w:t>Page</w:t>
            </w:r>
          </w:p>
        </w:tc>
      </w:tr>
      <w:tr>
        <w:trPr>
          <w:trHeight w:val="216"/>
        </w:trPr>
        <w:tc>
          <w:tcPr>
            <w:tcW w:w="1000" w:type="dxa"/>
            <w:vAlign w:val="bottom"/>
          </w:tcPr>
          <w:p>
            <w:pPr>
              <w:spacing w:after="0"/>
              <w:rPr>
                <w:sz w:val="18"/>
                <w:szCs w:val="18"/>
                <w:color w:val="auto"/>
              </w:rPr>
            </w:pPr>
          </w:p>
        </w:tc>
        <w:tc>
          <w:tcPr>
            <w:tcW w:w="9320" w:type="dxa"/>
            <w:vAlign w:val="bottom"/>
          </w:tcPr>
          <w:p>
            <w:pPr>
              <w:ind w:left="3280"/>
              <w:spacing w:after="0"/>
              <w:rPr>
                <w:sz w:val="20"/>
                <w:szCs w:val="20"/>
                <w:color w:val="auto"/>
              </w:rPr>
            </w:pPr>
            <w:r>
              <w:rPr>
                <w:rFonts w:ascii="Times New Roman" w:cs="Times New Roman" w:eastAsia="Times New Roman" w:hAnsi="Times New Roman"/>
                <w:sz w:val="16"/>
                <w:szCs w:val="16"/>
                <w:color w:val="auto"/>
              </w:rPr>
              <w:t>PART I – FINANCIAL INFORMATION</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182"/>
        </w:trPr>
        <w:tc>
          <w:tcPr>
            <w:tcW w:w="1000" w:type="dxa"/>
            <w:vAlign w:val="bottom"/>
          </w:tcPr>
          <w:p>
            <w:pPr>
              <w:spacing w:after="0"/>
              <w:rPr>
                <w:sz w:val="15"/>
                <w:szCs w:val="15"/>
                <w:color w:val="auto"/>
              </w:rPr>
            </w:pPr>
          </w:p>
        </w:tc>
        <w:tc>
          <w:tcPr>
            <w:tcW w:w="9320" w:type="dxa"/>
            <w:vAlign w:val="bottom"/>
          </w:tcPr>
          <w:p>
            <w:pPr>
              <w:ind w:left="380"/>
              <w:spacing w:after="0" w:line="181" w:lineRule="exact"/>
              <w:rPr>
                <w:sz w:val="20"/>
                <w:szCs w:val="20"/>
                <w:color w:val="auto"/>
              </w:rPr>
            </w:pPr>
            <w:r>
              <w:rPr>
                <w:rFonts w:ascii="Times New Roman" w:cs="Times New Roman" w:eastAsia="Times New Roman" w:hAnsi="Times New Roman"/>
                <w:sz w:val="16"/>
                <w:szCs w:val="16"/>
                <w:color w:val="auto"/>
              </w:rPr>
              <w:t>Forward-Looking Statements</w:t>
            </w:r>
          </w:p>
        </w:tc>
        <w:tc>
          <w:tcPr>
            <w:tcW w:w="380" w:type="dxa"/>
            <w:vAlign w:val="bottom"/>
            <w:gridSpan w:val="2"/>
          </w:tcPr>
          <w:p>
            <w:pPr>
              <w:spacing w:after="0"/>
              <w:rPr>
                <w:sz w:val="15"/>
                <w:szCs w:val="15"/>
                <w:color w:val="auto"/>
              </w:rPr>
            </w:pPr>
          </w:p>
        </w:tc>
        <w:tc>
          <w:tcPr>
            <w:tcW w:w="80" w:type="dxa"/>
            <w:vAlign w:val="bottom"/>
            <w:tcBorders>
              <w:bottom w:val="single" w:sz="8" w:color="0000FF"/>
            </w:tcBorders>
          </w:tcPr>
          <w:p>
            <w:pPr>
              <w:jc w:val="center"/>
              <w:spacing w:after="0" w:line="181" w:lineRule="exact"/>
              <w:rPr>
                <w:sz w:val="20"/>
                <w:szCs w:val="20"/>
                <w:color w:val="auto"/>
              </w:rPr>
            </w:pPr>
            <w:r>
              <w:rPr>
                <w:rFonts w:ascii="Times New Roman" w:cs="Times New Roman" w:eastAsia="Times New Roman" w:hAnsi="Times New Roman"/>
                <w:sz w:val="16"/>
                <w:szCs w:val="16"/>
                <w:color w:val="0000FF"/>
                <w:w w:val="99"/>
              </w:rPr>
              <w:t>3</w:t>
            </w: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96"/>
        </w:trPr>
        <w:tc>
          <w:tcPr>
            <w:tcW w:w="1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Item 1.</w:t>
            </w:r>
          </w:p>
        </w:tc>
        <w:tc>
          <w:tcPr>
            <w:tcW w:w="9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Financial Statements</w:t>
            </w:r>
          </w:p>
        </w:tc>
        <w:tc>
          <w:tcPr>
            <w:tcW w:w="380" w:type="dxa"/>
            <w:vAlign w:val="bottom"/>
            <w:gridSpan w:val="2"/>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99"/>
              </w:rPr>
              <w:t>4</w:t>
            </w: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932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Consolidated Balance Sheets as of June 30, 2024 (Unaudited) and December 31, 2023</w:t>
            </w:r>
          </w:p>
        </w:tc>
        <w:tc>
          <w:tcPr>
            <w:tcW w:w="380" w:type="dxa"/>
            <w:vAlign w:val="bottom"/>
            <w:gridSpan w:val="2"/>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99"/>
              </w:rPr>
              <w:t>4</w:t>
            </w: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932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Consolidated Statements of Income for the three and six months ended June 30, 2024 and 2023 (Unaudited)</w:t>
            </w:r>
          </w:p>
        </w:tc>
        <w:tc>
          <w:tcPr>
            <w:tcW w:w="380" w:type="dxa"/>
            <w:vAlign w:val="bottom"/>
            <w:gridSpan w:val="2"/>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99"/>
              </w:rPr>
              <w:t>5</w:t>
            </w: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932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Consolidated Statements of Stockholders’ Equity (Deficit) for the three and six months ended June 30, 2024 and 2023 (Unaudited)</w:t>
            </w:r>
          </w:p>
        </w:tc>
        <w:tc>
          <w:tcPr>
            <w:tcW w:w="380" w:type="dxa"/>
            <w:vAlign w:val="bottom"/>
            <w:gridSpan w:val="2"/>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99"/>
              </w:rPr>
              <w:t>6</w:t>
            </w: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932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Consolidated Statements of Cash Flows for the six months ended June 30, 2024 and 2023 (Unaudited)</w:t>
            </w:r>
          </w:p>
        </w:tc>
        <w:tc>
          <w:tcPr>
            <w:tcW w:w="380" w:type="dxa"/>
            <w:vAlign w:val="bottom"/>
            <w:gridSpan w:val="2"/>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99"/>
              </w:rPr>
              <w:t>7</w:t>
            </w: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932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Notes to Consolidated Financial Statements (Unaudited)</w:t>
            </w:r>
          </w:p>
        </w:tc>
        <w:tc>
          <w:tcPr>
            <w:tcW w:w="380" w:type="dxa"/>
            <w:vAlign w:val="bottom"/>
            <w:gridSpan w:val="2"/>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99"/>
              </w:rPr>
              <w:t>8</w:t>
            </w: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196"/>
        </w:trPr>
        <w:tc>
          <w:tcPr>
            <w:tcW w:w="1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Item 2.</w:t>
            </w:r>
          </w:p>
        </w:tc>
        <w:tc>
          <w:tcPr>
            <w:tcW w:w="9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Management’s Discussion and Analysis of Financial Condition and Results of Operations</w:t>
            </w:r>
          </w:p>
        </w:tc>
        <w:tc>
          <w:tcPr>
            <w:tcW w:w="500" w:type="dxa"/>
            <w:vAlign w:val="bottom"/>
            <w:gridSpan w:val="4"/>
          </w:tcPr>
          <w:p>
            <w:pPr>
              <w:jc w:val="center"/>
              <w:ind w:left="259"/>
              <w:spacing w:after="0"/>
              <w:rPr>
                <w:sz w:val="20"/>
                <w:szCs w:val="20"/>
                <w:color w:val="auto"/>
              </w:rPr>
            </w:pPr>
            <w:r>
              <w:rPr>
                <w:rFonts w:ascii="Times New Roman" w:cs="Times New Roman" w:eastAsia="Times New Roman" w:hAnsi="Times New Roman"/>
                <w:sz w:val="16"/>
                <w:szCs w:val="16"/>
                <w:color w:val="0000FF"/>
                <w:w w:val="99"/>
              </w:rPr>
              <w:t>25</w:t>
            </w:r>
          </w:p>
        </w:tc>
        <w:tc>
          <w:tcPr>
            <w:tcW w:w="42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1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Item 3.</w:t>
            </w:r>
          </w:p>
        </w:tc>
        <w:tc>
          <w:tcPr>
            <w:tcW w:w="9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Quantitative and Qualitative Disclosures About Market Risk</w:t>
            </w:r>
          </w:p>
        </w:tc>
        <w:tc>
          <w:tcPr>
            <w:tcW w:w="500" w:type="dxa"/>
            <w:vAlign w:val="bottom"/>
            <w:gridSpan w:val="4"/>
          </w:tcPr>
          <w:p>
            <w:pPr>
              <w:jc w:val="center"/>
              <w:ind w:left="259"/>
              <w:spacing w:after="0"/>
              <w:rPr>
                <w:sz w:val="20"/>
                <w:szCs w:val="20"/>
                <w:color w:val="auto"/>
              </w:rPr>
            </w:pPr>
            <w:r>
              <w:rPr>
                <w:rFonts w:ascii="Times New Roman" w:cs="Times New Roman" w:eastAsia="Times New Roman" w:hAnsi="Times New Roman"/>
                <w:sz w:val="16"/>
                <w:szCs w:val="16"/>
                <w:color w:val="0000FF"/>
                <w:w w:val="99"/>
              </w:rPr>
              <w:t>34</w:t>
            </w:r>
          </w:p>
        </w:tc>
        <w:tc>
          <w:tcPr>
            <w:tcW w:w="42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1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Item 4.</w:t>
            </w:r>
          </w:p>
        </w:tc>
        <w:tc>
          <w:tcPr>
            <w:tcW w:w="9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Controls and Procedures</w:t>
            </w:r>
          </w:p>
        </w:tc>
        <w:tc>
          <w:tcPr>
            <w:tcW w:w="500" w:type="dxa"/>
            <w:vAlign w:val="bottom"/>
            <w:gridSpan w:val="4"/>
          </w:tcPr>
          <w:p>
            <w:pPr>
              <w:jc w:val="center"/>
              <w:ind w:left="259"/>
              <w:spacing w:after="0"/>
              <w:rPr>
                <w:sz w:val="20"/>
                <w:szCs w:val="20"/>
                <w:color w:val="auto"/>
              </w:rPr>
            </w:pPr>
            <w:r>
              <w:rPr>
                <w:rFonts w:ascii="Times New Roman" w:cs="Times New Roman" w:eastAsia="Times New Roman" w:hAnsi="Times New Roman"/>
                <w:sz w:val="16"/>
                <w:szCs w:val="16"/>
                <w:color w:val="0000FF"/>
                <w:w w:val="99"/>
              </w:rPr>
              <w:t>35</w:t>
            </w:r>
          </w:p>
        </w:tc>
        <w:tc>
          <w:tcPr>
            <w:tcW w:w="420" w:type="dxa"/>
            <w:vAlign w:val="bottom"/>
          </w:tcPr>
          <w:p>
            <w:pPr>
              <w:spacing w:after="0"/>
              <w:rPr>
                <w:sz w:val="17"/>
                <w:szCs w:val="17"/>
                <w:color w:val="auto"/>
              </w:rPr>
            </w:pPr>
          </w:p>
        </w:tc>
      </w:tr>
      <w:tr>
        <w:trPr>
          <w:trHeight w:val="231"/>
        </w:trPr>
        <w:tc>
          <w:tcPr>
            <w:tcW w:w="1000" w:type="dxa"/>
            <w:vAlign w:val="bottom"/>
          </w:tcPr>
          <w:p>
            <w:pPr>
              <w:spacing w:after="0"/>
              <w:rPr>
                <w:sz w:val="20"/>
                <w:szCs w:val="20"/>
                <w:color w:val="auto"/>
              </w:rPr>
            </w:pPr>
          </w:p>
        </w:tc>
        <w:tc>
          <w:tcPr>
            <w:tcW w:w="9320" w:type="dxa"/>
            <w:vAlign w:val="bottom"/>
          </w:tcPr>
          <w:p>
            <w:pPr>
              <w:ind w:left="3420"/>
              <w:spacing w:after="0"/>
              <w:rPr>
                <w:sz w:val="20"/>
                <w:szCs w:val="20"/>
                <w:color w:val="auto"/>
              </w:rPr>
            </w:pPr>
            <w:r>
              <w:rPr>
                <w:rFonts w:ascii="Times New Roman" w:cs="Times New Roman" w:eastAsia="Times New Roman" w:hAnsi="Times New Roman"/>
                <w:sz w:val="16"/>
                <w:szCs w:val="16"/>
                <w:color w:val="auto"/>
              </w:rPr>
              <w:t>PART II – OTHER INFORMATION</w:t>
            </w:r>
          </w:p>
        </w:tc>
        <w:tc>
          <w:tcPr>
            <w:tcW w:w="34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20" w:type="dxa"/>
            <w:vAlign w:val="bottom"/>
          </w:tcPr>
          <w:p>
            <w:pPr>
              <w:spacing w:after="0"/>
              <w:rPr>
                <w:sz w:val="20"/>
                <w:szCs w:val="20"/>
                <w:color w:val="auto"/>
              </w:rPr>
            </w:pPr>
          </w:p>
        </w:tc>
      </w:tr>
      <w:tr>
        <w:trPr>
          <w:trHeight w:val="182"/>
        </w:trPr>
        <w:tc>
          <w:tcPr>
            <w:tcW w:w="1000" w:type="dxa"/>
            <w:vAlign w:val="bottom"/>
          </w:tcPr>
          <w:p>
            <w:pPr>
              <w:ind w:left="60"/>
              <w:spacing w:after="0" w:line="181" w:lineRule="exact"/>
              <w:rPr>
                <w:sz w:val="20"/>
                <w:szCs w:val="20"/>
                <w:color w:val="auto"/>
              </w:rPr>
            </w:pPr>
            <w:r>
              <w:rPr>
                <w:rFonts w:ascii="Times New Roman" w:cs="Times New Roman" w:eastAsia="Times New Roman" w:hAnsi="Times New Roman"/>
                <w:sz w:val="16"/>
                <w:szCs w:val="16"/>
                <w:color w:val="auto"/>
              </w:rPr>
              <w:t>Item 1.</w:t>
            </w:r>
          </w:p>
        </w:tc>
        <w:tc>
          <w:tcPr>
            <w:tcW w:w="9320" w:type="dxa"/>
            <w:vAlign w:val="bottom"/>
          </w:tcPr>
          <w:p>
            <w:pPr>
              <w:ind w:left="380"/>
              <w:spacing w:after="0" w:line="181" w:lineRule="exact"/>
              <w:rPr>
                <w:sz w:val="20"/>
                <w:szCs w:val="20"/>
                <w:color w:val="auto"/>
              </w:rPr>
            </w:pPr>
            <w:r>
              <w:rPr>
                <w:rFonts w:ascii="Times New Roman" w:cs="Times New Roman" w:eastAsia="Times New Roman" w:hAnsi="Times New Roman"/>
                <w:sz w:val="16"/>
                <w:szCs w:val="16"/>
                <w:color w:val="auto"/>
              </w:rPr>
              <w:t>Legal Proceedings</w:t>
            </w:r>
          </w:p>
        </w:tc>
        <w:tc>
          <w:tcPr>
            <w:tcW w:w="500" w:type="dxa"/>
            <w:vAlign w:val="bottom"/>
            <w:gridSpan w:val="4"/>
          </w:tcPr>
          <w:p>
            <w:pPr>
              <w:jc w:val="center"/>
              <w:ind w:left="259"/>
              <w:spacing w:after="0" w:line="181" w:lineRule="exact"/>
              <w:rPr>
                <w:sz w:val="20"/>
                <w:szCs w:val="20"/>
                <w:color w:val="auto"/>
              </w:rPr>
            </w:pPr>
            <w:r>
              <w:rPr>
                <w:rFonts w:ascii="Times New Roman" w:cs="Times New Roman" w:eastAsia="Times New Roman" w:hAnsi="Times New Roman"/>
                <w:sz w:val="16"/>
                <w:szCs w:val="16"/>
                <w:color w:val="0000FF"/>
                <w:w w:val="99"/>
              </w:rPr>
              <w:t>36</w:t>
            </w:r>
          </w:p>
        </w:tc>
        <w:tc>
          <w:tcPr>
            <w:tcW w:w="420" w:type="dxa"/>
            <w:vAlign w:val="bottom"/>
          </w:tcPr>
          <w:p>
            <w:pPr>
              <w:spacing w:after="0"/>
              <w:rPr>
                <w:sz w:val="15"/>
                <w:szCs w:val="15"/>
                <w:color w:val="auto"/>
              </w:rPr>
            </w:pPr>
          </w:p>
        </w:tc>
      </w:tr>
      <w:tr>
        <w:trPr>
          <w:trHeight w:val="20"/>
        </w:trPr>
        <w:tc>
          <w:tcPr>
            <w:tcW w:w="100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1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Item 1A.</w:t>
            </w:r>
          </w:p>
        </w:tc>
        <w:tc>
          <w:tcPr>
            <w:tcW w:w="9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Risk Factors</w:t>
            </w:r>
          </w:p>
        </w:tc>
        <w:tc>
          <w:tcPr>
            <w:tcW w:w="500" w:type="dxa"/>
            <w:vAlign w:val="bottom"/>
            <w:gridSpan w:val="4"/>
          </w:tcPr>
          <w:p>
            <w:pPr>
              <w:jc w:val="center"/>
              <w:ind w:left="259"/>
              <w:spacing w:after="0"/>
              <w:rPr>
                <w:sz w:val="20"/>
                <w:szCs w:val="20"/>
                <w:color w:val="auto"/>
              </w:rPr>
            </w:pPr>
            <w:r>
              <w:rPr>
                <w:rFonts w:ascii="Times New Roman" w:cs="Times New Roman" w:eastAsia="Times New Roman" w:hAnsi="Times New Roman"/>
                <w:sz w:val="16"/>
                <w:szCs w:val="16"/>
                <w:color w:val="0000FF"/>
                <w:w w:val="99"/>
              </w:rPr>
              <w:t>36</w:t>
            </w:r>
          </w:p>
        </w:tc>
        <w:tc>
          <w:tcPr>
            <w:tcW w:w="42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1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Item 2.</w:t>
            </w:r>
          </w:p>
        </w:tc>
        <w:tc>
          <w:tcPr>
            <w:tcW w:w="9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Unregistered Sales of Equity Securities and Use of Proceeds</w:t>
            </w:r>
          </w:p>
        </w:tc>
        <w:tc>
          <w:tcPr>
            <w:tcW w:w="500" w:type="dxa"/>
            <w:vAlign w:val="bottom"/>
            <w:gridSpan w:val="4"/>
          </w:tcPr>
          <w:p>
            <w:pPr>
              <w:jc w:val="center"/>
              <w:ind w:left="259"/>
              <w:spacing w:after="0"/>
              <w:rPr>
                <w:sz w:val="20"/>
                <w:szCs w:val="20"/>
                <w:color w:val="auto"/>
              </w:rPr>
            </w:pPr>
            <w:r>
              <w:rPr>
                <w:rFonts w:ascii="Times New Roman" w:cs="Times New Roman" w:eastAsia="Times New Roman" w:hAnsi="Times New Roman"/>
                <w:sz w:val="16"/>
                <w:szCs w:val="16"/>
                <w:color w:val="0000FF"/>
                <w:w w:val="99"/>
              </w:rPr>
              <w:t>36</w:t>
            </w:r>
          </w:p>
        </w:tc>
        <w:tc>
          <w:tcPr>
            <w:tcW w:w="42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1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Item 3.</w:t>
            </w:r>
          </w:p>
        </w:tc>
        <w:tc>
          <w:tcPr>
            <w:tcW w:w="9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Defaults Upon Senior Securities</w:t>
            </w:r>
          </w:p>
        </w:tc>
        <w:tc>
          <w:tcPr>
            <w:tcW w:w="500" w:type="dxa"/>
            <w:vAlign w:val="bottom"/>
            <w:gridSpan w:val="4"/>
          </w:tcPr>
          <w:p>
            <w:pPr>
              <w:jc w:val="center"/>
              <w:ind w:left="259"/>
              <w:spacing w:after="0"/>
              <w:rPr>
                <w:sz w:val="20"/>
                <w:szCs w:val="20"/>
                <w:color w:val="auto"/>
              </w:rPr>
            </w:pPr>
            <w:r>
              <w:rPr>
                <w:rFonts w:ascii="Times New Roman" w:cs="Times New Roman" w:eastAsia="Times New Roman" w:hAnsi="Times New Roman"/>
                <w:sz w:val="16"/>
                <w:szCs w:val="16"/>
                <w:color w:val="0000FF"/>
                <w:w w:val="99"/>
              </w:rPr>
              <w:t>36</w:t>
            </w:r>
          </w:p>
        </w:tc>
        <w:tc>
          <w:tcPr>
            <w:tcW w:w="42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1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Item 4.</w:t>
            </w:r>
          </w:p>
        </w:tc>
        <w:tc>
          <w:tcPr>
            <w:tcW w:w="9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Mine Safety Disclosures</w:t>
            </w:r>
          </w:p>
        </w:tc>
        <w:tc>
          <w:tcPr>
            <w:tcW w:w="500" w:type="dxa"/>
            <w:vAlign w:val="bottom"/>
            <w:gridSpan w:val="4"/>
          </w:tcPr>
          <w:p>
            <w:pPr>
              <w:jc w:val="center"/>
              <w:ind w:left="259"/>
              <w:spacing w:after="0"/>
              <w:rPr>
                <w:sz w:val="20"/>
                <w:szCs w:val="20"/>
                <w:color w:val="auto"/>
              </w:rPr>
            </w:pPr>
            <w:r>
              <w:rPr>
                <w:rFonts w:ascii="Times New Roman" w:cs="Times New Roman" w:eastAsia="Times New Roman" w:hAnsi="Times New Roman"/>
                <w:sz w:val="16"/>
                <w:szCs w:val="16"/>
                <w:color w:val="0000FF"/>
                <w:w w:val="99"/>
              </w:rPr>
              <w:t>36</w:t>
            </w:r>
          </w:p>
        </w:tc>
        <w:tc>
          <w:tcPr>
            <w:tcW w:w="42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1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Item 5.</w:t>
            </w:r>
          </w:p>
        </w:tc>
        <w:tc>
          <w:tcPr>
            <w:tcW w:w="9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 Information</w:t>
            </w:r>
          </w:p>
        </w:tc>
        <w:tc>
          <w:tcPr>
            <w:tcW w:w="500" w:type="dxa"/>
            <w:vAlign w:val="bottom"/>
            <w:gridSpan w:val="4"/>
          </w:tcPr>
          <w:p>
            <w:pPr>
              <w:jc w:val="center"/>
              <w:ind w:left="259"/>
              <w:spacing w:after="0"/>
              <w:rPr>
                <w:sz w:val="20"/>
                <w:szCs w:val="20"/>
                <w:color w:val="auto"/>
              </w:rPr>
            </w:pPr>
            <w:r>
              <w:rPr>
                <w:rFonts w:ascii="Times New Roman" w:cs="Times New Roman" w:eastAsia="Times New Roman" w:hAnsi="Times New Roman"/>
                <w:sz w:val="16"/>
                <w:szCs w:val="16"/>
                <w:color w:val="0000FF"/>
                <w:w w:val="99"/>
              </w:rPr>
              <w:t>36</w:t>
            </w:r>
          </w:p>
        </w:tc>
        <w:tc>
          <w:tcPr>
            <w:tcW w:w="42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1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Item 6.</w:t>
            </w:r>
          </w:p>
        </w:tc>
        <w:tc>
          <w:tcPr>
            <w:tcW w:w="9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Exhibits</w:t>
            </w:r>
          </w:p>
        </w:tc>
        <w:tc>
          <w:tcPr>
            <w:tcW w:w="500" w:type="dxa"/>
            <w:vAlign w:val="bottom"/>
            <w:gridSpan w:val="4"/>
          </w:tcPr>
          <w:p>
            <w:pPr>
              <w:jc w:val="center"/>
              <w:ind w:left="259"/>
              <w:spacing w:after="0"/>
              <w:rPr>
                <w:sz w:val="20"/>
                <w:szCs w:val="20"/>
                <w:color w:val="auto"/>
              </w:rPr>
            </w:pPr>
            <w:r>
              <w:rPr>
                <w:rFonts w:ascii="Times New Roman" w:cs="Times New Roman" w:eastAsia="Times New Roman" w:hAnsi="Times New Roman"/>
                <w:sz w:val="16"/>
                <w:szCs w:val="16"/>
                <w:color w:val="0000FF"/>
                <w:w w:val="99"/>
              </w:rPr>
              <w:t>37</w:t>
            </w:r>
          </w:p>
        </w:tc>
        <w:tc>
          <w:tcPr>
            <w:tcW w:w="42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9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Signatures</w:t>
            </w:r>
          </w:p>
        </w:tc>
        <w:tc>
          <w:tcPr>
            <w:tcW w:w="500" w:type="dxa"/>
            <w:vAlign w:val="bottom"/>
            <w:gridSpan w:val="4"/>
          </w:tcPr>
          <w:p>
            <w:pPr>
              <w:jc w:val="center"/>
              <w:ind w:left="259"/>
              <w:spacing w:after="0"/>
              <w:rPr>
                <w:sz w:val="20"/>
                <w:szCs w:val="20"/>
                <w:color w:val="auto"/>
              </w:rPr>
            </w:pPr>
            <w:r>
              <w:rPr>
                <w:rFonts w:ascii="Times New Roman" w:cs="Times New Roman" w:eastAsia="Times New Roman" w:hAnsi="Times New Roman"/>
                <w:sz w:val="16"/>
                <w:szCs w:val="16"/>
                <w:color w:val="0000FF"/>
                <w:w w:val="99"/>
              </w:rPr>
              <w:t>37</w:t>
            </w:r>
          </w:p>
        </w:tc>
        <w:tc>
          <w:tcPr>
            <w:tcW w:w="420" w:type="dxa"/>
            <w:vAlign w:val="bottom"/>
          </w:tcPr>
          <w:p>
            <w:pPr>
              <w:spacing w:after="0"/>
              <w:rPr>
                <w:sz w:val="17"/>
                <w:szCs w:val="17"/>
                <w:color w:val="auto"/>
              </w:rPr>
            </w:pPr>
          </w:p>
        </w:tc>
      </w:tr>
      <w:tr>
        <w:trPr>
          <w:trHeight w:val="1458"/>
        </w:trPr>
        <w:tc>
          <w:tcPr>
            <w:tcW w:w="1000" w:type="dxa"/>
            <w:vAlign w:val="bottom"/>
            <w:tcBorders>
              <w:bottom w:val="single" w:sz="8" w:color="9A9A9A"/>
            </w:tcBorders>
          </w:tcPr>
          <w:p>
            <w:pPr>
              <w:spacing w:after="0"/>
              <w:rPr>
                <w:sz w:val="24"/>
                <w:szCs w:val="24"/>
                <w:color w:val="auto"/>
              </w:rPr>
            </w:pPr>
          </w:p>
        </w:tc>
        <w:tc>
          <w:tcPr>
            <w:tcW w:w="93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Certain statements contained in this Quarterly Report on Form 10-Q for the three months ended June 30, 2024, (the “Quarterly Report”) that are not historical facts are intended to constitute “forward-looking statements” entitled to the safe-harbor provisions of Section 21E of the Securities Exchange Act of 1934, as amended (the “Exchange Act”). These statements may involve risks and uncertainties. These statements often include words such as “anticipate,” “believe,” “budgeted,” “contemplate,” “estimate,” “expect,” “forecast,” “guidance,” “may,” “outlook,” “plan,” “projection,” “should,” “target,” “will,” “would” or similar expressions, but these words are not the exclusive means for identifying such statements. These forward-looking statements include statements regarding Power Solutions International, Inc.’s, a Delaware corporation (“Power Solutions,” “PSI” or the “Company”), projected sales, potential profitability and liquidity, strategic initiatives, future business strategies, warranty mitigation efforts and market opportunities, improvements in its business, improvement of product margins, and product market conditions and trends. These statements are not guarantees of performance or results, and they involve risks, uncertainties and assumptions. Although the Company believes that these forward-looking statements are based on reasonable assumptions, there are many factors that could affect the Company’s results of operations and liquidity and could cause actual results, performance or achievements to differ materially from those expressed in, or implied by, the Company’s forward-looking statements.</w:t>
      </w:r>
    </w:p>
    <w:p>
      <w:pPr>
        <w:spacing w:after="0" w:line="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The Company cautions that the risks, uncertainties and other factors that could cause its actual results to differ materially from those expressed in, or implied by, the forward-looking statements include, without limitation, the factors discussed in the Company’s Annual Report on Form 10-K for the year ended December 31, 2023, and from time to time in the Company’s subsequent filings with the United States Securities and Exchange Commission (the “SEC”); the impact of the macro-economic environment in both the U.S. and internationally on our business and expectations regarding growth of the industry; uncertainties arising from global events (including the Russia-Ukraine and Israel-Hamas conflicts), natural disasters or pandemics, and their impact on material prices; the effects of strategic investments on our operations, including our efforts to expand our global market share and actions taken to increase sales growth; the ability to develop and successfully launch new products; labor costs and other employment-related costs; loss of suppliers and disruptions in the supply of raw materials; the Company’s ability to continue as a going concern; the Company’s ability to raise additional capital when needed and its liquidity; uncertainties around the Company’s ability to meet funding conditions under its financing arrangements and access to capital thereunder; the potential acceleration of the maturity at any time of the loans under the Company’s uncommitted senior secured revolving credit facility through the exercise by Standard Chartered Bank of its demand right; the impact of rising interest rates; changes in economic conditions, including inflationary trends in the price of raw materials; our reliance on information technology and the associated risk involving potential security lapses and/or cyber-attacks; the ability of the Company to accurately forecast sales, and the extent to which sales result in recorded revenues; changes in customer demand for the Company’s products; volatility in oil and gas prices; the impact of U.S. tariffs on imports; the impact of supply chain interruptions and raw material shortages, including compliance disruptions such as the Uyghur Forced Labor Prevention Act (the “UFLPA”) delaying goods from China; the potential impact of higher warranty costs and the Company’s ability to mitigate such costs; any delays and challenges in recruiting and retaining key employees consistent with the Company’s plans; the potential effects of damage to our reputation or other adverse consequences if our employees, suppliers, sub-suppliers or other contract parties, agents or business partners violate anti-bribery, competition, export and import, trade sanctions, data privacy, environmental, human rights or other laws; any negative impacts from the trading of the Company’s common stock, par value $0.001 per share (the “Common Stock”) on the OTC Pink Market and any delays and challenges in re-listing on the Nasdaq Stock Market (“Nasdaq”); and the impact of unanticipated changes in our effective tax rate, the adoption of new tax legislation or exposure to additional income tax liabilities.</w:t>
      </w:r>
    </w:p>
    <w:p>
      <w:pPr>
        <w:spacing w:after="0" w:line="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The Company’s forward-looking statements are presented as of the date hereof. Except as required by law, the Company expressly disclaims any intention or obligation to revise or update any forward-looking statements, whether as a result of new information, future events or otherwise.</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The Company is subject to the reporting and information requirements of the Exchange Act, and as a result, it is obligated to file annual, quarterly and current reports on Form 8-K, proxy and information statements and other information with the SEC. The Company makes these filings available free of charge on its website (http://www.psiengines.com) as soon as reasonably practicable after it electronically files them with, or furnishes them to, the SEC. Information on the Company’s website does not constitute part of this Quarterly Report. In addition, the SEC maintains a website (http://www.sec.gov) that contains the annual, quarterly and current reports on Form 8-K, proxy and information statements, and other information the Company electronically files with, or furnishes to, the SEC.</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POWER SOLUTIONS INTERNATIONAL, INC.</w:t>
      </w:r>
    </w:p>
    <w:p>
      <w:pPr>
        <w:spacing w:after="0" w:line="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0"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766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(in thousands, except par values)</w:t>
            </w:r>
          </w:p>
        </w:tc>
        <w:tc>
          <w:tcPr>
            <w:tcW w:w="16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As of June 30, 2024</w:t>
            </w:r>
          </w:p>
        </w:tc>
        <w:tc>
          <w:tcPr>
            <w:tcW w:w="1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0" w:type="dxa"/>
            <w:vAlign w:val="bottom"/>
          </w:tcPr>
          <w:p>
            <w:pPr>
              <w:spacing w:after="0"/>
              <w:rPr>
                <w:sz w:val="1"/>
                <w:szCs w:val="1"/>
                <w:color w:val="auto"/>
              </w:rPr>
            </w:pPr>
          </w:p>
        </w:tc>
      </w:tr>
      <w:tr>
        <w:trPr>
          <w:trHeight w:val="214"/>
        </w:trPr>
        <w:tc>
          <w:tcPr>
            <w:tcW w:w="3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660" w:type="dxa"/>
            <w:vAlign w:val="bottom"/>
            <w:tcBorders>
              <w:top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60" w:type="dxa"/>
            <w:vAlign w:val="bottom"/>
            <w:gridSpan w:val="5"/>
          </w:tcPr>
          <w:p>
            <w:pPr>
              <w:ind w:left="220"/>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60" w:type="dxa"/>
            <w:vAlign w:val="bottom"/>
            <w:gridSpan w:val="5"/>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28,801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22,758</w:t>
            </w:r>
          </w:p>
        </w:tc>
        <w:tc>
          <w:tcPr>
            <w:tcW w:w="0" w:type="dxa"/>
            <w:vAlign w:val="bottom"/>
          </w:tcPr>
          <w:p>
            <w:pPr>
              <w:spacing w:after="0"/>
              <w:rPr>
                <w:sz w:val="1"/>
                <w:szCs w:val="1"/>
                <w:color w:val="auto"/>
              </w:rPr>
            </w:pPr>
          </w:p>
        </w:tc>
      </w:tr>
      <w:tr>
        <w:trPr>
          <w:trHeight w:val="213"/>
        </w:trPr>
        <w:tc>
          <w:tcPr>
            <w:tcW w:w="7660" w:type="dxa"/>
            <w:vAlign w:val="bottom"/>
            <w:gridSpan w:val="5"/>
          </w:tcPr>
          <w:p>
            <w:pPr>
              <w:ind w:left="460"/>
              <w:spacing w:after="0"/>
              <w:rPr>
                <w:sz w:val="20"/>
                <w:szCs w:val="20"/>
                <w:color w:val="auto"/>
              </w:rPr>
            </w:pPr>
            <w:r>
              <w:rPr>
                <w:rFonts w:ascii="Times New Roman" w:cs="Times New Roman" w:eastAsia="Times New Roman" w:hAnsi="Times New Roman"/>
                <w:sz w:val="16"/>
                <w:szCs w:val="16"/>
                <w:color w:val="auto"/>
              </w:rPr>
              <w:t>Restricted cash</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3,191</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3,836</w:t>
            </w:r>
          </w:p>
        </w:tc>
        <w:tc>
          <w:tcPr>
            <w:tcW w:w="0" w:type="dxa"/>
            <w:vAlign w:val="bottom"/>
          </w:tcPr>
          <w:p>
            <w:pPr>
              <w:spacing w:after="0"/>
              <w:rPr>
                <w:sz w:val="1"/>
                <w:szCs w:val="1"/>
                <w:color w:val="auto"/>
              </w:rPr>
            </w:pPr>
          </w:p>
        </w:tc>
      </w:tr>
      <w:tr>
        <w:trPr>
          <w:trHeight w:val="165"/>
        </w:trPr>
        <w:tc>
          <w:tcPr>
            <w:tcW w:w="7660" w:type="dxa"/>
            <w:vAlign w:val="bottom"/>
            <w:gridSpan w:val="5"/>
            <w:shd w:val="clear" w:color="auto" w:fill="CCEEFF"/>
          </w:tcPr>
          <w:p>
            <w:pPr>
              <w:ind w:left="460"/>
              <w:spacing w:after="0" w:line="165" w:lineRule="exact"/>
              <w:rPr>
                <w:sz w:val="20"/>
                <w:szCs w:val="20"/>
                <w:color w:val="auto"/>
              </w:rPr>
            </w:pPr>
            <w:r>
              <w:rPr>
                <w:rFonts w:ascii="Times New Roman" w:cs="Times New Roman" w:eastAsia="Times New Roman" w:hAnsi="Times New Roman"/>
                <w:sz w:val="16"/>
                <w:szCs w:val="16"/>
                <w:color w:val="auto"/>
              </w:rPr>
              <w:t>Accounts receivable, net of allowances of $5,367 and $5,975 as of June 30, 2024 and December 31, 2023,</w:t>
            </w:r>
          </w:p>
        </w:tc>
        <w:tc>
          <w:tcPr>
            <w:tcW w:w="22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64,260</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66,979</w:t>
            </w:r>
          </w:p>
        </w:tc>
        <w:tc>
          <w:tcPr>
            <w:tcW w:w="0" w:type="dxa"/>
            <w:vAlign w:val="bottom"/>
          </w:tcPr>
          <w:p>
            <w:pPr>
              <w:spacing w:after="0"/>
              <w:rPr>
                <w:sz w:val="1"/>
                <w:szCs w:val="1"/>
                <w:color w:val="auto"/>
              </w:rPr>
            </w:pPr>
          </w:p>
        </w:tc>
      </w:tr>
      <w:tr>
        <w:trPr>
          <w:trHeight w:val="216"/>
        </w:trPr>
        <w:tc>
          <w:tcPr>
            <w:tcW w:w="7660" w:type="dxa"/>
            <w:vAlign w:val="bottom"/>
            <w:gridSpan w:val="5"/>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respectively; (from related parties $818 and $777 as of June 30, 2024 and December 31, 2023, respectively)</w:t>
            </w:r>
          </w:p>
        </w:tc>
        <w:tc>
          <w:tcPr>
            <w:tcW w:w="22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60" w:type="dxa"/>
            <w:vAlign w:val="bottom"/>
            <w:gridSpan w:val="5"/>
          </w:tcPr>
          <w:p>
            <w:pPr>
              <w:ind w:left="460"/>
              <w:spacing w:after="0"/>
              <w:rPr>
                <w:sz w:val="20"/>
                <w:szCs w:val="20"/>
                <w:color w:val="auto"/>
              </w:rPr>
            </w:pPr>
            <w:r>
              <w:rPr>
                <w:rFonts w:ascii="Times New Roman" w:cs="Times New Roman" w:eastAsia="Times New Roman" w:hAnsi="Times New Roman"/>
                <w:sz w:val="16"/>
                <w:szCs w:val="16"/>
                <w:color w:val="auto"/>
              </w:rPr>
              <w:t>Income tax receivable</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0" w:type="dxa"/>
            <w:vAlign w:val="bottom"/>
          </w:tcPr>
          <w:p>
            <w:pPr>
              <w:spacing w:after="0"/>
              <w:rPr>
                <w:sz w:val="1"/>
                <w:szCs w:val="1"/>
                <w:color w:val="auto"/>
              </w:rPr>
            </w:pPr>
          </w:p>
        </w:tc>
      </w:tr>
      <w:tr>
        <w:trPr>
          <w:trHeight w:val="219"/>
        </w:trPr>
        <w:tc>
          <w:tcPr>
            <w:tcW w:w="7660" w:type="dxa"/>
            <w:vAlign w:val="bottom"/>
            <w:gridSpan w:val="5"/>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Inventories, net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93,446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84,947</w:t>
            </w:r>
          </w:p>
        </w:tc>
        <w:tc>
          <w:tcPr>
            <w:tcW w:w="0" w:type="dxa"/>
            <w:vAlign w:val="bottom"/>
          </w:tcPr>
          <w:p>
            <w:pPr>
              <w:spacing w:after="0"/>
              <w:rPr>
                <w:sz w:val="1"/>
                <w:szCs w:val="1"/>
                <w:color w:val="auto"/>
              </w:rPr>
            </w:pPr>
          </w:p>
        </w:tc>
      </w:tr>
      <w:tr>
        <w:trPr>
          <w:trHeight w:val="213"/>
        </w:trPr>
        <w:tc>
          <w:tcPr>
            <w:tcW w:w="7660" w:type="dxa"/>
            <w:vAlign w:val="bottom"/>
            <w:tcBorders>
              <w:bottom w:val="single" w:sz="8" w:color="CCEEFF"/>
            </w:tcBorders>
            <w:gridSpan w:val="5"/>
          </w:tcPr>
          <w:p>
            <w:pPr>
              <w:ind w:left="4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41,613</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26,312</w:t>
            </w:r>
          </w:p>
        </w:tc>
        <w:tc>
          <w:tcPr>
            <w:tcW w:w="0" w:type="dxa"/>
            <w:vAlign w:val="bottom"/>
          </w:tcPr>
          <w:p>
            <w:pPr>
              <w:spacing w:after="0"/>
              <w:rPr>
                <w:sz w:val="1"/>
                <w:szCs w:val="1"/>
                <w:color w:val="auto"/>
              </w:rPr>
            </w:pPr>
          </w:p>
        </w:tc>
      </w:tr>
      <w:tr>
        <w:trPr>
          <w:trHeight w:val="212"/>
        </w:trPr>
        <w:tc>
          <w:tcPr>
            <w:tcW w:w="766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231,604</w:t>
            </w: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205,382</w:t>
            </w:r>
          </w:p>
        </w:tc>
        <w:tc>
          <w:tcPr>
            <w:tcW w:w="0" w:type="dxa"/>
            <w:vAlign w:val="bottom"/>
          </w:tcPr>
          <w:p>
            <w:pPr>
              <w:spacing w:after="0"/>
              <w:rPr>
                <w:sz w:val="1"/>
                <w:szCs w:val="1"/>
                <w:color w:val="auto"/>
              </w:rPr>
            </w:pPr>
          </w:p>
        </w:tc>
      </w:tr>
      <w:tr>
        <w:trPr>
          <w:trHeight w:val="207"/>
        </w:trPr>
        <w:tc>
          <w:tcPr>
            <w:tcW w:w="7660" w:type="dxa"/>
            <w:vAlign w:val="bottom"/>
            <w:gridSpan w:val="5"/>
          </w:tcPr>
          <w:p>
            <w:pPr>
              <w:ind w:left="2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14,625</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14,928</w:t>
            </w:r>
          </w:p>
        </w:tc>
        <w:tc>
          <w:tcPr>
            <w:tcW w:w="0" w:type="dxa"/>
            <w:vAlign w:val="bottom"/>
          </w:tcPr>
          <w:p>
            <w:pPr>
              <w:spacing w:after="0"/>
              <w:rPr>
                <w:sz w:val="1"/>
                <w:szCs w:val="1"/>
                <w:color w:val="auto"/>
              </w:rPr>
            </w:pPr>
          </w:p>
        </w:tc>
      </w:tr>
      <w:tr>
        <w:trPr>
          <w:trHeight w:val="219"/>
        </w:trPr>
        <w:tc>
          <w:tcPr>
            <w:tcW w:w="766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Right-of-use assets, net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25,343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27,145</w:t>
            </w:r>
          </w:p>
        </w:tc>
        <w:tc>
          <w:tcPr>
            <w:tcW w:w="0" w:type="dxa"/>
            <w:vAlign w:val="bottom"/>
          </w:tcPr>
          <w:p>
            <w:pPr>
              <w:spacing w:after="0"/>
              <w:rPr>
                <w:sz w:val="1"/>
                <w:szCs w:val="1"/>
                <w:color w:val="auto"/>
              </w:rPr>
            </w:pPr>
          </w:p>
        </w:tc>
      </w:tr>
      <w:tr>
        <w:trPr>
          <w:trHeight w:val="213"/>
        </w:trPr>
        <w:tc>
          <w:tcPr>
            <w:tcW w:w="7660" w:type="dxa"/>
            <w:vAlign w:val="bottom"/>
            <w:gridSpan w:val="5"/>
          </w:tcPr>
          <w:p>
            <w:pPr>
              <w:ind w:left="220"/>
              <w:spacing w:after="0"/>
              <w:rPr>
                <w:sz w:val="20"/>
                <w:szCs w:val="20"/>
                <w:color w:val="auto"/>
              </w:rPr>
            </w:pPr>
            <w:r>
              <w:rPr>
                <w:rFonts w:ascii="Times New Roman" w:cs="Times New Roman" w:eastAsia="Times New Roman" w:hAnsi="Times New Roman"/>
                <w:sz w:val="16"/>
                <w:szCs w:val="16"/>
                <w:color w:val="auto"/>
              </w:rPr>
              <w:t>Intangible assets, net</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3,184</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3,914</w:t>
            </w:r>
          </w:p>
        </w:tc>
        <w:tc>
          <w:tcPr>
            <w:tcW w:w="0" w:type="dxa"/>
            <w:vAlign w:val="bottom"/>
          </w:tcPr>
          <w:p>
            <w:pPr>
              <w:spacing w:after="0"/>
              <w:rPr>
                <w:sz w:val="1"/>
                <w:szCs w:val="1"/>
                <w:color w:val="auto"/>
              </w:rPr>
            </w:pPr>
          </w:p>
        </w:tc>
      </w:tr>
      <w:tr>
        <w:trPr>
          <w:trHeight w:val="219"/>
        </w:trPr>
        <w:tc>
          <w:tcPr>
            <w:tcW w:w="766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29,835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29,835</w:t>
            </w:r>
          </w:p>
        </w:tc>
        <w:tc>
          <w:tcPr>
            <w:tcW w:w="0" w:type="dxa"/>
            <w:vAlign w:val="bottom"/>
          </w:tcPr>
          <w:p>
            <w:pPr>
              <w:spacing w:after="0"/>
              <w:rPr>
                <w:sz w:val="1"/>
                <w:szCs w:val="1"/>
                <w:color w:val="auto"/>
              </w:rPr>
            </w:pPr>
          </w:p>
        </w:tc>
      </w:tr>
      <w:tr>
        <w:trPr>
          <w:trHeight w:val="213"/>
        </w:trPr>
        <w:tc>
          <w:tcPr>
            <w:tcW w:w="7660" w:type="dxa"/>
            <w:vAlign w:val="bottom"/>
            <w:tcBorders>
              <w:bottom w:val="single" w:sz="8" w:color="CCEEFF"/>
            </w:tcBorders>
            <w:gridSpan w:val="5"/>
          </w:tcPr>
          <w:p>
            <w:pPr>
              <w:ind w:left="220"/>
              <w:spacing w:after="0"/>
              <w:rPr>
                <w:sz w:val="20"/>
                <w:szCs w:val="20"/>
                <w:color w:val="auto"/>
              </w:rPr>
            </w:pPr>
            <w:r>
              <w:rPr>
                <w:rFonts w:ascii="Times New Roman" w:cs="Times New Roman" w:eastAsia="Times New Roman" w:hAnsi="Times New Roman"/>
                <w:sz w:val="16"/>
                <w:szCs w:val="16"/>
                <w:color w:val="auto"/>
              </w:rPr>
              <w:t>Other noncurrent assets</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2,971</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3,099</w:t>
            </w:r>
          </w:p>
        </w:tc>
        <w:tc>
          <w:tcPr>
            <w:tcW w:w="0" w:type="dxa"/>
            <w:vAlign w:val="bottom"/>
          </w:tcPr>
          <w:p>
            <w:pPr>
              <w:spacing w:after="0"/>
              <w:rPr>
                <w:sz w:val="1"/>
                <w:szCs w:val="1"/>
                <w:color w:val="auto"/>
              </w:rPr>
            </w:pPr>
          </w:p>
        </w:tc>
      </w:tr>
      <w:tr>
        <w:trPr>
          <w:trHeight w:val="237"/>
        </w:trPr>
        <w:tc>
          <w:tcPr>
            <w:tcW w:w="766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307,562</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284,303</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76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 (DEFICIT)</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60" w:type="dxa"/>
            <w:vAlign w:val="bottom"/>
            <w:gridSpan w:val="5"/>
          </w:tcPr>
          <w:p>
            <w:pPr>
              <w:ind w:left="220"/>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660" w:type="dxa"/>
            <w:vAlign w:val="bottom"/>
            <w:gridSpan w:val="2"/>
            <w:shd w:val="clear" w:color="auto" w:fill="CCEEFF"/>
          </w:tcPr>
          <w:p>
            <w:pPr>
              <w:ind w:left="460"/>
              <w:spacing w:after="0" w:line="165" w:lineRule="exact"/>
              <w:rPr>
                <w:sz w:val="20"/>
                <w:szCs w:val="20"/>
                <w:color w:val="auto"/>
              </w:rPr>
            </w:pPr>
            <w:r>
              <w:rPr>
                <w:rFonts w:ascii="Times New Roman" w:cs="Times New Roman" w:eastAsia="Times New Roman" w:hAnsi="Times New Roman"/>
                <w:sz w:val="16"/>
                <w:szCs w:val="16"/>
                <w:color w:val="auto"/>
              </w:rPr>
              <w:t>Accounts payable (to related parties $25,500 and</w:t>
            </w:r>
          </w:p>
        </w:tc>
        <w:tc>
          <w:tcPr>
            <w:tcW w:w="540" w:type="dxa"/>
            <w:vAlign w:val="bottom"/>
            <w:gridSpan w:val="2"/>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w w:val="99"/>
                <w:shd w:val="clear" w:color="auto" w:fill="CCEEFF"/>
              </w:rPr>
              <w:t>$24,496</w:t>
            </w:r>
          </w:p>
        </w:tc>
        <w:tc>
          <w:tcPr>
            <w:tcW w:w="3460" w:type="dxa"/>
            <w:vAlign w:val="bottom"/>
            <w:shd w:val="clear" w:color="auto" w:fill="CCEEFF"/>
          </w:tcPr>
          <w:p>
            <w:pPr>
              <w:ind w:left="40"/>
              <w:spacing w:after="0" w:line="165" w:lineRule="exact"/>
              <w:rPr>
                <w:sz w:val="20"/>
                <w:szCs w:val="20"/>
                <w:color w:val="auto"/>
              </w:rPr>
            </w:pPr>
            <w:r>
              <w:rPr>
                <w:rFonts w:ascii="Times New Roman" w:cs="Times New Roman" w:eastAsia="Times New Roman" w:hAnsi="Times New Roman"/>
                <w:sz w:val="16"/>
                <w:szCs w:val="16"/>
                <w:color w:val="auto"/>
              </w:rPr>
              <w:t>as of June 30, 2024 and December 31, 2023,</w:t>
            </w: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respectively)</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66,945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67,355</w:t>
            </w:r>
          </w:p>
        </w:tc>
        <w:tc>
          <w:tcPr>
            <w:tcW w:w="0" w:type="dxa"/>
            <w:vAlign w:val="bottom"/>
          </w:tcPr>
          <w:p>
            <w:pPr>
              <w:spacing w:after="0"/>
              <w:rPr>
                <w:sz w:val="1"/>
                <w:szCs w:val="1"/>
                <w:color w:val="auto"/>
              </w:rPr>
            </w:pPr>
          </w:p>
        </w:tc>
      </w:tr>
      <w:tr>
        <w:trPr>
          <w:trHeight w:val="213"/>
        </w:trPr>
        <w:tc>
          <w:tcPr>
            <w:tcW w:w="7660" w:type="dxa"/>
            <w:vAlign w:val="bottom"/>
            <w:gridSpan w:val="5"/>
          </w:tcPr>
          <w:p>
            <w:pPr>
              <w:ind w:left="46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0" w:type="dxa"/>
            <w:vAlign w:val="bottom"/>
          </w:tcPr>
          <w:p>
            <w:pPr>
              <w:spacing w:after="0"/>
              <w:rPr>
                <w:sz w:val="1"/>
                <w:szCs w:val="1"/>
                <w:color w:val="auto"/>
              </w:rPr>
            </w:pPr>
          </w:p>
        </w:tc>
      </w:tr>
      <w:tr>
        <w:trPr>
          <w:trHeight w:val="219"/>
        </w:trPr>
        <w:tc>
          <w:tcPr>
            <w:tcW w:w="7660" w:type="dxa"/>
            <w:vAlign w:val="bottom"/>
            <w:gridSpan w:val="5"/>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Revolving line of credit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0" w:type="dxa"/>
            <w:vAlign w:val="bottom"/>
          </w:tcPr>
          <w:p>
            <w:pPr>
              <w:spacing w:after="0"/>
              <w:rPr>
                <w:sz w:val="1"/>
                <w:szCs w:val="1"/>
                <w:color w:val="auto"/>
              </w:rPr>
            </w:pPr>
          </w:p>
        </w:tc>
      </w:tr>
      <w:tr>
        <w:trPr>
          <w:trHeight w:val="213"/>
        </w:trPr>
        <w:tc>
          <w:tcPr>
            <w:tcW w:w="7660" w:type="dxa"/>
            <w:vAlign w:val="bottom"/>
            <w:gridSpan w:val="5"/>
          </w:tcPr>
          <w:p>
            <w:pPr>
              <w:ind w:left="460"/>
              <w:spacing w:after="0"/>
              <w:rPr>
                <w:sz w:val="20"/>
                <w:szCs w:val="20"/>
                <w:color w:val="auto"/>
              </w:rPr>
            </w:pPr>
            <w:r>
              <w:rPr>
                <w:rFonts w:ascii="Times New Roman" w:cs="Times New Roman" w:eastAsia="Times New Roman" w:hAnsi="Times New Roman"/>
                <w:sz w:val="16"/>
                <w:szCs w:val="16"/>
                <w:color w:val="auto"/>
              </w:rPr>
              <w:t>Finance lease liability, current</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19"/>
        </w:trPr>
        <w:tc>
          <w:tcPr>
            <w:tcW w:w="7660" w:type="dxa"/>
            <w:vAlign w:val="bottom"/>
            <w:gridSpan w:val="5"/>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Operating lease liability, current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3,912</w:t>
            </w:r>
          </w:p>
        </w:tc>
        <w:tc>
          <w:tcPr>
            <w:tcW w:w="0" w:type="dxa"/>
            <w:vAlign w:val="bottom"/>
          </w:tcPr>
          <w:p>
            <w:pPr>
              <w:spacing w:after="0"/>
              <w:rPr>
                <w:sz w:val="1"/>
                <w:szCs w:val="1"/>
                <w:color w:val="auto"/>
              </w:rPr>
            </w:pPr>
          </w:p>
        </w:tc>
      </w:tr>
      <w:tr>
        <w:trPr>
          <w:trHeight w:val="213"/>
        </w:trPr>
        <w:tc>
          <w:tcPr>
            <w:tcW w:w="7660" w:type="dxa"/>
            <w:vAlign w:val="bottom"/>
            <w:gridSpan w:val="5"/>
          </w:tcPr>
          <w:p>
            <w:pPr>
              <w:ind w:left="460"/>
              <w:spacing w:after="0"/>
              <w:rPr>
                <w:sz w:val="20"/>
                <w:szCs w:val="20"/>
                <w:color w:val="auto"/>
              </w:rPr>
            </w:pPr>
            <w:r>
              <w:rPr>
                <w:rFonts w:ascii="Times New Roman" w:cs="Times New Roman" w:eastAsia="Times New Roman" w:hAnsi="Times New Roman"/>
                <w:sz w:val="16"/>
                <w:szCs w:val="16"/>
                <w:color w:val="auto"/>
              </w:rPr>
              <w:t>Other short-term financing (from related parties $94,820 as of both June 30, 2024 and December 31, 2023)</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94,820</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94,820</w:t>
            </w:r>
          </w:p>
        </w:tc>
        <w:tc>
          <w:tcPr>
            <w:tcW w:w="0" w:type="dxa"/>
            <w:vAlign w:val="bottom"/>
          </w:tcPr>
          <w:p>
            <w:pPr>
              <w:spacing w:after="0"/>
              <w:rPr>
                <w:sz w:val="1"/>
                <w:szCs w:val="1"/>
                <w:color w:val="auto"/>
              </w:rPr>
            </w:pPr>
          </w:p>
        </w:tc>
      </w:tr>
      <w:tr>
        <w:trPr>
          <w:trHeight w:val="165"/>
        </w:trPr>
        <w:tc>
          <w:tcPr>
            <w:tcW w:w="3240" w:type="dxa"/>
            <w:vAlign w:val="bottom"/>
            <w:shd w:val="clear" w:color="auto" w:fill="CCEEFF"/>
          </w:tcPr>
          <w:p>
            <w:pPr>
              <w:ind w:left="460"/>
              <w:spacing w:after="0" w:line="165" w:lineRule="exact"/>
              <w:rPr>
                <w:sz w:val="20"/>
                <w:szCs w:val="20"/>
                <w:color w:val="auto"/>
              </w:rPr>
            </w:pPr>
            <w:r>
              <w:rPr>
                <w:rFonts w:ascii="Times New Roman" w:cs="Times New Roman" w:eastAsia="Times New Roman" w:hAnsi="Times New Roman"/>
                <w:sz w:val="16"/>
                <w:szCs w:val="16"/>
                <w:color w:val="auto"/>
              </w:rPr>
              <w:t>Other accrued liabilities (to related parties</w:t>
            </w:r>
          </w:p>
        </w:tc>
        <w:tc>
          <w:tcPr>
            <w:tcW w:w="440" w:type="dxa"/>
            <w:vAlign w:val="bottom"/>
            <w:gridSpan w:val="2"/>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w w:val="95"/>
                <w:shd w:val="clear" w:color="auto" w:fill="CCEEFF"/>
              </w:rPr>
              <w:t>$2,216</w:t>
            </w:r>
          </w:p>
        </w:tc>
        <w:tc>
          <w:tcPr>
            <w:tcW w:w="3980" w:type="dxa"/>
            <w:vAlign w:val="bottom"/>
            <w:gridSpan w:val="2"/>
            <w:shd w:val="clear" w:color="auto" w:fill="CCEEFF"/>
          </w:tcPr>
          <w:p>
            <w:pPr>
              <w:ind w:left="40"/>
              <w:spacing w:after="0" w:line="165" w:lineRule="exact"/>
              <w:rPr>
                <w:sz w:val="20"/>
                <w:szCs w:val="20"/>
                <w:color w:val="auto"/>
              </w:rPr>
            </w:pPr>
            <w:r>
              <w:rPr>
                <w:rFonts w:ascii="Times New Roman" w:cs="Times New Roman" w:eastAsia="Times New Roman" w:hAnsi="Times New Roman"/>
                <w:sz w:val="16"/>
                <w:szCs w:val="16"/>
                <w:color w:val="auto"/>
              </w:rPr>
              <w:t>and $1,833 as of June 30, 2024 and December 31, 2023,</w:t>
            </w: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respectively)</w:t>
            </w:r>
          </w:p>
        </w:tc>
        <w:tc>
          <w:tcPr>
            <w:tcW w:w="440" w:type="dxa"/>
            <w:vAlign w:val="bottom"/>
            <w:gridSpan w:val="2"/>
            <w:shd w:val="clear" w:color="auto" w:fill="CCEEFF"/>
          </w:tcPr>
          <w:p>
            <w:pPr>
              <w:spacing w:after="0"/>
              <w:rPr>
                <w:sz w:val="18"/>
                <w:szCs w:val="18"/>
                <w:color w:val="auto"/>
              </w:rPr>
            </w:pPr>
          </w:p>
        </w:tc>
        <w:tc>
          <w:tcPr>
            <w:tcW w:w="3980" w:type="dxa"/>
            <w:vAlign w:val="bottom"/>
            <w:gridSpan w:val="2"/>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37,659</w:t>
            </w: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31,999</w:t>
            </w:r>
          </w:p>
        </w:tc>
        <w:tc>
          <w:tcPr>
            <w:tcW w:w="0" w:type="dxa"/>
            <w:vAlign w:val="bottom"/>
          </w:tcPr>
          <w:p>
            <w:pPr>
              <w:spacing w:after="0"/>
              <w:rPr>
                <w:sz w:val="1"/>
                <w:szCs w:val="1"/>
                <w:color w:val="auto"/>
              </w:rPr>
            </w:pPr>
          </w:p>
        </w:tc>
      </w:tr>
      <w:tr>
        <w:trPr>
          <w:trHeight w:val="207"/>
        </w:trPr>
        <w:tc>
          <w:tcPr>
            <w:tcW w:w="7660" w:type="dxa"/>
            <w:vAlign w:val="bottom"/>
            <w:tcBorders>
              <w:bottom w:val="single" w:sz="8" w:color="CCEEFF"/>
            </w:tcBorders>
            <w:gridSpan w:val="5"/>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243,843</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248,301</w:t>
            </w:r>
          </w:p>
        </w:tc>
        <w:tc>
          <w:tcPr>
            <w:tcW w:w="0" w:type="dxa"/>
            <w:vAlign w:val="bottom"/>
          </w:tcPr>
          <w:p>
            <w:pPr>
              <w:spacing w:after="0"/>
              <w:rPr>
                <w:sz w:val="1"/>
                <w:szCs w:val="1"/>
                <w:color w:val="auto"/>
              </w:rPr>
            </w:pPr>
          </w:p>
        </w:tc>
      </w:tr>
      <w:tr>
        <w:trPr>
          <w:trHeight w:val="212"/>
        </w:trPr>
        <w:tc>
          <w:tcPr>
            <w:tcW w:w="766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w:t>
            </w:r>
          </w:p>
        </w:tc>
        <w:tc>
          <w:tcPr>
            <w:tcW w:w="0" w:type="dxa"/>
            <w:vAlign w:val="bottom"/>
          </w:tcPr>
          <w:p>
            <w:pPr>
              <w:spacing w:after="0"/>
              <w:rPr>
                <w:sz w:val="1"/>
                <w:szCs w:val="1"/>
                <w:color w:val="auto"/>
              </w:rPr>
            </w:pPr>
          </w:p>
        </w:tc>
      </w:tr>
      <w:tr>
        <w:trPr>
          <w:trHeight w:val="213"/>
        </w:trPr>
        <w:tc>
          <w:tcPr>
            <w:tcW w:w="7660" w:type="dxa"/>
            <w:vAlign w:val="bottom"/>
            <w:gridSpan w:val="5"/>
          </w:tcPr>
          <w:p>
            <w:pPr>
              <w:ind w:left="220"/>
              <w:spacing w:after="0"/>
              <w:rPr>
                <w:sz w:val="20"/>
                <w:szCs w:val="20"/>
                <w:color w:val="auto"/>
              </w:rPr>
            </w:pPr>
            <w:r>
              <w:rPr>
                <w:rFonts w:ascii="Times New Roman" w:cs="Times New Roman" w:eastAsia="Times New Roman" w:hAnsi="Times New Roman"/>
                <w:sz w:val="16"/>
                <w:szCs w:val="16"/>
                <w:color w:val="auto"/>
              </w:rPr>
              <w:t>Long-term debt, net of current maturities</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19"/>
        </w:trPr>
        <w:tc>
          <w:tcPr>
            <w:tcW w:w="766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Finance lease liability, long-term</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13"/>
        </w:trPr>
        <w:tc>
          <w:tcPr>
            <w:tcW w:w="7660" w:type="dxa"/>
            <w:vAlign w:val="bottom"/>
            <w:gridSpan w:val="5"/>
          </w:tcPr>
          <w:p>
            <w:pPr>
              <w:ind w:left="220"/>
              <w:spacing w:after="0"/>
              <w:rPr>
                <w:sz w:val="20"/>
                <w:szCs w:val="20"/>
                <w:color w:val="auto"/>
              </w:rPr>
            </w:pPr>
            <w:r>
              <w:rPr>
                <w:rFonts w:ascii="Times New Roman" w:cs="Times New Roman" w:eastAsia="Times New Roman" w:hAnsi="Times New Roman"/>
                <w:sz w:val="16"/>
                <w:szCs w:val="16"/>
                <w:color w:val="auto"/>
              </w:rPr>
              <w:t>Operating lease liability, long-term</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23,004</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25,070</w:t>
            </w:r>
          </w:p>
        </w:tc>
        <w:tc>
          <w:tcPr>
            <w:tcW w:w="0" w:type="dxa"/>
            <w:vAlign w:val="bottom"/>
          </w:tcPr>
          <w:p>
            <w:pPr>
              <w:spacing w:after="0"/>
              <w:rPr>
                <w:sz w:val="1"/>
                <w:szCs w:val="1"/>
                <w:color w:val="auto"/>
              </w:rPr>
            </w:pPr>
          </w:p>
        </w:tc>
      </w:tr>
      <w:tr>
        <w:trPr>
          <w:trHeight w:val="219"/>
        </w:trPr>
        <w:tc>
          <w:tcPr>
            <w:tcW w:w="766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Noncurrent contract liabilities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2,401</w:t>
            </w:r>
          </w:p>
        </w:tc>
        <w:tc>
          <w:tcPr>
            <w:tcW w:w="0" w:type="dxa"/>
            <w:vAlign w:val="bottom"/>
          </w:tcPr>
          <w:p>
            <w:pPr>
              <w:spacing w:after="0"/>
              <w:rPr>
                <w:sz w:val="1"/>
                <w:szCs w:val="1"/>
                <w:color w:val="auto"/>
              </w:rPr>
            </w:pPr>
          </w:p>
        </w:tc>
      </w:tr>
      <w:tr>
        <w:trPr>
          <w:trHeight w:val="213"/>
        </w:trPr>
        <w:tc>
          <w:tcPr>
            <w:tcW w:w="7660" w:type="dxa"/>
            <w:vAlign w:val="bottom"/>
            <w:tcBorders>
              <w:bottom w:val="single" w:sz="8" w:color="CCEEFF"/>
            </w:tcBorders>
            <w:gridSpan w:val="5"/>
          </w:tcPr>
          <w:p>
            <w:pPr>
              <w:ind w:left="2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12,203</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10,786</w:t>
            </w:r>
          </w:p>
        </w:tc>
        <w:tc>
          <w:tcPr>
            <w:tcW w:w="0" w:type="dxa"/>
            <w:vAlign w:val="bottom"/>
          </w:tcPr>
          <w:p>
            <w:pPr>
              <w:spacing w:after="0"/>
              <w:rPr>
                <w:sz w:val="1"/>
                <w:szCs w:val="1"/>
                <w:color w:val="auto"/>
              </w:rPr>
            </w:pPr>
          </w:p>
        </w:tc>
      </w:tr>
      <w:tr>
        <w:trPr>
          <w:trHeight w:val="212"/>
        </w:trPr>
        <w:tc>
          <w:tcPr>
            <w:tcW w:w="76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282,797</w:t>
            </w: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288,220</w:t>
            </w:r>
          </w:p>
        </w:tc>
        <w:tc>
          <w:tcPr>
            <w:tcW w:w="0" w:type="dxa"/>
            <w:vAlign w:val="bottom"/>
          </w:tcPr>
          <w:p>
            <w:pPr>
              <w:spacing w:after="0"/>
              <w:rPr>
                <w:sz w:val="1"/>
                <w:szCs w:val="1"/>
                <w:color w:val="auto"/>
              </w:rPr>
            </w:pPr>
          </w:p>
        </w:tc>
      </w:tr>
      <w:tr>
        <w:trPr>
          <w:trHeight w:val="34"/>
        </w:trPr>
        <w:tc>
          <w:tcPr>
            <w:tcW w:w="3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 (Note 10)</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3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6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 (DEFICIT)</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60" w:type="dxa"/>
            <w:vAlign w:val="bottom"/>
            <w:gridSpan w:val="5"/>
          </w:tcPr>
          <w:p>
            <w:pPr>
              <w:ind w:left="220"/>
              <w:spacing w:after="0"/>
              <w:rPr>
                <w:sz w:val="20"/>
                <w:szCs w:val="20"/>
                <w:color w:val="auto"/>
              </w:rPr>
            </w:pPr>
            <w:r>
              <w:rPr>
                <w:rFonts w:ascii="Times New Roman" w:cs="Times New Roman" w:eastAsia="Times New Roman" w:hAnsi="Times New Roman"/>
                <w:sz w:val="16"/>
                <w:szCs w:val="16"/>
                <w:color w:val="auto"/>
              </w:rPr>
              <w:t>Preferred stock – $0.001 par value. Shares authorized: 5,000. No shares issued and outstanding at all dates.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7660" w:type="dxa"/>
            <w:vAlign w:val="bottom"/>
            <w:gridSpan w:val="5"/>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Common stock – $0.001 par value; 50,000 shares authorized; 23,117 shares issued; 22,975 and 22,968 shares</w:t>
            </w:r>
          </w:p>
        </w:tc>
        <w:tc>
          <w:tcPr>
            <w:tcW w:w="22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6"/>
        </w:trPr>
        <w:tc>
          <w:tcPr>
            <w:tcW w:w="766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outstanding at June 30, 2024 and December 31, 2023, respectively</w:t>
            </w:r>
          </w:p>
        </w:tc>
        <w:tc>
          <w:tcPr>
            <w:tcW w:w="22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60" w:type="dxa"/>
            <w:vAlign w:val="bottom"/>
            <w:gridSpan w:val="5"/>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157,737</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157,770</w:t>
            </w:r>
          </w:p>
        </w:tc>
        <w:tc>
          <w:tcPr>
            <w:tcW w:w="0" w:type="dxa"/>
            <w:vAlign w:val="bottom"/>
          </w:tcPr>
          <w:p>
            <w:pPr>
              <w:spacing w:after="0"/>
              <w:rPr>
                <w:sz w:val="1"/>
                <w:szCs w:val="1"/>
                <w:color w:val="auto"/>
              </w:rPr>
            </w:pPr>
          </w:p>
        </w:tc>
      </w:tr>
      <w:tr>
        <w:trPr>
          <w:trHeight w:val="219"/>
        </w:trPr>
        <w:tc>
          <w:tcPr>
            <w:tcW w:w="766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deficit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(132,135)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(160,790)</w:t>
            </w:r>
          </w:p>
        </w:tc>
        <w:tc>
          <w:tcPr>
            <w:tcW w:w="0" w:type="dxa"/>
            <w:vAlign w:val="bottom"/>
          </w:tcPr>
          <w:p>
            <w:pPr>
              <w:spacing w:after="0"/>
              <w:rPr>
                <w:sz w:val="1"/>
                <w:szCs w:val="1"/>
                <w:color w:val="auto"/>
              </w:rPr>
            </w:pPr>
          </w:p>
        </w:tc>
      </w:tr>
      <w:tr>
        <w:trPr>
          <w:trHeight w:val="213"/>
        </w:trPr>
        <w:tc>
          <w:tcPr>
            <w:tcW w:w="7660" w:type="dxa"/>
            <w:vAlign w:val="bottom"/>
            <w:tcBorders>
              <w:bottom w:val="single" w:sz="8" w:color="CCEEFF"/>
            </w:tcBorders>
            <w:gridSpan w:val="5"/>
          </w:tcPr>
          <w:p>
            <w:pPr>
              <w:ind w:left="220"/>
              <w:spacing w:after="0"/>
              <w:rPr>
                <w:sz w:val="20"/>
                <w:szCs w:val="20"/>
                <w:color w:val="auto"/>
              </w:rPr>
            </w:pPr>
            <w:r>
              <w:rPr>
                <w:rFonts w:ascii="Times New Roman" w:cs="Times New Roman" w:eastAsia="Times New Roman" w:hAnsi="Times New Roman"/>
                <w:sz w:val="16"/>
                <w:szCs w:val="16"/>
                <w:color w:val="auto"/>
              </w:rPr>
              <w:t>Treasury stock, at cost, 142 and 149 shares at June 30, 2024 and December 31, 2023, respectively</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(860)</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0" w:type="dxa"/>
            <w:vAlign w:val="bottom"/>
          </w:tcPr>
          <w:p>
            <w:pPr>
              <w:spacing w:after="0"/>
              <w:rPr>
                <w:sz w:val="1"/>
                <w:szCs w:val="1"/>
                <w:color w:val="auto"/>
              </w:rPr>
            </w:pPr>
          </w:p>
        </w:tc>
      </w:tr>
      <w:tr>
        <w:trPr>
          <w:trHeight w:val="210"/>
        </w:trPr>
        <w:tc>
          <w:tcPr>
            <w:tcW w:w="76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STOCKHOLDERS’ EQUITY (DEFICIT)</w:t>
            </w: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24,765</w:t>
            </w: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(3,917)</w:t>
            </w:r>
          </w:p>
        </w:tc>
        <w:tc>
          <w:tcPr>
            <w:tcW w:w="0" w:type="dxa"/>
            <w:vAlign w:val="bottom"/>
          </w:tcPr>
          <w:p>
            <w:pPr>
              <w:spacing w:after="0"/>
              <w:rPr>
                <w:sz w:val="1"/>
                <w:szCs w:val="1"/>
                <w:color w:val="auto"/>
              </w:rPr>
            </w:pPr>
          </w:p>
        </w:tc>
      </w:tr>
      <w:tr>
        <w:trPr>
          <w:trHeight w:val="212"/>
        </w:trPr>
        <w:tc>
          <w:tcPr>
            <w:tcW w:w="766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 (DEFICIT)</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307,562</w:t>
            </w:r>
          </w:p>
        </w:tc>
        <w:tc>
          <w:tcPr>
            <w:tcW w:w="100" w:type="dxa"/>
            <w:vAlign w:val="bottom"/>
          </w:tcPr>
          <w:p>
            <w:pPr>
              <w:spacing w:after="0"/>
              <w:rPr>
                <w:sz w:val="18"/>
                <w:szCs w:val="18"/>
                <w:color w:val="auto"/>
              </w:rPr>
            </w:pPr>
          </w:p>
        </w:tc>
        <w:tc>
          <w:tcPr>
            <w:tcW w:w="6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284,303</w:t>
            </w:r>
          </w:p>
        </w:tc>
        <w:tc>
          <w:tcPr>
            <w:tcW w:w="0" w:type="dxa"/>
            <w:vAlign w:val="bottom"/>
          </w:tcPr>
          <w:p>
            <w:pPr>
              <w:spacing w:after="0"/>
              <w:rPr>
                <w:sz w:val="1"/>
                <w:szCs w:val="1"/>
                <w:color w:val="auto"/>
              </w:rPr>
            </w:pPr>
          </w:p>
        </w:tc>
      </w:tr>
      <w:tr>
        <w:trPr>
          <w:trHeight w:val="21"/>
        </w:trPr>
        <w:tc>
          <w:tcPr>
            <w:tcW w:w="3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See Notes to Consolidated Financial Statements</w:t>
      </w:r>
    </w:p>
    <w:p>
      <w:pPr>
        <w:sectPr>
          <w:pgSz w:w="11900" w:h="16838" w:orient="portrait"/>
          <w:cols w:equalWidth="0" w:num="1">
            <w:col w:w="11180"/>
          </w:cols>
          <w:pgMar w:left="320" w:top="1211" w:right="39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1" w:right="39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POWER SOLUTIONS INTERNATIONAL,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8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(in thousands, except per share amounts)</w:t>
            </w:r>
          </w:p>
        </w:tc>
        <w:tc>
          <w:tcPr>
            <w:tcW w:w="2840" w:type="dxa"/>
            <w:vAlign w:val="bottom"/>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For the Three Months Ended June 30,</w:t>
            </w:r>
          </w:p>
        </w:tc>
        <w:tc>
          <w:tcPr>
            <w:tcW w:w="120" w:type="dxa"/>
            <w:vAlign w:val="bottom"/>
          </w:tcPr>
          <w:p>
            <w:pPr>
              <w:spacing w:after="0"/>
              <w:rPr>
                <w:sz w:val="18"/>
                <w:szCs w:val="18"/>
                <w:color w:val="auto"/>
              </w:rPr>
            </w:pPr>
          </w:p>
        </w:tc>
        <w:tc>
          <w:tcPr>
            <w:tcW w:w="2600" w:type="dxa"/>
            <w:vAlign w:val="bottom"/>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c>
          <w:tcPr>
            <w:tcW w:w="0" w:type="dxa"/>
            <w:vAlign w:val="bottom"/>
          </w:tcPr>
          <w:p>
            <w:pPr>
              <w:spacing w:after="0"/>
              <w:rPr>
                <w:sz w:val="1"/>
                <w:szCs w:val="1"/>
                <w:color w:val="auto"/>
              </w:rPr>
            </w:pPr>
          </w:p>
        </w:tc>
      </w:tr>
      <w:tr>
        <w:trPr>
          <w:trHeight w:val="211"/>
        </w:trPr>
        <w:tc>
          <w:tcPr>
            <w:tcW w:w="138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27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57"/>
        </w:trPr>
        <w:tc>
          <w:tcPr>
            <w:tcW w:w="5680" w:type="dxa"/>
            <w:vAlign w:val="bottom"/>
            <w:gridSpan w:val="7"/>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Net sales</w:t>
            </w: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3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(from related parties</w:t>
            </w:r>
          </w:p>
        </w:tc>
        <w:tc>
          <w:tcPr>
            <w:tcW w:w="3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w w:val="99"/>
                <w:shd w:val="clear" w:color="auto" w:fill="CCEEFF"/>
              </w:rPr>
              <w:t>$253</w:t>
            </w:r>
          </w:p>
        </w:tc>
        <w:tc>
          <w:tcPr>
            <w:tcW w:w="3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and</w:t>
            </w:r>
          </w:p>
        </w:tc>
        <w:tc>
          <w:tcPr>
            <w:tcW w:w="46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w w:val="95"/>
                <w:shd w:val="clear" w:color="auto" w:fill="CCEEFF"/>
              </w:rPr>
              <w:t>$1,000</w:t>
            </w:r>
          </w:p>
        </w:tc>
        <w:tc>
          <w:tcPr>
            <w:tcW w:w="318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for the three months ended June 30, 2024 and</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40" w:type="dxa"/>
            <w:vAlign w:val="bottom"/>
            <w:gridSpan w:val="2"/>
            <w:shd w:val="clear" w:color="auto" w:fill="CCEEFF"/>
          </w:tcPr>
          <w:p>
            <w:pPr>
              <w:ind w:left="20"/>
              <w:spacing w:after="0" w:line="148" w:lineRule="exact"/>
              <w:rPr>
                <w:sz w:val="20"/>
                <w:szCs w:val="20"/>
                <w:color w:val="auto"/>
              </w:rPr>
            </w:pPr>
            <w:r>
              <w:rPr>
                <w:rFonts w:ascii="Times New Roman" w:cs="Times New Roman" w:eastAsia="Times New Roman" w:hAnsi="Times New Roman"/>
                <w:sz w:val="16"/>
                <w:szCs w:val="16"/>
                <w:color w:val="auto"/>
                <w:w w:val="95"/>
              </w:rPr>
              <w:t>June 30, 2023, respectively,</w:t>
            </w:r>
          </w:p>
        </w:tc>
        <w:tc>
          <w:tcPr>
            <w:tcW w:w="500" w:type="dxa"/>
            <w:vAlign w:val="bottom"/>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6"/>
                <w:szCs w:val="16"/>
                <w:color w:val="auto"/>
                <w:shd w:val="clear" w:color="auto" w:fill="CCEEFF"/>
              </w:rPr>
              <w:t>$453</w:t>
            </w:r>
          </w:p>
        </w:tc>
        <w:tc>
          <w:tcPr>
            <w:tcW w:w="26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6"/>
                <w:szCs w:val="16"/>
                <w:color w:val="auto"/>
                <w:w w:val="86"/>
              </w:rPr>
              <w:t>and</w:t>
            </w:r>
          </w:p>
        </w:tc>
        <w:tc>
          <w:tcPr>
            <w:tcW w:w="46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6"/>
                <w:szCs w:val="16"/>
                <w:color w:val="auto"/>
                <w:w w:val="99"/>
                <w:shd w:val="clear" w:color="auto" w:fill="CCEEFF"/>
              </w:rPr>
              <w:t>$2,100</w:t>
            </w:r>
          </w:p>
        </w:tc>
        <w:tc>
          <w:tcPr>
            <w:tcW w:w="272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6"/>
                <w:szCs w:val="16"/>
                <w:color w:val="auto"/>
              </w:rPr>
              <w:t>for the six months ended June 30, 2024</w:t>
            </w: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2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and June 30, 2023, respectively)</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110,586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121,865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205,826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238,334</w:t>
            </w:r>
          </w:p>
        </w:tc>
        <w:tc>
          <w:tcPr>
            <w:tcW w:w="0" w:type="dxa"/>
            <w:vAlign w:val="bottom"/>
          </w:tcPr>
          <w:p>
            <w:pPr>
              <w:spacing w:after="0"/>
              <w:rPr>
                <w:sz w:val="1"/>
                <w:szCs w:val="1"/>
                <w:color w:val="auto"/>
              </w:rPr>
            </w:pPr>
          </w:p>
        </w:tc>
      </w:tr>
      <w:tr>
        <w:trPr>
          <w:trHeight w:val="162"/>
        </w:trPr>
        <w:tc>
          <w:tcPr>
            <w:tcW w:w="5680" w:type="dxa"/>
            <w:vAlign w:val="bottom"/>
            <w:gridSpan w:val="7"/>
          </w:tcPr>
          <w:p>
            <w:pPr>
              <w:ind w:left="220"/>
              <w:spacing w:after="0" w:line="162" w:lineRule="exact"/>
              <w:rPr>
                <w:sz w:val="20"/>
                <w:szCs w:val="20"/>
                <w:color w:val="auto"/>
              </w:rPr>
            </w:pPr>
            <w:r>
              <w:rPr>
                <w:rFonts w:ascii="Times New Roman" w:cs="Times New Roman" w:eastAsia="Times New Roman" w:hAnsi="Times New Roman"/>
                <w:sz w:val="16"/>
                <w:szCs w:val="16"/>
                <w:color w:val="auto"/>
              </w:rPr>
              <w:t>Cost of sales</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80" w:type="dxa"/>
            <w:vAlign w:val="bottom"/>
            <w:gridSpan w:val="7"/>
          </w:tcPr>
          <w:p>
            <w:pPr>
              <w:ind w:left="220"/>
              <w:spacing w:after="0" w:line="162" w:lineRule="exact"/>
              <w:rPr>
                <w:sz w:val="20"/>
                <w:szCs w:val="20"/>
                <w:color w:val="auto"/>
              </w:rPr>
            </w:pPr>
            <w:r>
              <w:rPr>
                <w:rFonts w:ascii="Times New Roman" w:cs="Times New Roman" w:eastAsia="Times New Roman" w:hAnsi="Times New Roman"/>
                <w:sz w:val="16"/>
                <w:szCs w:val="16"/>
                <w:color w:val="auto"/>
              </w:rPr>
              <w:t>(from related parties $176 and $600 for the three months ended June 30, 2024 and</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80" w:type="dxa"/>
            <w:vAlign w:val="bottom"/>
            <w:gridSpan w:val="7"/>
          </w:tcPr>
          <w:p>
            <w:pPr>
              <w:ind w:left="220"/>
              <w:spacing w:after="0" w:line="162" w:lineRule="exact"/>
              <w:rPr>
                <w:sz w:val="20"/>
                <w:szCs w:val="20"/>
                <w:color w:val="auto"/>
              </w:rPr>
            </w:pPr>
            <w:r>
              <w:rPr>
                <w:rFonts w:ascii="Times New Roman" w:cs="Times New Roman" w:eastAsia="Times New Roman" w:hAnsi="Times New Roman"/>
                <w:sz w:val="16"/>
                <w:szCs w:val="16"/>
                <w:color w:val="auto"/>
              </w:rPr>
              <w:t>June 30, 2023, respectively, and $329 and $1,500 for the six months ended June</w:t>
            </w:r>
          </w:p>
        </w:tc>
        <w:tc>
          <w:tcPr>
            <w:tcW w:w="3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75,398</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94,911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144,882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187,911</w:t>
            </w:r>
          </w:p>
        </w:tc>
        <w:tc>
          <w:tcPr>
            <w:tcW w:w="0" w:type="dxa"/>
            <w:vAlign w:val="bottom"/>
          </w:tcPr>
          <w:p>
            <w:pPr>
              <w:spacing w:after="0"/>
              <w:rPr>
                <w:sz w:val="1"/>
                <w:szCs w:val="1"/>
                <w:color w:val="auto"/>
              </w:rPr>
            </w:pPr>
          </w:p>
        </w:tc>
      </w:tr>
      <w:tr>
        <w:trPr>
          <w:trHeight w:val="213"/>
        </w:trPr>
        <w:tc>
          <w:tcPr>
            <w:tcW w:w="5680" w:type="dxa"/>
            <w:vAlign w:val="bottom"/>
            <w:tcBorders>
              <w:bottom w:val="single" w:sz="8" w:color="CCEEFF"/>
            </w:tcBorders>
            <w:gridSpan w:val="7"/>
          </w:tcPr>
          <w:p>
            <w:pPr>
              <w:ind w:left="220"/>
              <w:spacing w:after="0"/>
              <w:rPr>
                <w:sz w:val="20"/>
                <w:szCs w:val="20"/>
                <w:color w:val="auto"/>
              </w:rPr>
            </w:pPr>
            <w:r>
              <w:rPr>
                <w:rFonts w:ascii="Times New Roman" w:cs="Times New Roman" w:eastAsia="Times New Roman" w:hAnsi="Times New Roman"/>
                <w:sz w:val="16"/>
                <w:szCs w:val="16"/>
                <w:color w:val="auto"/>
              </w:rPr>
              <w:t>30, 2024 and June 30, 2023, respectively)</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8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35,188</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26,954</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60,944</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50,423</w:t>
            </w:r>
          </w:p>
        </w:tc>
        <w:tc>
          <w:tcPr>
            <w:tcW w:w="0" w:type="dxa"/>
            <w:vAlign w:val="bottom"/>
          </w:tcPr>
          <w:p>
            <w:pPr>
              <w:spacing w:after="0"/>
              <w:rPr>
                <w:sz w:val="1"/>
                <w:szCs w:val="1"/>
                <w:color w:val="auto"/>
              </w:rPr>
            </w:pPr>
          </w:p>
        </w:tc>
      </w:tr>
      <w:tr>
        <w:trPr>
          <w:trHeight w:val="193"/>
        </w:trPr>
        <w:tc>
          <w:tcPr>
            <w:tcW w:w="5680" w:type="dxa"/>
            <w:vAlign w:val="bottom"/>
            <w:gridSpan w:val="7"/>
          </w:tcPr>
          <w:p>
            <w:pPr>
              <w:ind w:left="220"/>
              <w:spacing w:after="0"/>
              <w:rPr>
                <w:sz w:val="20"/>
                <w:szCs w:val="20"/>
                <w:color w:val="auto"/>
              </w:rPr>
            </w:pPr>
            <w:r>
              <w:rPr>
                <w:rFonts w:ascii="Times New Roman" w:cs="Times New Roman" w:eastAsia="Times New Roman" w:hAnsi="Times New Roman"/>
                <w:sz w:val="16"/>
                <w:szCs w:val="16"/>
                <w:color w:val="auto"/>
              </w:rPr>
              <w:t>Operating expenses: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680" w:type="dxa"/>
            <w:vAlign w:val="bottom"/>
            <w:gridSpan w:val="7"/>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9,266</w:t>
            </w:r>
          </w:p>
        </w:tc>
        <w:tc>
          <w:tcPr>
            <w:tcW w:w="0" w:type="dxa"/>
            <w:vAlign w:val="bottom"/>
          </w:tcPr>
          <w:p>
            <w:pPr>
              <w:spacing w:after="0"/>
              <w:rPr>
                <w:sz w:val="1"/>
                <w:szCs w:val="1"/>
                <w:color w:val="auto"/>
              </w:rPr>
            </w:pPr>
          </w:p>
        </w:tc>
      </w:tr>
      <w:tr>
        <w:trPr>
          <w:trHeight w:val="213"/>
        </w:trPr>
        <w:tc>
          <w:tcPr>
            <w:tcW w:w="5680" w:type="dxa"/>
            <w:vAlign w:val="bottom"/>
            <w:gridSpan w:val="7"/>
          </w:tcPr>
          <w:p>
            <w:pPr>
              <w:ind w:left="48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14,052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20,455</w:t>
            </w:r>
          </w:p>
        </w:tc>
        <w:tc>
          <w:tcPr>
            <w:tcW w:w="0" w:type="dxa"/>
            <w:vAlign w:val="bottom"/>
          </w:tcPr>
          <w:p>
            <w:pPr>
              <w:spacing w:after="0"/>
              <w:rPr>
                <w:sz w:val="1"/>
                <w:szCs w:val="1"/>
                <w:color w:val="auto"/>
              </w:rPr>
            </w:pPr>
          </w:p>
        </w:tc>
      </w:tr>
      <w:tr>
        <w:trPr>
          <w:trHeight w:val="219"/>
        </w:trPr>
        <w:tc>
          <w:tcPr>
            <w:tcW w:w="5680" w:type="dxa"/>
            <w:vAlign w:val="bottom"/>
            <w:gridSpan w:val="7"/>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w:t>
            </w:r>
          </w:p>
        </w:tc>
        <w:tc>
          <w:tcPr>
            <w:tcW w:w="0" w:type="dxa"/>
            <w:vAlign w:val="bottom"/>
          </w:tcPr>
          <w:p>
            <w:pPr>
              <w:spacing w:after="0"/>
              <w:rPr>
                <w:sz w:val="1"/>
                <w:szCs w:val="1"/>
                <w:color w:val="auto"/>
              </w:rPr>
            </w:pPr>
          </w:p>
        </w:tc>
      </w:tr>
      <w:tr>
        <w:trPr>
          <w:trHeight w:val="207"/>
        </w:trPr>
        <w:tc>
          <w:tcPr>
            <w:tcW w:w="5680" w:type="dxa"/>
            <w:vAlign w:val="bottom"/>
            <w:tcBorders>
              <w:bottom w:val="single" w:sz="8" w:color="CCEEFF"/>
            </w:tcBorders>
            <w:gridSpan w:val="7"/>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9,844</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15,649</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24,938</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30,594</w:t>
            </w:r>
          </w:p>
        </w:tc>
        <w:tc>
          <w:tcPr>
            <w:tcW w:w="0" w:type="dxa"/>
            <w:vAlign w:val="bottom"/>
          </w:tcPr>
          <w:p>
            <w:pPr>
              <w:spacing w:after="0"/>
              <w:rPr>
                <w:sz w:val="1"/>
                <w:szCs w:val="1"/>
                <w:color w:val="auto"/>
              </w:rPr>
            </w:pPr>
          </w:p>
        </w:tc>
      </w:tr>
      <w:tr>
        <w:trPr>
          <w:trHeight w:val="212"/>
        </w:trPr>
        <w:tc>
          <w:tcPr>
            <w:tcW w:w="568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25,344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36,006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19,829</w:t>
            </w:r>
          </w:p>
        </w:tc>
        <w:tc>
          <w:tcPr>
            <w:tcW w:w="0" w:type="dxa"/>
            <w:vAlign w:val="bottom"/>
          </w:tcPr>
          <w:p>
            <w:pPr>
              <w:spacing w:after="0"/>
              <w:rPr>
                <w:sz w:val="1"/>
                <w:szCs w:val="1"/>
                <w:color w:val="auto"/>
              </w:rPr>
            </w:pPr>
          </w:p>
        </w:tc>
      </w:tr>
      <w:tr>
        <w:trPr>
          <w:trHeight w:val="162"/>
        </w:trPr>
        <w:tc>
          <w:tcPr>
            <w:tcW w:w="5680" w:type="dxa"/>
            <w:vAlign w:val="bottom"/>
            <w:gridSpan w:val="7"/>
          </w:tcPr>
          <w:p>
            <w:pPr>
              <w:ind w:left="480"/>
              <w:spacing w:after="0" w:line="162" w:lineRule="exact"/>
              <w:rPr>
                <w:sz w:val="20"/>
                <w:szCs w:val="20"/>
                <w:color w:val="auto"/>
              </w:rPr>
            </w:pPr>
            <w:r>
              <w:rPr>
                <w:rFonts w:ascii="Times New Roman" w:cs="Times New Roman" w:eastAsia="Times New Roman" w:hAnsi="Times New Roman"/>
                <w:sz w:val="16"/>
                <w:szCs w:val="16"/>
                <w:color w:val="auto"/>
              </w:rPr>
              <w:t>Interest expense (from related parties $2,216 and $1,816 for the three months</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80" w:type="dxa"/>
            <w:vAlign w:val="bottom"/>
            <w:gridSpan w:val="7"/>
          </w:tcPr>
          <w:p>
            <w:pPr>
              <w:ind w:left="480"/>
              <w:spacing w:after="0" w:line="162" w:lineRule="exact"/>
              <w:rPr>
                <w:sz w:val="20"/>
                <w:szCs w:val="20"/>
                <w:color w:val="auto"/>
              </w:rPr>
            </w:pPr>
            <w:r>
              <w:rPr>
                <w:rFonts w:ascii="Times New Roman" w:cs="Times New Roman" w:eastAsia="Times New Roman" w:hAnsi="Times New Roman"/>
                <w:sz w:val="16"/>
                <w:szCs w:val="16"/>
                <w:color w:val="auto"/>
              </w:rPr>
              <w:t>ended June 30, 2024 and 2023, respectively, and $4,438 and $3,799 for the</w:t>
            </w:r>
          </w:p>
        </w:tc>
        <w:tc>
          <w:tcPr>
            <w:tcW w:w="3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2,909</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4,645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6,255</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9,310</w:t>
            </w:r>
          </w:p>
        </w:tc>
        <w:tc>
          <w:tcPr>
            <w:tcW w:w="0" w:type="dxa"/>
            <w:vAlign w:val="bottom"/>
          </w:tcPr>
          <w:p>
            <w:pPr>
              <w:spacing w:after="0"/>
              <w:rPr>
                <w:sz w:val="1"/>
                <w:szCs w:val="1"/>
                <w:color w:val="auto"/>
              </w:rPr>
            </w:pPr>
          </w:p>
        </w:tc>
      </w:tr>
      <w:tr>
        <w:trPr>
          <w:trHeight w:val="213"/>
        </w:trPr>
        <w:tc>
          <w:tcPr>
            <w:tcW w:w="5680" w:type="dxa"/>
            <w:vAlign w:val="bottom"/>
            <w:tcBorders>
              <w:bottom w:val="single" w:sz="8" w:color="CCEEFF"/>
            </w:tcBorders>
            <w:gridSpan w:val="7"/>
          </w:tcPr>
          <w:p>
            <w:pPr>
              <w:ind w:left="480"/>
              <w:spacing w:after="0"/>
              <w:rPr>
                <w:sz w:val="20"/>
                <w:szCs w:val="20"/>
                <w:color w:val="auto"/>
              </w:rPr>
            </w:pPr>
            <w:r>
              <w:rPr>
                <w:rFonts w:ascii="Times New Roman" w:cs="Times New Roman" w:eastAsia="Times New Roman" w:hAnsi="Times New Roman"/>
                <w:sz w:val="16"/>
                <w:szCs w:val="16"/>
                <w:color w:val="auto"/>
              </w:rPr>
              <w:t>six months ended June 30, 2024 and June 30, 2023, respectively)</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8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22,435</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29,751</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10,519</w:t>
            </w:r>
          </w:p>
        </w:tc>
        <w:tc>
          <w:tcPr>
            <w:tcW w:w="0" w:type="dxa"/>
            <w:vAlign w:val="bottom"/>
          </w:tcPr>
          <w:p>
            <w:pPr>
              <w:spacing w:after="0"/>
              <w:rPr>
                <w:sz w:val="1"/>
                <w:szCs w:val="1"/>
                <w:color w:val="auto"/>
              </w:rPr>
            </w:pPr>
          </w:p>
        </w:tc>
      </w:tr>
      <w:tr>
        <w:trPr>
          <w:trHeight w:val="207"/>
        </w:trPr>
        <w:tc>
          <w:tcPr>
            <w:tcW w:w="5680" w:type="dxa"/>
            <w:vAlign w:val="bottom"/>
            <w:tcBorders>
              <w:bottom w:val="single" w:sz="8" w:color="CCEEFF"/>
            </w:tcBorders>
            <w:gridSpan w:val="7"/>
          </w:tcPr>
          <w:p>
            <w:pPr>
              <w:ind w:left="480"/>
              <w:spacing w:after="0"/>
              <w:rPr>
                <w:sz w:val="20"/>
                <w:szCs w:val="20"/>
                <w:color w:val="auto"/>
              </w:rPr>
            </w:pPr>
            <w:r>
              <w:rPr>
                <w:rFonts w:ascii="Times New Roman" w:cs="Times New Roman" w:eastAsia="Times New Roman" w:hAnsi="Times New Roman"/>
                <w:sz w:val="16"/>
                <w:szCs w:val="16"/>
                <w:color w:val="auto"/>
              </w:rPr>
              <w:t>Income tax expense</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895</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1,096</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0" w:type="dxa"/>
            <w:vAlign w:val="bottom"/>
          </w:tcPr>
          <w:p>
            <w:pPr>
              <w:spacing w:after="0"/>
              <w:rPr>
                <w:sz w:val="1"/>
                <w:szCs w:val="1"/>
                <w:color w:val="auto"/>
              </w:rPr>
            </w:pPr>
          </w:p>
        </w:tc>
      </w:tr>
      <w:tr>
        <w:trPr>
          <w:trHeight w:val="210"/>
        </w:trPr>
        <w:tc>
          <w:tcPr>
            <w:tcW w:w="5680" w:type="dxa"/>
            <w:vAlign w:val="bottom"/>
            <w:tcBorders>
              <w:bottom w:val="single" w:sz="8" w:color="CCEEFF"/>
            </w:tcBorders>
            <w:gridSpan w:val="7"/>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21,540</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6,417</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28,655</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10,141</w:t>
            </w:r>
          </w:p>
        </w:tc>
        <w:tc>
          <w:tcPr>
            <w:tcW w:w="0" w:type="dxa"/>
            <w:vAlign w:val="bottom"/>
          </w:tcPr>
          <w:p>
            <w:pPr>
              <w:spacing w:after="0"/>
              <w:rPr>
                <w:sz w:val="1"/>
                <w:szCs w:val="1"/>
                <w:color w:val="auto"/>
              </w:rPr>
            </w:pPr>
          </w:p>
        </w:tc>
      </w:tr>
      <w:tr>
        <w:trPr>
          <w:trHeight w:val="20"/>
        </w:trPr>
        <w:tc>
          <w:tcPr>
            <w:tcW w:w="1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Weighted-average common shares outstanding:</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80" w:type="dxa"/>
            <w:vAlign w:val="bottom"/>
            <w:gridSpan w:val="7"/>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22,973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22,971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22,952</w:t>
            </w:r>
          </w:p>
        </w:tc>
        <w:tc>
          <w:tcPr>
            <w:tcW w:w="0" w:type="dxa"/>
            <w:vAlign w:val="bottom"/>
          </w:tcPr>
          <w:p>
            <w:pPr>
              <w:spacing w:after="0"/>
              <w:rPr>
                <w:sz w:val="1"/>
                <w:szCs w:val="1"/>
                <w:color w:val="auto"/>
              </w:rPr>
            </w:pPr>
          </w:p>
        </w:tc>
      </w:tr>
      <w:tr>
        <w:trPr>
          <w:trHeight w:val="219"/>
        </w:trPr>
        <w:tc>
          <w:tcPr>
            <w:tcW w:w="5680" w:type="dxa"/>
            <w:vAlign w:val="bottom"/>
            <w:gridSpan w:val="7"/>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22,993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22,966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22,983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22,967</w:t>
            </w:r>
          </w:p>
        </w:tc>
        <w:tc>
          <w:tcPr>
            <w:tcW w:w="0" w:type="dxa"/>
            <w:vAlign w:val="bottom"/>
          </w:tcPr>
          <w:p>
            <w:pPr>
              <w:spacing w:after="0"/>
              <w:rPr>
                <w:sz w:val="1"/>
                <w:szCs w:val="1"/>
                <w:color w:val="auto"/>
              </w:rPr>
            </w:pPr>
          </w:p>
        </w:tc>
      </w:tr>
      <w:tr>
        <w:trPr>
          <w:trHeight w:val="214"/>
        </w:trPr>
        <w:tc>
          <w:tcPr>
            <w:tcW w:w="5680" w:type="dxa"/>
            <w:vAlign w:val="bottom"/>
            <w:gridSpan w:val="7"/>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common share:</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680" w:type="dxa"/>
            <w:vAlign w:val="bottom"/>
            <w:gridSpan w:val="7"/>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0.44</w:t>
            </w:r>
          </w:p>
        </w:tc>
        <w:tc>
          <w:tcPr>
            <w:tcW w:w="0" w:type="dxa"/>
            <w:vAlign w:val="bottom"/>
          </w:tcPr>
          <w:p>
            <w:pPr>
              <w:spacing w:after="0"/>
              <w:rPr>
                <w:sz w:val="1"/>
                <w:szCs w:val="1"/>
                <w:color w:val="auto"/>
              </w:rPr>
            </w:pPr>
          </w:p>
        </w:tc>
      </w:tr>
      <w:tr>
        <w:trPr>
          <w:trHeight w:val="210"/>
        </w:trPr>
        <w:tc>
          <w:tcPr>
            <w:tcW w:w="5680" w:type="dxa"/>
            <w:vAlign w:val="bottom"/>
            <w:gridSpan w:val="7"/>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0.94</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tcPr>
          <w:p>
            <w:pPr>
              <w:spacing w:after="0"/>
              <w:rPr>
                <w:sz w:val="18"/>
                <w:szCs w:val="18"/>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0.44</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See Notes to Consolidated Financial Statements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5" w:name="page6"/>
    <w:bookmarkEnd w:id="5"/>
    <w:p>
      <w:pPr>
        <w:jc w:val="center"/>
        <w:spacing w:after="0" w:line="361" w:lineRule="auto"/>
        <w:rPr>
          <w:sz w:val="20"/>
          <w:szCs w:val="20"/>
          <w:color w:val="auto"/>
        </w:rPr>
      </w:pPr>
      <w:r>
        <w:rPr>
          <w:rFonts w:ascii="Times New Roman" w:cs="Times New Roman" w:eastAsia="Times New Roman" w:hAnsi="Times New Roman"/>
          <w:sz w:val="18"/>
          <w:szCs w:val="18"/>
          <w:b w:val="1"/>
          <w:bCs w:val="1"/>
          <w:color w:val="auto"/>
        </w:rPr>
        <w:t>POWER SOLUTIONS INTERNATIONAL, INC. CONDENSED CONSOLIDATED STATEMENTS OF STOCKHOLDERS’ EQUITY (DEFICIT) (UNAUDITED)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60" w:type="dxa"/>
            <w:vAlign w:val="bottom"/>
            <w:tcBorders>
              <w:bottom w:val="single" w:sz="8" w:color="auto"/>
            </w:tcBorders>
            <w:gridSpan w:val="8"/>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Additional Paid-</w:t>
            </w:r>
          </w:p>
        </w:tc>
        <w:tc>
          <w:tcPr>
            <w:tcW w:w="160" w:type="dxa"/>
            <w:vAlign w:val="bottom"/>
          </w:tcPr>
          <w:p>
            <w:pPr>
              <w:spacing w:after="0"/>
              <w:rPr>
                <w:sz w:val="13"/>
                <w:szCs w:val="13"/>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center"/>
              <w:ind w:right="19"/>
              <w:spacing w:after="0" w:line="158"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4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4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00" w:type="dxa"/>
            <w:vAlign w:val="bottom"/>
          </w:tcPr>
          <w:p>
            <w:pPr>
              <w:spacing w:after="0"/>
              <w:rPr>
                <w:sz w:val="14"/>
                <w:szCs w:val="14"/>
                <w:color w:val="auto"/>
              </w:rPr>
            </w:pPr>
          </w:p>
        </w:tc>
        <w:tc>
          <w:tcPr>
            <w:tcW w:w="122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2"/>
        </w:trPr>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in Capital</w:t>
            </w: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2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Equity (Deficit)</w:t>
            </w:r>
          </w:p>
        </w:tc>
        <w:tc>
          <w:tcPr>
            <w:tcW w:w="0" w:type="dxa"/>
            <w:vAlign w:val="bottom"/>
          </w:tcPr>
          <w:p>
            <w:pPr>
              <w:spacing w:after="0"/>
              <w:rPr>
                <w:sz w:val="1"/>
                <w:szCs w:val="1"/>
                <w:color w:val="auto"/>
              </w:rPr>
            </w:pPr>
          </w:p>
        </w:tc>
      </w:tr>
      <w:tr>
        <w:trPr>
          <w:trHeight w:val="210"/>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2024</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157,796</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(153,675)</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3,224</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21,540</w:t>
            </w:r>
          </w:p>
        </w:tc>
        <w:tc>
          <w:tcPr>
            <w:tcW w:w="0" w:type="dxa"/>
            <w:vAlign w:val="bottom"/>
          </w:tcPr>
          <w:p>
            <w:pPr>
              <w:spacing w:after="0"/>
              <w:rPr>
                <w:sz w:val="1"/>
                <w:szCs w:val="1"/>
                <w:color w:val="auto"/>
              </w:rPr>
            </w:pPr>
          </w:p>
        </w:tc>
      </w:tr>
      <w:tr>
        <w:trPr>
          <w:trHeight w:val="213"/>
        </w:trPr>
        <w:tc>
          <w:tcPr>
            <w:tcW w:w="4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Tax benefit from exercise of stock based compensation</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2"/>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2024</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157,737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(132,135)</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(860)</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24,765</w:t>
            </w:r>
          </w:p>
        </w:tc>
        <w:tc>
          <w:tcPr>
            <w:tcW w:w="0" w:type="dxa"/>
            <w:vAlign w:val="bottom"/>
          </w:tcPr>
          <w:p>
            <w:pPr>
              <w:spacing w:after="0"/>
              <w:rPr>
                <w:sz w:val="1"/>
                <w:szCs w:val="1"/>
                <w:color w:val="auto"/>
              </w:rPr>
            </w:pP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2023</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157,742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(183,372)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(26,579)</w:t>
            </w:r>
          </w:p>
        </w:tc>
        <w:tc>
          <w:tcPr>
            <w:tcW w:w="0" w:type="dxa"/>
            <w:vAlign w:val="bottom"/>
          </w:tcPr>
          <w:p>
            <w:pPr>
              <w:spacing w:after="0"/>
              <w:rPr>
                <w:sz w:val="1"/>
                <w:szCs w:val="1"/>
                <w:color w:val="auto"/>
              </w:rPr>
            </w:pPr>
          </w:p>
        </w:tc>
      </w:tr>
      <w:tr>
        <w:trPr>
          <w:trHeight w:val="218"/>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6,417</w:t>
            </w:r>
          </w:p>
        </w:tc>
        <w:tc>
          <w:tcPr>
            <w:tcW w:w="0" w:type="dxa"/>
            <w:vAlign w:val="bottom"/>
          </w:tcPr>
          <w:p>
            <w:pPr>
              <w:spacing w:after="0"/>
              <w:rPr>
                <w:sz w:val="1"/>
                <w:szCs w:val="1"/>
                <w:color w:val="auto"/>
              </w:rPr>
            </w:pPr>
          </w:p>
        </w:tc>
      </w:tr>
      <w:tr>
        <w:trPr>
          <w:trHeight w:val="213"/>
        </w:trPr>
        <w:tc>
          <w:tcPr>
            <w:tcW w:w="4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37"/>
        </w:trPr>
        <w:tc>
          <w:tcPr>
            <w:tcW w:w="4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2023</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157,831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(176,955)</w:t>
            </w:r>
          </w:p>
        </w:tc>
        <w:tc>
          <w:tcPr>
            <w:tcW w:w="100" w:type="dxa"/>
            <w:vAlign w:val="bottom"/>
            <w:tcBorders>
              <w:top w:val="single" w:sz="8" w:color="CCEEFF"/>
              <w:bottom w:val="single" w:sz="8" w:color="auto"/>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(20,125)</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400" w:type="dxa"/>
            <w:vAlign w:val="bottom"/>
            <w:tcBorders>
              <w:top w:val="single" w:sz="8" w:color="CCEEFF"/>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8"/>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Additional Paid-</w:t>
            </w:r>
          </w:p>
        </w:tc>
        <w:tc>
          <w:tcPr>
            <w:tcW w:w="160" w:type="dxa"/>
            <w:vAlign w:val="bottom"/>
          </w:tcPr>
          <w:p>
            <w:pPr>
              <w:spacing w:after="0"/>
              <w:rPr>
                <w:sz w:val="13"/>
                <w:szCs w:val="13"/>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center"/>
              <w:ind w:right="19"/>
              <w:spacing w:after="0" w:line="158"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4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4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00" w:type="dxa"/>
            <w:vAlign w:val="bottom"/>
          </w:tcPr>
          <w:p>
            <w:pPr>
              <w:spacing w:after="0"/>
              <w:rPr>
                <w:sz w:val="14"/>
                <w:szCs w:val="14"/>
                <w:color w:val="auto"/>
              </w:rPr>
            </w:pPr>
          </w:p>
        </w:tc>
        <w:tc>
          <w:tcPr>
            <w:tcW w:w="122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2"/>
        </w:trPr>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in Capital</w:t>
            </w: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2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Equity (Deficit)</w:t>
            </w:r>
          </w:p>
        </w:tc>
        <w:tc>
          <w:tcPr>
            <w:tcW w:w="0" w:type="dxa"/>
            <w:vAlign w:val="bottom"/>
          </w:tcPr>
          <w:p>
            <w:pPr>
              <w:spacing w:after="0"/>
              <w:rPr>
                <w:sz w:val="1"/>
                <w:szCs w:val="1"/>
                <w:color w:val="auto"/>
              </w:rPr>
            </w:pPr>
          </w:p>
        </w:tc>
      </w:tr>
      <w:tr>
        <w:trPr>
          <w:trHeight w:val="210"/>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157,770</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(160,790)</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(3,917)</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28,655</w:t>
            </w:r>
          </w:p>
        </w:tc>
        <w:tc>
          <w:tcPr>
            <w:tcW w:w="0" w:type="dxa"/>
            <w:vAlign w:val="bottom"/>
          </w:tcPr>
          <w:p>
            <w:pPr>
              <w:spacing w:after="0"/>
              <w:rPr>
                <w:sz w:val="1"/>
                <w:szCs w:val="1"/>
                <w:color w:val="auto"/>
              </w:rPr>
            </w:pPr>
          </w:p>
        </w:tc>
      </w:tr>
      <w:tr>
        <w:trPr>
          <w:trHeight w:val="213"/>
        </w:trPr>
        <w:tc>
          <w:tcPr>
            <w:tcW w:w="4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Tax benefit from exercise of stock based compensation</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2"/>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2024</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157,737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(132,135)</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(860)</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24,765</w:t>
            </w:r>
          </w:p>
        </w:tc>
        <w:tc>
          <w:tcPr>
            <w:tcW w:w="0" w:type="dxa"/>
            <w:vAlign w:val="bottom"/>
          </w:tcPr>
          <w:p>
            <w:pPr>
              <w:spacing w:after="0"/>
              <w:rPr>
                <w:sz w:val="1"/>
                <w:szCs w:val="1"/>
                <w:color w:val="auto"/>
              </w:rPr>
            </w:pP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157,673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(187,096)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(30,372)</w:t>
            </w:r>
          </w:p>
        </w:tc>
        <w:tc>
          <w:tcPr>
            <w:tcW w:w="0" w:type="dxa"/>
            <w:vAlign w:val="bottom"/>
          </w:tcPr>
          <w:p>
            <w:pPr>
              <w:spacing w:after="0"/>
              <w:rPr>
                <w:sz w:val="1"/>
                <w:szCs w:val="1"/>
                <w:color w:val="auto"/>
              </w:rPr>
            </w:pPr>
          </w:p>
        </w:tc>
      </w:tr>
      <w:tr>
        <w:trPr>
          <w:trHeight w:val="218"/>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10,141</w:t>
            </w:r>
          </w:p>
        </w:tc>
        <w:tc>
          <w:tcPr>
            <w:tcW w:w="0" w:type="dxa"/>
            <w:vAlign w:val="bottom"/>
          </w:tcPr>
          <w:p>
            <w:pPr>
              <w:spacing w:after="0"/>
              <w:rPr>
                <w:sz w:val="1"/>
                <w:szCs w:val="1"/>
                <w:color w:val="auto"/>
              </w:rPr>
            </w:pPr>
          </w:p>
        </w:tc>
      </w:tr>
      <w:tr>
        <w:trPr>
          <w:trHeight w:val="213"/>
        </w:trPr>
        <w:tc>
          <w:tcPr>
            <w:tcW w:w="4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37"/>
        </w:trPr>
        <w:tc>
          <w:tcPr>
            <w:tcW w:w="4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2023</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157,831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(20,125)</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See Notes to Consolidated Financial Statements</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SOLUTIONS INTERNATIONAL, INC.</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40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4"/>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r>
      <w:tr>
        <w:trPr>
          <w:trHeight w:val="211"/>
        </w:trPr>
        <w:tc>
          <w:tcPr>
            <w:tcW w:w="73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provided by operating activities</w:t>
            </w:r>
          </w:p>
        </w:tc>
        <w:tc>
          <w:tcPr>
            <w:tcW w:w="4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3"/>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28,655</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10,141</w:t>
            </w:r>
          </w:p>
        </w:tc>
      </w:tr>
      <w:tr>
        <w:trPr>
          <w:trHeight w:val="219"/>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4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3"/>
        </w:trPr>
        <w:tc>
          <w:tcPr>
            <w:tcW w:w="73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w:t>
            </w:r>
          </w:p>
        </w:tc>
      </w:tr>
      <w:tr>
        <w:trPr>
          <w:trHeight w:val="219"/>
        </w:trPr>
        <w:tc>
          <w:tcPr>
            <w:tcW w:w="73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Depreciation</w:t>
            </w:r>
          </w:p>
        </w:tc>
        <w:tc>
          <w:tcPr>
            <w:tcW w:w="4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1,975</w:t>
            </w:r>
          </w:p>
        </w:tc>
      </w:tr>
      <w:tr>
        <w:trPr>
          <w:trHeight w:val="213"/>
        </w:trPr>
        <w:tc>
          <w:tcPr>
            <w:tcW w:w="73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r>
      <w:tr>
        <w:trPr>
          <w:trHeight w:val="219"/>
        </w:trPr>
        <w:tc>
          <w:tcPr>
            <w:tcW w:w="73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Amortization of financing fees</w:t>
            </w:r>
          </w:p>
        </w:tc>
        <w:tc>
          <w:tcPr>
            <w:tcW w:w="4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w:t>
            </w:r>
          </w:p>
        </w:tc>
      </w:tr>
      <w:tr>
        <w:trPr>
          <w:trHeight w:val="213"/>
        </w:trPr>
        <w:tc>
          <w:tcPr>
            <w:tcW w:w="73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Deferred income taxes</w:t>
            </w:r>
          </w:p>
        </w:tc>
        <w:tc>
          <w:tcPr>
            <w:tcW w:w="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19"/>
        </w:trPr>
        <w:tc>
          <w:tcPr>
            <w:tcW w:w="73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(Credit) for losses in accounts receivable</w:t>
            </w:r>
          </w:p>
        </w:tc>
        <w:tc>
          <w:tcPr>
            <w:tcW w:w="4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(3,704)</w:t>
            </w:r>
          </w:p>
        </w:tc>
      </w:tr>
      <w:tr>
        <w:trPr>
          <w:trHeight w:val="213"/>
        </w:trPr>
        <w:tc>
          <w:tcPr>
            <w:tcW w:w="73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Increase in allowance for inventory obsolescence</w:t>
            </w:r>
          </w:p>
        </w:tc>
        <w:tc>
          <w:tcPr>
            <w:tcW w:w="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1,798</w:t>
            </w:r>
          </w:p>
        </w:tc>
      </w:tr>
      <w:tr>
        <w:trPr>
          <w:trHeight w:val="219"/>
        </w:trPr>
        <w:tc>
          <w:tcPr>
            <w:tcW w:w="73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Other adjustments, net</w:t>
            </w:r>
          </w:p>
        </w:tc>
        <w:tc>
          <w:tcPr>
            <w:tcW w:w="4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3"/>
        </w:trPr>
        <w:tc>
          <w:tcPr>
            <w:tcW w:w="73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9"/>
        </w:trPr>
        <w:tc>
          <w:tcPr>
            <w:tcW w:w="73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Accounts receivable</w:t>
            </w:r>
          </w:p>
        </w:tc>
        <w:tc>
          <w:tcPr>
            <w:tcW w:w="4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15,402</w:t>
            </w:r>
          </w:p>
        </w:tc>
      </w:tr>
      <w:tr>
        <w:trPr>
          <w:trHeight w:val="213"/>
        </w:trPr>
        <w:tc>
          <w:tcPr>
            <w:tcW w:w="73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Inventories</w:t>
            </w:r>
          </w:p>
        </w:tc>
        <w:tc>
          <w:tcPr>
            <w:tcW w:w="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(9,850)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5,547</w:t>
            </w:r>
          </w:p>
        </w:tc>
      </w:tr>
      <w:tr>
        <w:trPr>
          <w:trHeight w:val="219"/>
        </w:trPr>
        <w:tc>
          <w:tcPr>
            <w:tcW w:w="73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Prepaid expenses, right-of-use assets and other assets</w:t>
            </w:r>
          </w:p>
        </w:tc>
        <w:tc>
          <w:tcPr>
            <w:tcW w:w="4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w:t>
            </w:r>
          </w:p>
        </w:tc>
      </w:tr>
      <w:tr>
        <w:trPr>
          <w:trHeight w:val="213"/>
        </w:trPr>
        <w:tc>
          <w:tcPr>
            <w:tcW w:w="73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Accounts payable</w:t>
            </w:r>
          </w:p>
        </w:tc>
        <w:tc>
          <w:tcPr>
            <w:tcW w:w="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(5,433)</w:t>
            </w:r>
          </w:p>
        </w:tc>
      </w:tr>
      <w:tr>
        <w:trPr>
          <w:trHeight w:val="219"/>
        </w:trPr>
        <w:tc>
          <w:tcPr>
            <w:tcW w:w="73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Income taxes receivable</w:t>
            </w:r>
          </w:p>
        </w:tc>
        <w:tc>
          <w:tcPr>
            <w:tcW w:w="4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3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Accrued expenses</w:t>
            </w:r>
          </w:p>
        </w:tc>
        <w:tc>
          <w:tcPr>
            <w:tcW w:w="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(1,754)</w:t>
            </w:r>
          </w:p>
        </w:tc>
      </w:tr>
      <w:tr>
        <w:trPr>
          <w:trHeight w:val="219"/>
        </w:trPr>
        <w:tc>
          <w:tcPr>
            <w:tcW w:w="73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4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w:t>
            </w:r>
          </w:p>
        </w:tc>
      </w:tr>
      <w:tr>
        <w:trPr>
          <w:trHeight w:val="207"/>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4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17,164</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26,574</w:t>
            </w:r>
          </w:p>
        </w:tc>
      </w:tr>
      <w:tr>
        <w:trPr>
          <w:trHeight w:val="19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used in investing activities</w:t>
            </w:r>
          </w:p>
        </w:tc>
        <w:tc>
          <w:tcPr>
            <w:tcW w:w="4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3"/>
        </w:trPr>
        <w:tc>
          <w:tcPr>
            <w:tcW w:w="7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Capital expenditures</w:t>
            </w:r>
          </w:p>
        </w:tc>
        <w:tc>
          <w:tcPr>
            <w:tcW w:w="4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(1,527)</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(1,254)</w:t>
            </w:r>
          </w:p>
        </w:tc>
      </w:tr>
      <w:tr>
        <w:trPr>
          <w:trHeight w:val="212"/>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4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(1,254)</w:t>
            </w:r>
          </w:p>
        </w:tc>
      </w:tr>
      <w:tr>
        <w:trPr>
          <w:trHeight w:val="194"/>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used in financing activities</w:t>
            </w:r>
          </w:p>
        </w:tc>
        <w:tc>
          <w:tcPr>
            <w:tcW w:w="4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18"/>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Repayment of long-term debt and lease liabilities</w:t>
            </w:r>
          </w:p>
        </w:tc>
        <w:tc>
          <w:tcPr>
            <w:tcW w:w="4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3"/>
        </w:trPr>
        <w:tc>
          <w:tcPr>
            <w:tcW w:w="7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Repayment of short-term financings</w:t>
            </w:r>
          </w:p>
        </w:tc>
        <w:tc>
          <w:tcPr>
            <w:tcW w:w="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(20,594)</w:t>
            </w:r>
          </w:p>
        </w:tc>
      </w:tr>
      <w:tr>
        <w:trPr>
          <w:trHeight w:val="219"/>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of deferred financing costs</w:t>
            </w:r>
          </w:p>
        </w:tc>
        <w:tc>
          <w:tcPr>
            <w:tcW w:w="4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w:t>
            </w:r>
          </w:p>
        </w:tc>
      </w:tr>
      <w:tr>
        <w:trPr>
          <w:trHeight w:val="213"/>
        </w:trPr>
        <w:tc>
          <w:tcPr>
            <w:tcW w:w="7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Tax benefit from exercise of stock based compensation</w:t>
            </w:r>
          </w:p>
        </w:tc>
        <w:tc>
          <w:tcPr>
            <w:tcW w:w="4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4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(10,239)</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(21,678)</w:t>
            </w:r>
          </w:p>
        </w:tc>
      </w:tr>
      <w:tr>
        <w:trPr>
          <w:trHeight w:val="207"/>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increase in cash, cash equivalents, and restricted cash</w:t>
            </w:r>
          </w:p>
        </w:tc>
        <w:tc>
          <w:tcPr>
            <w:tcW w:w="4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3,642</w:t>
            </w: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the period</w:t>
            </w:r>
          </w:p>
        </w:tc>
        <w:tc>
          <w:tcPr>
            <w:tcW w:w="4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26,594</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27,900</w:t>
            </w:r>
          </w:p>
        </w:tc>
      </w:tr>
      <w:tr>
        <w:trPr>
          <w:trHeight w:val="212"/>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the period</w:t>
            </w: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31,992</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31,542</w:t>
            </w:r>
          </w:p>
        </w:tc>
      </w:tr>
      <w:tr>
        <w:trPr>
          <w:trHeight w:val="20"/>
        </w:trPr>
        <w:tc>
          <w:tcPr>
            <w:tcW w:w="7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As of June 30,</w:t>
            </w:r>
          </w:p>
        </w:tc>
        <w:tc>
          <w:tcPr>
            <w:tcW w:w="1260" w:type="dxa"/>
            <w:vAlign w:val="bottom"/>
            <w:tcBorders>
              <w:bottom w:val="single" w:sz="8" w:color="auto"/>
            </w:tcBorders>
          </w:tcPr>
          <w:p>
            <w:pPr>
              <w:spacing w:after="0"/>
              <w:rPr>
                <w:sz w:val="18"/>
                <w:szCs w:val="18"/>
                <w:color w:val="auto"/>
              </w:rPr>
            </w:pPr>
          </w:p>
        </w:tc>
      </w:tr>
      <w:tr>
        <w:trPr>
          <w:trHeight w:val="211"/>
        </w:trPr>
        <w:tc>
          <w:tcPr>
            <w:tcW w:w="73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 to the Consolidated Balance Sheets</w:t>
            </w:r>
          </w:p>
        </w:tc>
        <w:tc>
          <w:tcPr>
            <w:tcW w:w="1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7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20" w:type="dxa"/>
            <w:vAlign w:val="bottom"/>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28,801</w:t>
            </w:r>
          </w:p>
        </w:tc>
        <w:tc>
          <w:tcPr>
            <w:tcW w:w="120" w:type="dxa"/>
            <w:vAlign w:val="bottom"/>
          </w:tcPr>
          <w:p>
            <w:pPr>
              <w:spacing w:after="0"/>
              <w:rPr>
                <w:sz w:val="18"/>
                <w:szCs w:val="18"/>
                <w:color w:val="auto"/>
              </w:rPr>
            </w:pPr>
          </w:p>
        </w:tc>
        <w:tc>
          <w:tcPr>
            <w:tcW w:w="60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27,782</w:t>
            </w:r>
          </w:p>
        </w:tc>
      </w:tr>
      <w:tr>
        <w:trPr>
          <w:trHeight w:val="216"/>
        </w:trPr>
        <w:tc>
          <w:tcPr>
            <w:tcW w:w="7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Restricted cash</w:t>
            </w:r>
          </w:p>
        </w:tc>
        <w:tc>
          <w:tcPr>
            <w:tcW w:w="1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3,191</w:t>
            </w:r>
          </w:p>
        </w:tc>
        <w:tc>
          <w:tcPr>
            <w:tcW w:w="1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3,760</w:t>
            </w:r>
          </w:p>
        </w:tc>
      </w:tr>
      <w:tr>
        <w:trPr>
          <w:trHeight w:val="212"/>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cash, cash equivalents, and restricted cash</w:t>
            </w:r>
          </w:p>
        </w:tc>
        <w:tc>
          <w:tcPr>
            <w:tcW w:w="1220" w:type="dxa"/>
            <w:vAlign w:val="bottom"/>
            <w:tcBorders>
              <w:bottom w:val="single" w:sz="8" w:color="auto"/>
            </w:tcBorders>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31,992</w:t>
            </w:r>
          </w:p>
        </w:tc>
        <w:tc>
          <w:tcPr>
            <w:tcW w:w="120" w:type="dxa"/>
            <w:vAlign w:val="bottom"/>
          </w:tcPr>
          <w:p>
            <w:pPr>
              <w:spacing w:after="0"/>
              <w:rPr>
                <w:sz w:val="18"/>
                <w:szCs w:val="18"/>
                <w:color w:val="auto"/>
              </w:rPr>
            </w:pPr>
          </w:p>
        </w:tc>
        <w:tc>
          <w:tcPr>
            <w:tcW w:w="6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31,542</w:t>
            </w:r>
          </w:p>
        </w:tc>
      </w:tr>
      <w:tr>
        <w:trPr>
          <w:trHeight w:val="20"/>
        </w:trPr>
        <w:tc>
          <w:tcPr>
            <w:tcW w:w="73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POWER SOLUTIONS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3" w:lineRule="exact"/>
        <w:rPr>
          <w:sz w:val="20"/>
          <w:szCs w:val="20"/>
          <w:color w:val="auto"/>
        </w:rPr>
      </w:pPr>
    </w:p>
    <w:p>
      <w:pPr>
        <w:ind w:right="5300"/>
        <w:spacing w:after="0" w:line="377" w:lineRule="auto"/>
        <w:rPr>
          <w:sz w:val="20"/>
          <w:szCs w:val="20"/>
          <w:color w:val="auto"/>
        </w:rPr>
      </w:pPr>
      <w:r>
        <w:rPr>
          <w:rFonts w:ascii="Times New Roman" w:cs="Times New Roman" w:eastAsia="Times New Roman" w:hAnsi="Times New Roman"/>
          <w:sz w:val="18"/>
          <w:szCs w:val="18"/>
          <w:b w:val="1"/>
          <w:bCs w:val="1"/>
          <w:color w:val="auto"/>
        </w:rPr>
        <w:t>Note 1. Summary of Significant Accounting Policies and Other Information Nature of Business Operations</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Power Solutions International, Inc. (“Power Solutions,” “PSI” or the “Company”), a Delaware corporation, is a global producer and distributor of a broad range of high-performance, certified, low-emission power systems, including alternative-fueled power systems for original equipment manufacturers (“OEMs”) of off-highway industrial equipment and certain on-road vehicles and large custom-engineered integrated electrical power generation systems.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customers include large, industry-leading and multinational organizations. The Company’s products and services are sold predominantly to customers throughout North America as well as to customers located throughout the Pacific Rim and Europe. The Company’s power systems are highly engineered, comprehensive systems which, through the Company’s technologically sophisticated development and manufacturing processes, including its in-house design, prototyping, testing and engineering capabilities and its analysis and determination of the specific components to be integrated into a given power system (driven in large part by emission standards and cost considerations), allow the Company to provide its customers with power systems customized to meet specific OEM application requirements, other customers’ technical specifications and requirements imposed by environmental regulatory bodies.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power system configurations range from a basic engine integrated with appropriate fuel system components to completely packaged power systems that include any combination of cooling systems, electronic systems, air intake systems, fuel systems, housings, power takeoff systems, exhaust systems, hydraulic systems, enclosures, brackets, hoses, tubes and other assembled componentry. The Company also designs and manufactures large, custom-engineered integrated electrical power generation systems for both standby and prime power applications. The Company purchases engines from third-party suppliers and produces internally designed engines, all of which are then integrated into its power systems.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Of the other components that the Company integrates into its power systems, a substantial portion consist of internally designed components and components for which it coordinates significant design efforts with third-party suppliers, with the remainder consisting largely of parts that are sourced off-the-shelf from third-party suppliers. Some of the key components (including purchased engines) embody proprietary intellectual property of the Company’s suppliers. As a result of its design and manufacturing capabilities, the Company is able to provide its customers with a power system that can be incorporated into a customer’s specified application. In addition to the certified products described above, the Company sells diesel, gasoline and non-certified power systems and aftermarket components.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and Control</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Weichai America Corp., a wholly-owned subsidiary of Weichai Power Co., Ltd. (HK2338, SZ000338) (herein collectively referred to as “Weichai”) owns a majority of the outstanding shares of the Company’s Common Stock. As a result, Weichai is able to exercise control over matters requiring stockholders’ approval, including the election of directors, amendment of the Company’s Certificate of Incorporation (the “Charter”) and approval of significant corporate transactions. This control could have the effect of delaying or preventing a change of control of the Company or changes in management and will make the approval of certain transactions impractical without the support of Weichai.</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Weichai also entered into an Investor Rights Agreement (the “Rights Agreement”) with the Company upon execution of the Share Purchase Agreement (the “SPA”) by and between the Company and Weichai. The Rights Agreement provides Weichai with representation on the Company’s Board of Directors (the “Board”) and management representation rights. Weichai currently has four representatives on the Board, which constitutes the majority of the directors serving on the Board. According to the Rights Agreement, during any period when the Company is a “controlled company” within the meaning of the Nasdaq Listing Rules, it will take such measures as to avail itself of the “controlled company” exemptions available under Rule 5615 of the Nasdaq Listing Rules from Rules 5605(b), (d) and (e).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 Considerations</w:t>
      </w:r>
    </w:p>
    <w:p>
      <w:pPr>
        <w:spacing w:after="0" w:line="10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Uncertainties exist about the Company’s ability to refinance, extend, or repay its outstanding indebtedness, maintain sufficient liquidity to fund its business activities, and maintain compliance with the covenants and other requirements under the Company’s debt arrangements. As of June 30, 2024 and December 31, 2023, the Company’s total outstanding debt obligations under the Fourth Amended and Restated Uncommitted Revolving Credit Agreement (the “Credit Agreement”), its $25 Million Second Amended Shareholder’s Loan Agreement (“$25 Million Loan Agreement” historically referred to as the second Amended Shareholder’s Loan Agreement), its $50 Million Second Amended Shareholder’s Loan Agreement (“$50 Million Loan Agreement” historically referred to as the third Amended Shareholder’s Loan Agreement), its $30 Million Second Amended Shareholder’s Loan Agreement (“$30 Million Loan Agreement” historically referred to as the fourth Amended Shareholder’s Loan Agreement) and for finance leases and other debt were $135.1 million and $145.2 million in the aggregate,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8" w:name="page9"/>
    <w:bookmarkEnd w:id="8"/>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 xml:space="preserve">respectively, and its cash and cash equivalents were $28.8 million and $22.8 million, respectively. See Note 6.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for further information regarding the terms and conditions of the Company’s debt agreements.</w:t>
      </w:r>
    </w:p>
    <w:p>
      <w:pPr>
        <w:spacing w:after="0" w:line="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Without additional financing, the Company anticipates that it will not have sufficient cash and cash equivalents to repay amounts owed under its existing debt arrangements as they become due. In order to provide the Company with a more permanent source of liquidity, management plans to seek an extension and amendment and/or replacement of its existing debt agreements or seek additional liquidity from its current or other lenders before the maturity dates in 2024 and 2025. There can be no assurance that the Company’s management will be able to successfully complete an extension and amendment of its existing debt agreements or obtain new financing on acceptable terms, when required or if at all. These consolidated financial statements do not include any adjustments that might result from the outcome of the Company’s efforts to address these issues.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Furthermore, if the Company cannot raise capital on acceptable terms, it may not, among other things, be able to do the following:</w:t>
      </w:r>
    </w:p>
    <w:p>
      <w:pPr>
        <w:spacing w:after="0" w:line="11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expand the Company’s research and product investments and sales and marketing organization;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fund and expand operations both organically and through acquisitions;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competitive pressures or unanticipated working capital requirements.</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Macroeconomic volatility and uncertainties further increase the potential for continued supply chain disruptions, economic uncertainty, and unfavorable oil and gas market dynamics which may continue to have a material adverse impact on the results of operations, financial position and liquidity of the Company.</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Lastly, national inflationary pressures have continued to cause interest rates to remain elevated. Although the Company’s interest expense has decreased because of reduced debt balances, it may be subject to future increases from these inflationary pressures. Accordingly, the above challenges may continue to have a material adverse impact on the Company’s future results of operations, financial position, and liquidity.</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has concluded that, due to uncertainties surrounding the Company’s future ability to refinance, extend and amend, or repay its outstanding indebtedness under its existing debt arrangements, maintain sufficient liquidity to fund its business activities, and maintain compliance with the covenants and other requirements under the Credit Agreement and other outstanding debt, in the future, substantial doubt exists as to its ability to continue as a going concern within one year after the date that these financial statements are issued. The Company’s plans to alleviate the substantial doubt about its ability to continue as a going concern may not be successful, and it may be forced to limit its business activities or be unable to continue as a going concern, which would have a material adverse effect on its results of operations and financial condition.</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included herein have been prepared assuming that the Company will continue as a going concern and contemplating the realization of assets and the satisfaction of liabilities and commitments in the normal course of business. The Company’s ability to continue as a going concern is dependent on generating profitable operating results, having sufficient liquidity, maintaining compliance with the covenants and other requirements under the Credit Agreement and other outstanding debt, in the future, and extending and amending, refinancing or repaying the indebtedness outstanding under the Company’s existing debt arrangements.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Consolidation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filing this Form 10-Q for the quarterly period ended June 30, 2024, which contains unaudited condensed consolidated financial statements as of June 30, 2024 and for the three and six months ended June 30, 2024 and 2023.</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Power Solutions International, Inc. and its wholly-owned subsidiaries and majority-owned subsidiaries in which the Company exercises control. The condensed consolidated financial statements were prepared in accordance with generally accepted accounting principles in the United States (“U.S. GAAP”) and rules and regulations of the SEC for interim financial reporting. All intercompany balances and transactions have been eliminated in consolidation.</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information and note disclosures normally included in the Company’s annual financial statements prepared in accordance with U.S. GAAP have been condensed or omitted. The accompanying unaudited Condensed Consolidated Financial Statements have been prepared in accordance with the instructions to Form 10-Q and Article 8 of Regulation S-X and include all of the information and disclosures required by U.S GAAP for interim financial reporting. These unaudited Condensed Consolidated Financial Statements should be read in conjunction with the Consolidated Financial Statements of the Company and related footnotes for the year ended December 31, 2023, included in the 2023 Annual Report on Form 10-K, filed with the SEC on March 14, 2024 (the “2023 Annual Report”). The Company’s significant accounting policies are described in the aforementioned 2023 Annual Report. The accompanying interim financial information is unaudited; however, the Company believes the financial information reflects all adjustments (consisting of items of a normal recurring nature) necessary for a fair presentation of its financial position, results of operations and cash flows in conformity with U.S. GAAP. Operating results for interim periods are not necessarily indicative of annual operating results.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operates as one business and geographic operating segment. Operating segments are defined as components of a business that can earn revenues and incur expenses for which discrete financial information is available that is evaluated on a regular basis by the chief operating decision maker (“CODM”). The Company’s CODM is its principal executive officer, who decides how to allocate resources and assess performance. A single management team reports to the CODM, who manages the entire business. The Company’s CODM reviews consolidated statements of income to make decisions, allocate resources and assess performance, and the CODM does not evaluate the profit or loss from any separate geography or product line.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customers individually accounting for more than 10% of the Company’s net sales: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20" w:type="dxa"/>
            <w:vAlign w:val="bottom"/>
          </w:tcPr>
          <w:p>
            <w:pPr>
              <w:spacing w:after="0"/>
              <w:rPr>
                <w:sz w:val="18"/>
                <w:szCs w:val="18"/>
                <w:color w:val="auto"/>
              </w:rPr>
            </w:pPr>
          </w:p>
        </w:tc>
        <w:tc>
          <w:tcPr>
            <w:tcW w:w="346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For the Three Months Ended June 30,</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960" w:type="dxa"/>
            <w:vAlign w:val="bottom"/>
            <w:tcBorders>
              <w:bottom w:val="single" w:sz="8" w:color="auto"/>
            </w:tcBorders>
            <w:gridSpan w:val="3"/>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r>
      <w:tr>
        <w:trPr>
          <w:trHeight w:val="211"/>
        </w:trPr>
        <w:tc>
          <w:tcPr>
            <w:tcW w:w="3220" w:type="dxa"/>
            <w:vAlign w:val="bottom"/>
          </w:tcPr>
          <w:p>
            <w:pPr>
              <w:spacing w:after="0"/>
              <w:rPr>
                <w:sz w:val="18"/>
                <w:szCs w:val="18"/>
                <w:color w:val="auto"/>
              </w:rPr>
            </w:pPr>
          </w:p>
        </w:tc>
        <w:tc>
          <w:tcPr>
            <w:tcW w:w="13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12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1940" w:type="dxa"/>
            <w:vAlign w:val="bottom"/>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3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A</w:t>
            </w:r>
          </w:p>
        </w:tc>
        <w:tc>
          <w:tcPr>
            <w:tcW w:w="13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8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r>
      <w:tr>
        <w:trPr>
          <w:trHeight w:val="213"/>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Customer B</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r>
      <w:tr>
        <w:trPr>
          <w:trHeight w:val="219"/>
        </w:trPr>
        <w:tc>
          <w:tcPr>
            <w:tcW w:w="4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C</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8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customers individually accounting for more than 10% of the Company’s trade accounts receivable: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40" w:type="dxa"/>
            <w:vAlign w:val="bottom"/>
          </w:tcPr>
          <w:p>
            <w:pPr>
              <w:spacing w:after="0"/>
              <w:rPr>
                <w:sz w:val="18"/>
                <w:szCs w:val="18"/>
                <w:color w:val="auto"/>
              </w:rPr>
            </w:pPr>
          </w:p>
        </w:tc>
        <w:tc>
          <w:tcPr>
            <w:tcW w:w="208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As of June 30, 2024</w:t>
            </w:r>
          </w:p>
        </w:tc>
        <w:tc>
          <w:tcPr>
            <w:tcW w:w="20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r>
      <w:tr>
        <w:trPr>
          <w:trHeight w:val="213"/>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A</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r>
      <w:tr>
        <w:trPr>
          <w:trHeight w:val="210"/>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D</w:t>
            </w: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suppliers individually accounting for more than 10% of the Company’s purchases: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60" w:type="dxa"/>
            <w:vAlign w:val="bottom"/>
          </w:tcPr>
          <w:p>
            <w:pPr>
              <w:spacing w:after="0"/>
              <w:rPr>
                <w:sz w:val="18"/>
                <w:szCs w:val="18"/>
                <w:color w:val="auto"/>
              </w:rPr>
            </w:pPr>
          </w:p>
        </w:tc>
        <w:tc>
          <w:tcPr>
            <w:tcW w:w="348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For the Three Months Ended June 30,</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tcBorders>
              <w:bottom w:val="single" w:sz="8" w:color="auto"/>
            </w:tcBorders>
            <w:gridSpan w:val="3"/>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r>
      <w:tr>
        <w:trPr>
          <w:trHeight w:val="211"/>
        </w:trPr>
        <w:tc>
          <w:tcPr>
            <w:tcW w:w="326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12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960" w:type="dxa"/>
            <w:vAlign w:val="bottom"/>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3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Supplier B</w:t>
            </w:r>
          </w:p>
        </w:tc>
        <w:tc>
          <w:tcPr>
            <w:tcW w:w="13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Supplier C</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r>
    </w:tbl>
    <w:p>
      <w:pPr>
        <w:spacing w:after="0" w:line="77"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10% of the total</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that management make estimates and assumptions that affect the reported amounts of assets and liabilities and disclosure of contingent assets and liabilities at the date of the consolidated financial statements and the reported amounts of revenue and expenses during the reporting period. Significant estimates and assumptions include the valuation of allowances for credit losses, inventory reserves, warranty reserves, stock-based compensation, evaluation of goodwill, other intangibles, property, plant and equipment for impairment, income tax valuation allowances and determination of useful lives of long-lived assets. Actual results could materially differ from those estimates.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Restricted cash consists of funds that are contractually restricted as to usage or withdrawal due to required minimum levels of cash collateral for letters of credits and contractual agreements with customers. As of June 30, 2024 and December 31, 2023, the Company had restricted cash of $3.2 million and $3.8 million, respectively, which includes $1.3 million restricted cash held in escrow which could be required to be refunded to the customer if conditions occur as defined in such certain agreement with such customer. The Company has not recognized revenue associated with the restricted cash. The deferred revenue is included within </w:t>
      </w:r>
      <w:r>
        <w:rPr>
          <w:rFonts w:ascii="Times New Roman" w:cs="Times New Roman" w:eastAsia="Times New Roman" w:hAnsi="Times New Roman"/>
          <w:sz w:val="18"/>
          <w:szCs w:val="18"/>
          <w:i w:val="1"/>
          <w:iCs w:val="1"/>
          <w:color w:val="auto"/>
        </w:rPr>
        <w:t>Noncurrent Contract Liabilities</w:t>
      </w:r>
      <w:r>
        <w:rPr>
          <w:rFonts w:ascii="Times New Roman" w:cs="Times New Roman" w:eastAsia="Times New Roman" w:hAnsi="Times New Roman"/>
          <w:sz w:val="18"/>
          <w:szCs w:val="18"/>
          <w:color w:val="auto"/>
        </w:rPr>
        <w:t xml:space="preserve"> on the Consolidated Balance Sheet.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inventories consist primarily of engines and parts. Engines are valued at the lower of cost, including estimated freight-in, or net realizable value. Parts are valued at the lower of cost or net realizable value. Net realizable value approximates replacement cost. Cost is principally determined using the first-in, first-out method and includes material, labor and manufacturing overhead. It is the Company’s policy to review inventories on a continuing basis for obsolete, excess and slow-moving items and to record valuation adjustments for such items in order to eliminate non-recoverable costs from inventory. Valuation adjustments are recorded in an inventory reserve account and reduce the cost basis of the inventory in the period in which the reduced valuation is determined. Inventory reserves are established based on quantities on hand, usage and sales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0" w:name="page11"/>
    <w:bookmarkEnd w:id="10"/>
    <w:p>
      <w:pPr>
        <w:spacing w:after="0" w:line="282" w:lineRule="auto"/>
        <w:rPr>
          <w:sz w:val="20"/>
          <w:szCs w:val="20"/>
          <w:color w:val="auto"/>
        </w:rPr>
      </w:pPr>
      <w:r>
        <w:rPr>
          <w:rFonts w:ascii="Times New Roman" w:cs="Times New Roman" w:eastAsia="Times New Roman" w:hAnsi="Times New Roman"/>
          <w:sz w:val="18"/>
          <w:szCs w:val="18"/>
          <w:color w:val="auto"/>
        </w:rPr>
        <w:t>history, customer orders, projected demand and utilization within a current or future power system. Specific analysis of individual items or groups of items is performed based on these same criteria, as well as on changes in market conditions or any other identified conditions.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Inventories</w:t>
            </w:r>
          </w:p>
        </w:tc>
        <w:tc>
          <w:tcPr>
            <w:tcW w:w="180" w:type="dxa"/>
            <w:vAlign w:val="bottom"/>
          </w:tcPr>
          <w:p>
            <w:pPr>
              <w:spacing w:after="0"/>
              <w:rPr>
                <w:sz w:val="18"/>
                <w:szCs w:val="18"/>
                <w:color w:val="auto"/>
              </w:rPr>
            </w:pP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As of June 30, 2024</w:t>
            </w:r>
          </w:p>
        </w:tc>
        <w:tc>
          <w:tcPr>
            <w:tcW w:w="100" w:type="dxa"/>
            <w:vAlign w:val="bottom"/>
          </w:tcPr>
          <w:p>
            <w:pPr>
              <w:spacing w:after="0"/>
              <w:rPr>
                <w:sz w:val="18"/>
                <w:szCs w:val="18"/>
                <w:color w:val="auto"/>
              </w:rPr>
            </w:pPr>
          </w:p>
        </w:tc>
        <w:tc>
          <w:tcPr>
            <w:tcW w:w="18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r>
      <w:tr>
        <w:trPr>
          <w:trHeight w:val="213"/>
        </w:trPr>
        <w:tc>
          <w:tcPr>
            <w:tcW w:w="718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Raw materials</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80,225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68,273</w:t>
            </w:r>
          </w:p>
        </w:tc>
      </w:tr>
      <w:tr>
        <w:trPr>
          <w:trHeight w:val="213"/>
        </w:trPr>
        <w:tc>
          <w:tcPr>
            <w:tcW w:w="73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Work in process</w:t>
            </w: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1,166</w:t>
            </w:r>
          </w:p>
        </w:tc>
      </w:tr>
      <w:tr>
        <w:trPr>
          <w:trHeight w:val="219"/>
        </w:trPr>
        <w:tc>
          <w:tcPr>
            <w:tcW w:w="7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Finished goods</w:t>
            </w: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19,444</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21,238</w:t>
            </w:r>
          </w:p>
        </w:tc>
      </w:tr>
      <w:tr>
        <w:trPr>
          <w:trHeight w:val="207"/>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inventories</w:t>
            </w:r>
          </w:p>
        </w:tc>
        <w:tc>
          <w:tcPr>
            <w:tcW w:w="1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100,527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90,677</w:t>
            </w:r>
          </w:p>
        </w:tc>
      </w:tr>
      <w:tr>
        <w:trPr>
          <w:trHeight w:val="216"/>
        </w:trPr>
        <w:tc>
          <w:tcPr>
            <w:tcW w:w="7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Inventory allowance</w:t>
            </w:r>
          </w:p>
        </w:tc>
        <w:tc>
          <w:tcPr>
            <w:tcW w:w="18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(7,081)</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(5,730)</w:t>
            </w:r>
          </w:p>
        </w:tc>
      </w:tr>
      <w:tr>
        <w:trPr>
          <w:trHeight w:val="212"/>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Inventories, net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93,446</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84,947</w:t>
            </w:r>
          </w:p>
        </w:tc>
      </w:tr>
      <w:tr>
        <w:trPr>
          <w:trHeight w:val="20"/>
        </w:trPr>
        <w:tc>
          <w:tcPr>
            <w:tcW w:w="7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the Company’s inventory allowance was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42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r>
      <w:tr>
        <w:trPr>
          <w:trHeight w:val="214"/>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Inventory Allowance</w:t>
            </w:r>
          </w:p>
        </w:tc>
        <w:tc>
          <w:tcPr>
            <w:tcW w:w="420" w:type="dxa"/>
            <w:vAlign w:val="bottom"/>
          </w:tcPr>
          <w:p>
            <w:pPr>
              <w:spacing w:after="0"/>
              <w:rPr>
                <w:sz w:val="18"/>
                <w:szCs w:val="18"/>
                <w:color w:val="auto"/>
              </w:rPr>
            </w:pPr>
          </w:p>
        </w:tc>
        <w:tc>
          <w:tcPr>
            <w:tcW w:w="148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7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beginning of period</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5,730</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3,904</w:t>
            </w:r>
          </w:p>
        </w:tc>
      </w:tr>
      <w:tr>
        <w:trPr>
          <w:trHeight w:val="213"/>
        </w:trPr>
        <w:tc>
          <w:tcPr>
            <w:tcW w:w="73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Charged to expense</w:t>
            </w: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2,179</w:t>
            </w:r>
          </w:p>
        </w:tc>
      </w:tr>
      <w:tr>
        <w:trPr>
          <w:trHeight w:val="216"/>
        </w:trPr>
        <w:tc>
          <w:tcPr>
            <w:tcW w:w="7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Write-offs</w:t>
            </w:r>
          </w:p>
        </w:tc>
        <w:tc>
          <w:tcPr>
            <w:tcW w:w="4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r>
      <w:tr>
        <w:trPr>
          <w:trHeight w:val="212"/>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7,081</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5,702</w:t>
            </w:r>
          </w:p>
        </w:tc>
      </w:tr>
      <w:tr>
        <w:trPr>
          <w:trHeight w:val="21"/>
        </w:trPr>
        <w:tc>
          <w:tcPr>
            <w:tcW w:w="7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Accrued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accrued liabilities consisted of the following:</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Other Accrued Liabilities</w:t>
            </w:r>
          </w:p>
        </w:tc>
        <w:tc>
          <w:tcPr>
            <w:tcW w:w="280" w:type="dxa"/>
            <w:vAlign w:val="bottom"/>
          </w:tcPr>
          <w:p>
            <w:pPr>
              <w:spacing w:after="0"/>
              <w:rPr>
                <w:sz w:val="18"/>
                <w:szCs w:val="18"/>
                <w:color w:val="auto"/>
              </w:rPr>
            </w:pPr>
          </w:p>
        </w:tc>
        <w:tc>
          <w:tcPr>
            <w:tcW w:w="20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As of June 30, 2024</w:t>
            </w:r>
          </w:p>
        </w:tc>
        <w:tc>
          <w:tcPr>
            <w:tcW w:w="180" w:type="dxa"/>
            <w:vAlign w:val="bottom"/>
          </w:tcPr>
          <w:p>
            <w:pPr>
              <w:spacing w:after="0"/>
              <w:rPr>
                <w:sz w:val="18"/>
                <w:szCs w:val="18"/>
                <w:color w:val="auto"/>
              </w:rPr>
            </w:pPr>
          </w:p>
        </w:tc>
        <w:tc>
          <w:tcPr>
            <w:tcW w:w="20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r>
      <w:tr>
        <w:trPr>
          <w:trHeight w:val="213"/>
        </w:trPr>
        <w:tc>
          <w:tcPr>
            <w:tcW w:w="656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product warranty</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11,290</w:t>
            </w:r>
          </w:p>
        </w:tc>
      </w:tr>
      <w:tr>
        <w:trPr>
          <w:trHeight w:val="216"/>
        </w:trPr>
        <w:tc>
          <w:tcPr>
            <w:tcW w:w="6660" w:type="dxa"/>
            <w:vAlign w:val="bottom"/>
            <w:gridSpan w:val="2"/>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Accrued litigation </w:t>
            </w:r>
            <w:r>
              <w:rPr>
                <w:rFonts w:ascii="Times New Roman" w:cs="Times New Roman" w:eastAsia="Times New Roman" w:hAnsi="Times New Roman"/>
                <w:sz w:val="21"/>
                <w:szCs w:val="21"/>
                <w:color w:val="auto"/>
                <w:vertAlign w:val="superscript"/>
              </w:rPr>
              <w:t>1</w:t>
            </w:r>
          </w:p>
        </w:tc>
        <w:tc>
          <w:tcPr>
            <w:tcW w:w="2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3,929</w:t>
            </w:r>
          </w:p>
        </w:tc>
      </w:tr>
      <w:tr>
        <w:trPr>
          <w:trHeight w:val="216"/>
        </w:trPr>
        <w:tc>
          <w:tcPr>
            <w:tcW w:w="6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Contract liabilities</w:t>
            </w:r>
          </w:p>
        </w:tc>
        <w:tc>
          <w:tcPr>
            <w:tcW w:w="28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2,741</w:t>
            </w:r>
          </w:p>
        </w:tc>
      </w:tr>
      <w:tr>
        <w:trPr>
          <w:trHeight w:val="213"/>
        </w:trPr>
        <w:tc>
          <w:tcPr>
            <w:tcW w:w="66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2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8,469</w:t>
            </w:r>
          </w:p>
        </w:tc>
      </w:tr>
      <w:tr>
        <w:trPr>
          <w:trHeight w:val="219"/>
        </w:trPr>
        <w:tc>
          <w:tcPr>
            <w:tcW w:w="6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interest expense</w:t>
            </w:r>
          </w:p>
        </w:tc>
        <w:tc>
          <w:tcPr>
            <w:tcW w:w="2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1,913</w:t>
            </w:r>
          </w:p>
        </w:tc>
      </w:tr>
      <w:tr>
        <w:trPr>
          <w:trHeight w:val="216"/>
        </w:trPr>
        <w:tc>
          <w:tcPr>
            <w:tcW w:w="6660" w:type="dxa"/>
            <w:vAlign w:val="bottom"/>
            <w:tcBorders>
              <w:bottom w:val="single" w:sz="8" w:color="CCEEFF"/>
            </w:tcBorders>
            <w:gridSpan w:val="2"/>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2</w:t>
            </w:r>
          </w:p>
        </w:tc>
        <w:tc>
          <w:tcPr>
            <w:tcW w:w="2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3,657</w:t>
            </w:r>
          </w:p>
        </w:tc>
      </w:tr>
      <w:tr>
        <w:trPr>
          <w:trHeight w:val="235"/>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37,659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31,999</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340" w:hanging="8"/>
        <w:spacing w:after="0" w:line="222" w:lineRule="auto"/>
        <w:tabs>
          <w:tab w:leader="none" w:pos="41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As of June 30, 2024 and December 31, 2023 accrued litigation includes accruals related to various ongoing legal matters including associated legal fees. See Note 10. </w:t>
      </w:r>
      <w:r>
        <w:rPr>
          <w:rFonts w:ascii="Times New Roman" w:cs="Times New Roman" w:eastAsia="Times New Roman" w:hAnsi="Times New Roman"/>
          <w:sz w:val="14"/>
          <w:szCs w:val="14"/>
          <w:i w:val="1"/>
          <w:iCs w:val="1"/>
          <w:color w:val="auto"/>
        </w:rPr>
        <w:t>Commitments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Contingencies </w:t>
      </w:r>
      <w:r>
        <w:rPr>
          <w:rFonts w:ascii="Times New Roman" w:cs="Times New Roman" w:eastAsia="Times New Roman" w:hAnsi="Times New Roman"/>
          <w:sz w:val="14"/>
          <w:szCs w:val="14"/>
          <w:color w:val="auto"/>
        </w:rPr>
        <w:t>for further information regarding the various ongoing legal matters.</w:t>
      </w:r>
    </w:p>
    <w:p>
      <w:pPr>
        <w:spacing w:after="0" w:line="1" w:lineRule="exact"/>
        <w:rPr>
          <w:sz w:val="20"/>
          <w:szCs w:val="20"/>
          <w:color w:val="auto"/>
        </w:rPr>
      </w:pPr>
    </w:p>
    <w:p>
      <w:pPr>
        <w:ind w:left="400" w:hanging="68"/>
        <w:spacing w:after="0"/>
        <w:tabs>
          <w:tab w:leader="none" w:pos="400"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Other accrued liabilities includes the current portion of the noninterest bearing note payable. See Note 7. </w:t>
      </w:r>
      <w:r>
        <w:rPr>
          <w:rFonts w:ascii="Times New Roman" w:cs="Times New Roman" w:eastAsia="Times New Roman" w:hAnsi="Times New Roman"/>
          <w:sz w:val="14"/>
          <w:szCs w:val="14"/>
          <w:i w:val="1"/>
          <w:iCs w:val="1"/>
          <w:color w:val="auto"/>
        </w:rPr>
        <w:t>Other Non-current Liabilities</w:t>
      </w:r>
      <w:r>
        <w:rPr>
          <w:rFonts w:ascii="Times New Roman" w:cs="Times New Roman" w:eastAsia="Times New Roman" w:hAnsi="Times New Roman"/>
          <w:sz w:val="14"/>
          <w:szCs w:val="14"/>
          <w:color w:val="auto"/>
        </w:rPr>
        <w:t>, for further information regarding the note payable</w:t>
      </w:r>
      <w:r>
        <w:rPr>
          <w:rFonts w:ascii="Times New Roman" w:cs="Times New Roman" w:eastAsia="Times New Roman" w:hAnsi="Times New Roman"/>
          <w:sz w:val="17"/>
          <w:szCs w:val="17"/>
          <w:color w:val="auto"/>
        </w:rPr>
        <w: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 Costs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offers a standard limited warranty on the workmanship of its products that in most cases covers defects for a defined period. Warranties for certified emission products are mandated by the U.S. Environmental Protection Agency (the “EPA”) and/or the California Air Resources Board (the “CARB”) and are longer than the Company’s standard warranty on certain emission-related products. The Company’s products also carry limited warranties from suppliers. The Company’s warranties generally apply to engines fully manufactured by the Company and to the modifications the Company makes to supplier base products. Costs related to supplier warranty claims are generally borne by the supplier and passed through to the end customer.</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Warranty estimates are based on historical experience and represent the projected cost associated with the product. A liability and related expense are recognized at the time products are sold. The Company adjusts estimates when it is determined that actual costs may differ from initial or previous estimates. The Company’s warranty liability is generally affected by failure rates, repair costs and the timing of failures. Future events and circumstances related to these factors could materially change the estimates and require adjustments to the warranty liability. In addition, new product launches require a greater use of judgment in developing estimates until historical experience becomes available.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Accrued product warranty activities are presented below:</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42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c>
          <w:tcPr>
            <w:tcW w:w="0" w:type="dxa"/>
            <w:vAlign w:val="bottom"/>
          </w:tcPr>
          <w:p>
            <w:pPr>
              <w:spacing w:after="0"/>
              <w:rPr>
                <w:sz w:val="1"/>
                <w:szCs w:val="1"/>
                <w:color w:val="auto"/>
              </w:rPr>
            </w:pPr>
          </w:p>
        </w:tc>
      </w:tr>
      <w:tr>
        <w:trPr>
          <w:trHeight w:val="214"/>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Accrued Product Warranty</w:t>
            </w: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beginning of period</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19,263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21,550</w:t>
            </w:r>
          </w:p>
        </w:tc>
        <w:tc>
          <w:tcPr>
            <w:tcW w:w="0" w:type="dxa"/>
            <w:vAlign w:val="bottom"/>
          </w:tcPr>
          <w:p>
            <w:pPr>
              <w:spacing w:after="0"/>
              <w:rPr>
                <w:sz w:val="1"/>
                <w:szCs w:val="1"/>
                <w:color w:val="auto"/>
              </w:rPr>
            </w:pPr>
          </w:p>
        </w:tc>
      </w:tr>
      <w:tr>
        <w:trPr>
          <w:trHeight w:val="216"/>
        </w:trPr>
        <w:tc>
          <w:tcPr>
            <w:tcW w:w="730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Current period provision </w:t>
            </w:r>
            <w:r>
              <w:rPr>
                <w:rFonts w:ascii="Times New Roman" w:cs="Times New Roman" w:eastAsia="Times New Roman" w:hAnsi="Times New Roman"/>
                <w:sz w:val="21"/>
                <w:szCs w:val="21"/>
                <w:color w:val="auto"/>
                <w:vertAlign w:val="superscript"/>
              </w:rPr>
              <w:t>*</w:t>
            </w: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3,491</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Changes in estimates for preexisting warranties </w:t>
            </w:r>
            <w:r>
              <w:rPr>
                <w:rFonts w:ascii="Times New Roman" w:cs="Times New Roman" w:eastAsia="Times New Roman" w:hAnsi="Times New Roman"/>
                <w:sz w:val="21"/>
                <w:szCs w:val="21"/>
                <w:color w:val="auto"/>
                <w:vertAlign w:val="superscript"/>
              </w:rPr>
              <w:t>**</w:t>
            </w: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5,662</w:t>
            </w:r>
          </w:p>
        </w:tc>
        <w:tc>
          <w:tcPr>
            <w:tcW w:w="0" w:type="dxa"/>
            <w:vAlign w:val="bottom"/>
          </w:tcPr>
          <w:p>
            <w:pPr>
              <w:spacing w:after="0"/>
              <w:rPr>
                <w:sz w:val="1"/>
                <w:szCs w:val="1"/>
                <w:color w:val="auto"/>
              </w:rPr>
            </w:pPr>
          </w:p>
        </w:tc>
      </w:tr>
      <w:tr>
        <w:trPr>
          <w:trHeight w:val="213"/>
        </w:trPr>
        <w:tc>
          <w:tcPr>
            <w:tcW w:w="7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Payments made during the period</w:t>
            </w: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(6,794)</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(8,477)</w:t>
            </w:r>
          </w:p>
        </w:tc>
        <w:tc>
          <w:tcPr>
            <w:tcW w:w="0" w:type="dxa"/>
            <w:vAlign w:val="bottom"/>
          </w:tcPr>
          <w:p>
            <w:pPr>
              <w:spacing w:after="0"/>
              <w:rPr>
                <w:sz w:val="1"/>
                <w:szCs w:val="1"/>
                <w:color w:val="auto"/>
              </w:rPr>
            </w:pPr>
          </w:p>
        </w:tc>
      </w:tr>
      <w:tr>
        <w:trPr>
          <w:trHeight w:val="212"/>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17,057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22,226</w:t>
            </w:r>
          </w:p>
        </w:tc>
        <w:tc>
          <w:tcPr>
            <w:tcW w:w="0" w:type="dxa"/>
            <w:vAlign w:val="bottom"/>
          </w:tcPr>
          <w:p>
            <w:pPr>
              <w:spacing w:after="0"/>
              <w:rPr>
                <w:sz w:val="1"/>
                <w:szCs w:val="1"/>
                <w:color w:val="auto"/>
              </w:rPr>
            </w:pPr>
          </w:p>
        </w:tc>
      </w:tr>
      <w:tr>
        <w:trPr>
          <w:trHeight w:val="213"/>
        </w:trPr>
        <w:tc>
          <w:tcPr>
            <w:tcW w:w="73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Less: current portion</w:t>
            </w: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11,508</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12,100</w:t>
            </w:r>
          </w:p>
        </w:tc>
        <w:tc>
          <w:tcPr>
            <w:tcW w:w="0" w:type="dxa"/>
            <w:vAlign w:val="bottom"/>
          </w:tcPr>
          <w:p>
            <w:pPr>
              <w:spacing w:after="0"/>
              <w:rPr>
                <w:sz w:val="1"/>
                <w:szCs w:val="1"/>
                <w:color w:val="auto"/>
              </w:rPr>
            </w:pPr>
          </w:p>
        </w:tc>
      </w:tr>
      <w:tr>
        <w:trPr>
          <w:trHeight w:val="145"/>
        </w:trPr>
        <w:tc>
          <w:tcPr>
            <w:tcW w:w="73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b w:val="1"/>
                <w:bCs w:val="1"/>
                <w:color w:val="auto"/>
              </w:rPr>
              <w:t>Noncurrent accrued product warranty</w:t>
            </w:r>
          </w:p>
        </w:tc>
        <w:tc>
          <w:tcPr>
            <w:tcW w:w="420" w:type="dxa"/>
            <w:vAlign w:val="bottom"/>
            <w:vMerge w:val="restart"/>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5,549</w:t>
            </w:r>
          </w:p>
        </w:tc>
        <w:tc>
          <w:tcPr>
            <w:tcW w:w="10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10,126</w:t>
            </w:r>
          </w:p>
        </w:tc>
        <w:tc>
          <w:tcPr>
            <w:tcW w:w="0" w:type="dxa"/>
            <w:vAlign w:val="bottom"/>
          </w:tcPr>
          <w:p>
            <w:pPr>
              <w:spacing w:after="0"/>
              <w:rPr>
                <w:sz w:val="1"/>
                <w:szCs w:val="1"/>
                <w:color w:val="auto"/>
              </w:rPr>
            </w:pPr>
          </w:p>
        </w:tc>
      </w:tr>
      <w:tr>
        <w:trPr>
          <w:trHeight w:val="209"/>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(included with Other Noncurrent liabilities)</w:t>
            </w:r>
          </w:p>
        </w:tc>
        <w:tc>
          <w:tcPr>
            <w:tcW w:w="420" w:type="dxa"/>
            <w:vAlign w:val="bottom"/>
            <w:tcBorders>
              <w:bottom w:val="single" w:sz="8" w:color="auto"/>
            </w:tcBorders>
            <w:vMerge w:val="continue"/>
            <w:shd w:val="clear" w:color="auto" w:fill="CCEEFF"/>
          </w:tcPr>
          <w:p>
            <w:pPr>
              <w:spacing w:after="0"/>
              <w:rPr>
                <w:sz w:val="18"/>
                <w:szCs w:val="18"/>
                <w:color w:val="auto"/>
              </w:rPr>
            </w:pPr>
          </w:p>
        </w:tc>
        <w:tc>
          <w:tcPr>
            <w:tcW w:w="14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vMerge w:val="continue"/>
            <w:shd w:val="clear" w:color="auto" w:fill="CCEEFF"/>
          </w:tcPr>
          <w:p>
            <w:pPr>
              <w:spacing w:after="0"/>
              <w:rPr>
                <w:sz w:val="18"/>
                <w:szCs w:val="18"/>
                <w:color w:val="auto"/>
              </w:rPr>
            </w:pPr>
          </w:p>
        </w:tc>
        <w:tc>
          <w:tcPr>
            <w:tcW w:w="14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660" w:hanging="652"/>
        <w:spacing w:after="0" w:line="253" w:lineRule="auto"/>
        <w:tabs>
          <w:tab w:leader="none" w:pos="651"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Warranty costs, net of supplier recoveries, and other adjustments, were $4.1 million and $8.5 million for the six months ended June 30, 2024 and 2023, respectively. Supplier recoveries were $0.5 million and $0.7 million for the six months ended June 30, 2024 and 2023, respectively.</w:t>
      </w:r>
    </w:p>
    <w:p>
      <w:pPr>
        <w:spacing w:after="0" w:line="1" w:lineRule="exact"/>
        <w:rPr>
          <w:sz w:val="20"/>
          <w:szCs w:val="20"/>
          <w:color w:val="auto"/>
        </w:rPr>
      </w:pPr>
    </w:p>
    <w:p>
      <w:pPr>
        <w:jc w:val="both"/>
        <w:ind w:left="660" w:hanging="652"/>
        <w:spacing w:after="0" w:line="259" w:lineRule="auto"/>
        <w:tabs>
          <w:tab w:leader="none" w:pos="655"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estimates for preexisting warranties reflect changes in the Company’s estimate of warranty costs for products sold in prior periods. Such adjustments typically occur when claims experience deviates from historical and expected trends. During the six months ended June 30, 2024, the Company recorded a cost for changes in estimates of preexisting warranties of $1.7 million, or $0.07 per diluted share. During the six months ended June 30, 2023, the Company recorded a cost of $5.7 million, or $0.25 per diluted share.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Recently Issued Accounting Pronouncements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Adopted</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June 2016, the FASB issued ASU 2016-13, Financial Instruments - Credit Losses (Topic 326). The standard replaces the incurred loss impairment methodology under current U.S. GAAP with a methodology that reflects expected credit losses and requires the use of a forward-looking expected credit loss model for accounts receivables, loans, and other financial instruments. The standard requires a modified retrospective approach through a cumulative-effect adjustment to retained earnings as of the beginning of the first reporting period in which the guidance is effective. The new standard was effective for non-public companies, and public business entities that meet the definition of a smaller reporting company as defined by the SEC, for interim and annual periods beginning after December 15, 2022. The Company adopted this guidance effective January 1, 2023. The adoption of the standard did not have a material impact on the Company’s consolidated financial statements.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 Not Yet Adopted</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2023, the FASB issued ASU 2023-07, Improvements to Reportable Segment Disclosures – Segment Reporting (Topic 280). The amendments to this standard require public entities to disclose more detailed information about their reportable segments’ significant expenses on an interim and annual basis. The amendments to this standard do not change how a public entity identifies its operating segments, aggregates those operating segments, or applies the quantitative thresholds to determine its reportable segments. The amendments to this standard apply to all public entities that are required to report segment information in accordance with Topic 280, Segment Reporting and are effective for fiscal years beginning after December 15, 2023, and interim periods within fiscal years beginning after December 15, 2024. The Company plans to adopt this guidance in its annual reporting for the year ending December 31, 2024 and subsequent interim periods. The Company is continuing to assess the impact of the amendment to this standard on its consolidated financial statements.</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 Income Taxes (Topic 740). The amendments to this standard enhance the transparency and decision usefulness of income tax disclosures, primarily related to rate reconciliation and income taxes paid information as well as effectiveness of overall income tax disclosures. The new standard is effective for non-public companies, and public business entities that meet the definition of a smaller reporting company as defined by the SEC, for interim and annual periods beginning after December 15, 2024, early adoption is permitted. The Company currently plans to adopt this guidance effective January 1, 2025. The Company is continuing to assess the impact of the amendment to this standard on its consolidated financial statements.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2" w:name="page13"/>
    <w:bookmarkEnd w:id="12"/>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2.</w:t>
        <w:tab/>
        <w:t>Revenue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net sales by end market: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3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Three Months Ended June 30,</w:t>
            </w:r>
          </w:p>
        </w:tc>
        <w:tc>
          <w:tcPr>
            <w:tcW w:w="6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4"/>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r>
      <w:tr>
        <w:trPr>
          <w:trHeight w:val="214"/>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End Market</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324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Power Systems</w:t>
            </w: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73,087</w:t>
            </w:r>
          </w:p>
        </w:tc>
        <w:tc>
          <w:tcPr>
            <w:tcW w:w="1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54,452</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135,049</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99,086</w:t>
            </w:r>
          </w:p>
        </w:tc>
      </w:tr>
      <w:tr>
        <w:trPr>
          <w:trHeight w:val="213"/>
        </w:trPr>
        <w:tc>
          <w:tcPr>
            <w:tcW w:w="33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Industrial</w:t>
            </w:r>
          </w:p>
        </w:tc>
        <w:tc>
          <w:tcPr>
            <w:tcW w:w="1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31,514</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45,590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60,258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88,465</w:t>
            </w:r>
          </w:p>
        </w:tc>
      </w:tr>
      <w:tr>
        <w:trPr>
          <w:trHeight w:val="216"/>
        </w:trPr>
        <w:tc>
          <w:tcPr>
            <w:tcW w:w="3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Transportation</w:t>
            </w:r>
          </w:p>
        </w:tc>
        <w:tc>
          <w:tcPr>
            <w:tcW w:w="1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5,985</w:t>
            </w:r>
          </w:p>
        </w:tc>
        <w:tc>
          <w:tcPr>
            <w:tcW w:w="12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21,823</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10,519</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50,783</w:t>
            </w:r>
          </w:p>
        </w:tc>
      </w:tr>
      <w:tr>
        <w:trPr>
          <w:trHeight w:val="212"/>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0" w:type="dxa"/>
            <w:vAlign w:val="bottom"/>
            <w:tcBorders>
              <w:bottom w:val="single" w:sz="8" w:color="auto"/>
            </w:tcBorders>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110,586</w:t>
            </w:r>
          </w:p>
        </w:tc>
        <w:tc>
          <w:tcPr>
            <w:tcW w:w="120" w:type="dxa"/>
            <w:vAlign w:val="bottom"/>
          </w:tcPr>
          <w:p>
            <w:pPr>
              <w:spacing w:after="0"/>
              <w:rPr>
                <w:sz w:val="18"/>
                <w:szCs w:val="18"/>
                <w:color w:val="auto"/>
              </w:rPr>
            </w:pPr>
          </w:p>
        </w:tc>
        <w:tc>
          <w:tcPr>
            <w:tcW w:w="1280" w:type="dxa"/>
            <w:vAlign w:val="bottom"/>
            <w:tcBorders>
              <w:bottom w:val="single" w:sz="8" w:color="auto"/>
            </w:tcBorders>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121,865</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205,826</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238,334</w:t>
            </w:r>
          </w:p>
        </w:tc>
      </w:tr>
      <w:tr>
        <w:trPr>
          <w:trHeight w:val="21"/>
        </w:trPr>
        <w:tc>
          <w:tcPr>
            <w:tcW w:w="3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net sales by geographic area:</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36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For the Three Months Ended June 30,</w:t>
            </w:r>
          </w:p>
        </w:tc>
        <w:tc>
          <w:tcPr>
            <w:tcW w:w="40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4"/>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r>
      <w:tr>
        <w:trPr>
          <w:trHeight w:val="214"/>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Geographic Area</w:t>
            </w:r>
          </w:p>
        </w:tc>
        <w:tc>
          <w:tcPr>
            <w:tcW w:w="360" w:type="dxa"/>
            <w:vAlign w:val="bottom"/>
          </w:tcPr>
          <w:p>
            <w:pPr>
              <w:spacing w:after="0"/>
              <w:rPr>
                <w:sz w:val="18"/>
                <w:szCs w:val="18"/>
                <w:color w:val="auto"/>
              </w:rPr>
            </w:pPr>
          </w:p>
        </w:tc>
        <w:tc>
          <w:tcPr>
            <w:tcW w:w="152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324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United States</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98,490</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95,746</w:t>
            </w:r>
          </w:p>
        </w:tc>
        <w:tc>
          <w:tcPr>
            <w:tcW w:w="1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180,762</w:t>
            </w: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188,862</w:t>
            </w:r>
          </w:p>
        </w:tc>
      </w:tr>
      <w:tr>
        <w:trPr>
          <w:trHeight w:val="213"/>
        </w:trPr>
        <w:tc>
          <w:tcPr>
            <w:tcW w:w="33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North America (outside of United States)</w:t>
            </w:r>
          </w:p>
        </w:tc>
        <w:tc>
          <w:tcPr>
            <w:tcW w:w="3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12,121</w:t>
            </w:r>
          </w:p>
        </w:tc>
      </w:tr>
      <w:tr>
        <w:trPr>
          <w:trHeight w:val="219"/>
        </w:trPr>
        <w:tc>
          <w:tcPr>
            <w:tcW w:w="3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Pacific Rim</w:t>
            </w: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26,551</w:t>
            </w:r>
          </w:p>
        </w:tc>
      </w:tr>
      <w:tr>
        <w:trPr>
          <w:trHeight w:val="213"/>
        </w:trPr>
        <w:tc>
          <w:tcPr>
            <w:tcW w:w="33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Europe</w:t>
            </w:r>
          </w:p>
        </w:tc>
        <w:tc>
          <w:tcPr>
            <w:tcW w:w="3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6,965</w:t>
            </w:r>
          </w:p>
        </w:tc>
      </w:tr>
      <w:tr>
        <w:trPr>
          <w:trHeight w:val="216"/>
        </w:trPr>
        <w:tc>
          <w:tcPr>
            <w:tcW w:w="3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3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2,517</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3,835</w:t>
            </w:r>
          </w:p>
        </w:tc>
      </w:tr>
      <w:tr>
        <w:trPr>
          <w:trHeight w:val="212"/>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110,586</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121,865</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205,826</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238,334</w:t>
            </w:r>
          </w:p>
        </w:tc>
      </w:tr>
      <w:tr>
        <w:trPr>
          <w:trHeight w:val="21"/>
        </w:trPr>
        <w:tc>
          <w:tcPr>
            <w:tcW w:w="3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Most of the Company’s contracts are for a period of less than one year; however, extended warranty contracts extend beyond one year. The timing of revenue recognition may differ from the time of invoicing to customers and these timing differences result in contract assets, or contract liabilities on the Company’s Consolidated Balance Sheet. Contract assets include amounts related to the contractual right to consideration for completed performance when the right to consideration is conditional. The Company records contract liabilities when cash payments are received or due in advance of performance. Contract assets and contract liabilities are recognized at the contract level.</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00" w:type="dxa"/>
            <w:vAlign w:val="bottom"/>
          </w:tcPr>
          <w:p>
            <w:pPr>
              <w:spacing w:after="0"/>
              <w:rPr>
                <w:sz w:val="18"/>
                <w:szCs w:val="18"/>
                <w:color w:val="auto"/>
              </w:rPr>
            </w:pP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As of June 30, 2024</w:t>
            </w:r>
          </w:p>
        </w:tc>
        <w:tc>
          <w:tcPr>
            <w:tcW w:w="198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19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c>
          <w:tcPr>
            <w:tcW w:w="0" w:type="dxa"/>
            <w:vAlign w:val="bottom"/>
          </w:tcPr>
          <w:p>
            <w:pPr>
              <w:spacing w:after="0"/>
              <w:rPr>
                <w:sz w:val="1"/>
                <w:szCs w:val="1"/>
                <w:color w:val="auto"/>
              </w:rPr>
            </w:pPr>
          </w:p>
        </w:tc>
      </w:tr>
      <w:tr>
        <w:trPr>
          <w:trHeight w:val="145"/>
        </w:trPr>
        <w:tc>
          <w:tcPr>
            <w:tcW w:w="5360" w:type="dxa"/>
            <w:vAlign w:val="bottom"/>
            <w:tcBorders>
              <w:top w:val="single" w:sz="8" w:color="CCEEFF"/>
            </w:tcBorders>
            <w:shd w:val="clear" w:color="auto" w:fill="CCEEFF"/>
          </w:tcPr>
          <w:p>
            <w:pPr>
              <w:ind w:left="220"/>
              <w:spacing w:after="0" w:line="145" w:lineRule="exact"/>
              <w:rPr>
                <w:sz w:val="20"/>
                <w:szCs w:val="20"/>
                <w:color w:val="auto"/>
              </w:rPr>
            </w:pPr>
            <w:r>
              <w:rPr>
                <w:rFonts w:ascii="Times New Roman" w:cs="Times New Roman" w:eastAsia="Times New Roman" w:hAnsi="Times New Roman"/>
                <w:sz w:val="16"/>
                <w:szCs w:val="16"/>
                <w:color w:val="auto"/>
              </w:rPr>
              <w:t xml:space="preserve">Short-term contract assets (included in </w:t>
            </w:r>
            <w:r>
              <w:rPr>
                <w:rFonts w:ascii="Times New Roman" w:cs="Times New Roman" w:eastAsia="Times New Roman" w:hAnsi="Times New Roman"/>
                <w:sz w:val="16"/>
                <w:szCs w:val="16"/>
                <w:i w:val="1"/>
                <w:iCs w:val="1"/>
                <w:color w:val="auto"/>
              </w:rPr>
              <w:t>Prepaid expenses and other current</w:t>
            </w:r>
          </w:p>
        </w:tc>
        <w:tc>
          <w:tcPr>
            <w:tcW w:w="200" w:type="dxa"/>
            <w:vAlign w:val="bottom"/>
            <w:tcBorders>
              <w:top w:val="single" w:sz="8" w:color="auto"/>
            </w:tcBorders>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vMerge w:val="restart"/>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26,706</w:t>
            </w:r>
          </w:p>
        </w:tc>
        <w:tc>
          <w:tcPr>
            <w:tcW w:w="1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vMerge w:val="restart"/>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vMerge w:val="restart"/>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15,554</w:t>
            </w:r>
          </w:p>
        </w:tc>
        <w:tc>
          <w:tcPr>
            <w:tcW w:w="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vMerge w:val="restart"/>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vMerge w:val="restart"/>
            <w:shd w:val="clear" w:color="auto" w:fill="CCEEFF"/>
          </w:tcPr>
          <w:p>
            <w:pPr>
              <w:jc w:val="center"/>
              <w:ind w:left="559"/>
              <w:spacing w:after="0"/>
              <w:rPr>
                <w:sz w:val="20"/>
                <w:szCs w:val="20"/>
                <w:color w:val="auto"/>
              </w:rPr>
            </w:pPr>
            <w:r>
              <w:rPr>
                <w:rFonts w:ascii="Times New Roman" w:cs="Times New Roman" w:eastAsia="Times New Roman" w:hAnsi="Times New Roman"/>
                <w:sz w:val="16"/>
                <w:szCs w:val="16"/>
                <w:color w:val="auto"/>
              </w:rPr>
              <w:t>3,620</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i w:val="1"/>
                <w:iCs w:val="1"/>
                <w:color w:val="auto"/>
              </w:rPr>
              <w:t>assets</w:t>
            </w:r>
            <w:r>
              <w:rPr>
                <w:rFonts w:ascii="Times New Roman" w:cs="Times New Roman" w:eastAsia="Times New Roman" w:hAnsi="Times New Roman"/>
                <w:sz w:val="16"/>
                <w:szCs w:val="16"/>
                <w:color w:val="auto"/>
              </w:rPr>
              <w:t>)</w:t>
            </w:r>
          </w:p>
        </w:tc>
        <w:tc>
          <w:tcPr>
            <w:tcW w:w="200" w:type="dxa"/>
            <w:vAlign w:val="bottom"/>
            <w:vMerge w:val="continue"/>
            <w:shd w:val="clear" w:color="auto" w:fill="CCEEFF"/>
          </w:tcPr>
          <w:p>
            <w:pPr>
              <w:spacing w:after="0"/>
              <w:rPr>
                <w:sz w:val="18"/>
                <w:szCs w:val="18"/>
                <w:color w:val="auto"/>
              </w:rPr>
            </w:pPr>
          </w:p>
        </w:tc>
        <w:tc>
          <w:tcPr>
            <w:tcW w:w="1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 xml:space="preserve">Short-term contract liabilities (included in </w:t>
            </w:r>
            <w:r>
              <w:rPr>
                <w:rFonts w:ascii="Times New Roman" w:cs="Times New Roman" w:eastAsia="Times New Roman" w:hAnsi="Times New Roman"/>
                <w:sz w:val="16"/>
                <w:szCs w:val="16"/>
                <w:i w:val="1"/>
                <w:iCs w:val="1"/>
                <w:color w:val="auto"/>
              </w:rPr>
              <w:t>Other accrued liabilities</w:t>
            </w: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70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(9,542)</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(2,741)</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jc w:val="center"/>
              <w:ind w:left="539"/>
              <w:spacing w:after="0"/>
              <w:rPr>
                <w:sz w:val="20"/>
                <w:szCs w:val="20"/>
                <w:color w:val="auto"/>
              </w:rPr>
            </w:pPr>
            <w:r>
              <w:rPr>
                <w:rFonts w:ascii="Times New Roman" w:cs="Times New Roman" w:eastAsia="Times New Roman" w:hAnsi="Times New Roman"/>
                <w:sz w:val="16"/>
                <w:szCs w:val="16"/>
                <w:color w:val="auto"/>
              </w:rPr>
              <w:t>(2,256)</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 xml:space="preserve">Long-term contract liabilities (included in </w:t>
            </w:r>
            <w:r>
              <w:rPr>
                <w:rFonts w:ascii="Times New Roman" w:cs="Times New Roman" w:eastAsia="Times New Roman" w:hAnsi="Times New Roman"/>
                <w:sz w:val="16"/>
                <w:szCs w:val="16"/>
                <w:i w:val="1"/>
                <w:iCs w:val="1"/>
                <w:color w:val="auto"/>
              </w:rPr>
              <w:t>Noncurrent contract liabilities</w:t>
            </w: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(2,042)</w:t>
            </w:r>
          </w:p>
        </w:tc>
        <w:tc>
          <w:tcPr>
            <w:tcW w:w="1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(2,401)</w:t>
            </w:r>
          </w:p>
        </w:tc>
        <w:tc>
          <w:tcPr>
            <w:tcW w:w="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center"/>
              <w:ind w:left="539"/>
              <w:spacing w:after="0"/>
              <w:rPr>
                <w:sz w:val="20"/>
                <w:szCs w:val="20"/>
                <w:color w:val="auto"/>
              </w:rPr>
            </w:pPr>
            <w:r>
              <w:rPr>
                <w:rFonts w:ascii="Times New Roman" w:cs="Times New Roman" w:eastAsia="Times New Roman" w:hAnsi="Times New Roman"/>
                <w:sz w:val="16"/>
                <w:szCs w:val="16"/>
                <w:color w:val="auto"/>
              </w:rPr>
              <w:t>(3,199)</w:t>
            </w:r>
          </w:p>
        </w:tc>
        <w:tc>
          <w:tcPr>
            <w:tcW w:w="0" w:type="dxa"/>
            <w:vAlign w:val="bottom"/>
          </w:tcPr>
          <w:p>
            <w:pPr>
              <w:spacing w:after="0"/>
              <w:rPr>
                <w:sz w:val="1"/>
                <w:szCs w:val="1"/>
                <w:color w:val="auto"/>
              </w:rPr>
            </w:pPr>
          </w:p>
        </w:tc>
      </w:tr>
      <w:tr>
        <w:trPr>
          <w:trHeight w:val="211"/>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contract assets (liabilities)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6"/>
                <w:szCs w:val="16"/>
                <w:color w:val="auto"/>
              </w:rPr>
              <w:t>15,122</w:t>
            </w:r>
          </w:p>
        </w:tc>
        <w:tc>
          <w:tcPr>
            <w:tcW w:w="100" w:type="dxa"/>
            <w:vAlign w:val="bottom"/>
          </w:tcPr>
          <w:p>
            <w:pPr>
              <w:spacing w:after="0"/>
              <w:rPr>
                <w:sz w:val="18"/>
                <w:szCs w:val="18"/>
                <w:color w:val="auto"/>
              </w:rPr>
            </w:pPr>
          </w:p>
        </w:tc>
        <w:tc>
          <w:tcPr>
            <w:tcW w:w="7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6"/>
                <w:szCs w:val="16"/>
                <w:color w:val="auto"/>
              </w:rPr>
              <w:t>10,412</w:t>
            </w:r>
          </w:p>
        </w:tc>
        <w:tc>
          <w:tcPr>
            <w:tcW w:w="80" w:type="dxa"/>
            <w:vAlign w:val="bottom"/>
          </w:tcPr>
          <w:p>
            <w:pPr>
              <w:spacing w:after="0"/>
              <w:rPr>
                <w:sz w:val="18"/>
                <w:szCs w:val="18"/>
                <w:color w:val="auto"/>
              </w:rPr>
            </w:pPr>
          </w:p>
        </w:tc>
        <w:tc>
          <w:tcPr>
            <w:tcW w:w="7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center"/>
              <w:ind w:left="539"/>
              <w:spacing w:after="0"/>
              <w:rPr>
                <w:sz w:val="20"/>
                <w:szCs w:val="20"/>
                <w:color w:val="auto"/>
              </w:rPr>
            </w:pPr>
            <w:r>
              <w:rPr>
                <w:rFonts w:ascii="Times New Roman" w:cs="Times New Roman" w:eastAsia="Times New Roman" w:hAnsi="Times New Roman"/>
                <w:sz w:val="16"/>
                <w:szCs w:val="16"/>
                <w:color w:val="auto"/>
              </w:rPr>
              <w:t>(1,835)</w:t>
            </w:r>
          </w:p>
        </w:tc>
        <w:tc>
          <w:tcPr>
            <w:tcW w:w="0" w:type="dxa"/>
            <w:vAlign w:val="bottom"/>
          </w:tcPr>
          <w:p>
            <w:pPr>
              <w:spacing w:after="0"/>
              <w:rPr>
                <w:sz w:val="1"/>
                <w:szCs w:val="1"/>
                <w:color w:val="auto"/>
              </w:rPr>
            </w:pPr>
          </w:p>
        </w:tc>
      </w:tr>
      <w:tr>
        <w:trPr>
          <w:trHeight w:val="21"/>
        </w:trPr>
        <w:tc>
          <w:tcPr>
            <w:tcW w:w="5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During both the three months ended June 30, 2024 and 2023, the Company recognized $0.3 million, of revenue upon satisfaction of performance obligations related to amounts that were included in the net contract liabilities balance as of December 31, 2023 and 2022, respectively. During the six months ended June 30, 2024 and 2023, the Company recognized $0.7 million and $0.9 million, respectively, of revenue upon satisfaction of performance obligations related to amounts that were included in the net contract liabilities balance as of December 31, 2023 and 2022, respectively.</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elected the practical expedient to not disclose remaining performance obligations that have expected original durations of one year or less. For performance obligations that extend beyond one year, the Company had $3.5 million of remaining performance obligations as of June 30, 2024, primarily related to extended warranties. The Company expects to recognize revenue related to these remaining performance obligations of approximately $0.7 million in the remainder of 2024, $0.9 million in 2025, $0.2 million in 2026, $1.5 million in 2027, and $0.2 million in 2028 and less than $0.1 million in 2029 and beyond.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13" w:name="page14"/>
    <w:bookmarkEnd w:id="13"/>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Weichai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Weichai Shareholder’s Loan Agreements</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The Company is party to three shareholder’s loan agreements with Weichai, including the $25 Million Loan Agreement, the $50 Million Loan Agreement, and the $30 Million Loan Agreement. See additional discussion of these debt agreements in Note 6. </w:t>
      </w:r>
      <w:r>
        <w:rPr>
          <w:rFonts w:ascii="Times New Roman" w:cs="Times New Roman" w:eastAsia="Times New Roman" w:hAnsi="Times New Roman"/>
          <w:sz w:val="18"/>
          <w:szCs w:val="18"/>
          <w:i w:val="1"/>
          <w:iCs w:val="1"/>
          <w:color w:val="auto"/>
        </w:rPr>
        <w:t>Debt.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Weichai Collaboration Arrangement and Related Party Transactions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and Weichai executed a strategic collaboration agreement (the “Collaboration Agreement”) in March 2017 in order to achieve their respective strategic objectives and enhance the strategic cooperation alliance to share experiences, expertise and resources. Among other things, the Collaboration Agreement established a joint steering committee, permitted Weichai to select a limited number of certain technical, marketing, sales, procurement and finance personnel to work at the Company and established several collaborations related to stationary natural-gas applications and Weichai diesel engines. The Collaboration Agreement provided for the steering committee to create various sub-committees with operating roles and otherwise governs the treatment of intellectual property of parties prior to the collaboration and the intellectual property developed during the collaboration. On March 22, 2023, the Collaboration Agreement was extended for an additional term of three years.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evaluates whether an arrangement is a collaborative arrangement at its inception based on the facts and circumstances specific to the arrangement. The Company also reevaluates whether an arrangement qualifies or continues to qualify as a collaborative arrangement whenever there is a change in either the roles of the participants or the participants’ exposure to significant risks and rewards dependent on the ultimate commercial success of the endeavor. For those collaborative arrangements where it is determined that the Company is the principal participant, costs incurred and revenue generated from third parties are recorded on a gross basis in the financial statements. Purchases of inventory from Weichai were $3.4 million and $6.7 million for the three and six months ended June 30, 2024, respectively. Purchases of inventory from Weichai were $0.7 million and $3.8 million for the three and six months ended June 30, 2023, respectively.</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2022, PSI and Societe Internationale des Moteurs Baudouin (“Baudouin”), a subsidiary of Weichai, entered into an international distribution and sales agreement that enables Baudouin to bring PSI’s power systems line of products into the European, Middle Eastern, and African markets. In addition to sales, Baudouin will manage service, support, warranty claims, and technical requests. Refer to the Consolidated Balance Sheet and Statements of Income for detailed related party information.</w:t>
      </w:r>
    </w:p>
    <w:p>
      <w:pPr>
        <w:spacing w:after="0" w:line="17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7"/>
          <w:szCs w:val="17"/>
          <w:b w:val="1"/>
          <w:bCs w:val="1"/>
          <w:color w:val="auto"/>
        </w:rPr>
        <w:t>Property, Plant and Equipment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by type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300" w:type="dxa"/>
            <w:vAlign w:val="bottom"/>
          </w:tcPr>
          <w:p>
            <w:pPr>
              <w:spacing w:after="0"/>
              <w:rPr>
                <w:sz w:val="18"/>
                <w:szCs w:val="18"/>
                <w:color w:val="auto"/>
              </w:rPr>
            </w:pP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As of June 30, 2024</w:t>
            </w:r>
          </w:p>
        </w:tc>
        <w:tc>
          <w:tcPr>
            <w:tcW w:w="180" w:type="dxa"/>
            <w:vAlign w:val="bottom"/>
          </w:tcPr>
          <w:p>
            <w:pPr>
              <w:spacing w:after="0"/>
              <w:rPr>
                <w:sz w:val="18"/>
                <w:szCs w:val="18"/>
                <w:color w:val="auto"/>
              </w:rPr>
            </w:pPr>
          </w:p>
        </w:tc>
        <w:tc>
          <w:tcPr>
            <w:tcW w:w="20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r>
      <w:tr>
        <w:trPr>
          <w:trHeight w:val="199"/>
        </w:trPr>
        <w:tc>
          <w:tcPr>
            <w:tcW w:w="6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Property, Plant and Equipment</w:t>
            </w:r>
          </w:p>
        </w:tc>
        <w:tc>
          <w:tcPr>
            <w:tcW w:w="300" w:type="dxa"/>
            <w:vAlign w:val="bottom"/>
            <w:tcBorders>
              <w:top w:val="single" w:sz="8" w:color="auto"/>
            </w:tcBorders>
            <w:shd w:val="clear" w:color="auto" w:fill="CCEEFF"/>
          </w:tcPr>
          <w:p>
            <w:pPr>
              <w:spacing w:after="0"/>
              <w:rPr>
                <w:sz w:val="17"/>
                <w:szCs w:val="17"/>
                <w:color w:val="auto"/>
              </w:rPr>
            </w:pPr>
          </w:p>
        </w:tc>
        <w:tc>
          <w:tcPr>
            <w:tcW w:w="2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spacing w:after="0"/>
              <w:rPr>
                <w:sz w:val="17"/>
                <w:szCs w:val="17"/>
                <w:color w:val="auto"/>
              </w:rPr>
            </w:pPr>
          </w:p>
        </w:tc>
      </w:tr>
      <w:tr>
        <w:trPr>
          <w:trHeight w:val="213"/>
        </w:trPr>
        <w:tc>
          <w:tcPr>
            <w:tcW w:w="6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Leasehold improvements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6,987</w:t>
            </w:r>
          </w:p>
        </w:tc>
      </w:tr>
      <w:tr>
        <w:trPr>
          <w:trHeight w:val="219"/>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Machinery and equipment</w:t>
            </w:r>
          </w:p>
        </w:tc>
        <w:tc>
          <w:tcPr>
            <w:tcW w:w="30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46,964</w:t>
            </w:r>
          </w:p>
        </w:tc>
      </w:tr>
      <w:tr>
        <w:trPr>
          <w:trHeight w:val="213"/>
        </w:trPr>
        <w:tc>
          <w:tcPr>
            <w:tcW w:w="6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Construction in progress</w:t>
            </w:r>
          </w:p>
        </w:tc>
        <w:tc>
          <w:tcPr>
            <w:tcW w:w="3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1,654</w:t>
            </w:r>
          </w:p>
        </w:tc>
      </w:tr>
      <w:tr>
        <w:trPr>
          <w:trHeight w:val="212"/>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property, plant and equipment, at cost</w:t>
            </w:r>
          </w:p>
        </w:tc>
        <w:tc>
          <w:tcPr>
            <w:tcW w:w="300" w:type="dxa"/>
            <w:vAlign w:val="bottom"/>
            <w:shd w:val="clear" w:color="auto" w:fill="CCEEFF"/>
          </w:tcPr>
          <w:p>
            <w:pPr>
              <w:spacing w:after="0"/>
              <w:rPr>
                <w:sz w:val="18"/>
                <w:szCs w:val="18"/>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55,605</w:t>
            </w:r>
          </w:p>
        </w:tc>
      </w:tr>
      <w:tr>
        <w:trPr>
          <w:trHeight w:val="213"/>
        </w:trPr>
        <w:tc>
          <w:tcPr>
            <w:tcW w:w="6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Accumulated depreciation</w:t>
            </w:r>
          </w:p>
        </w:tc>
        <w:tc>
          <w:tcPr>
            <w:tcW w:w="3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(40,677)</w:t>
            </w:r>
          </w:p>
        </w:tc>
      </w:tr>
      <w:tr>
        <w:trPr>
          <w:trHeight w:val="237"/>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Property, plant and equipment, net</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14,625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14,928</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14" w:name="page15"/>
    <w:bookmarkEnd w:id="14"/>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5.</w:t>
        <w:tab/>
        <w:t>Goodwill and Other Intangibles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 of goodwill at both June 30, 2024 and December 31, 2023 was $29.8 million. Accumulated impairment losses at both June 30, 2024 and December 31, 2023 were $11.6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intangible assets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As of June 30, 2024</w:t>
            </w: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Gross Carrying Value</w:t>
            </w:r>
          </w:p>
        </w:tc>
        <w:tc>
          <w:tcPr>
            <w:tcW w:w="180" w:type="dxa"/>
            <w:vAlign w:val="bottom"/>
          </w:tcPr>
          <w:p>
            <w:pPr>
              <w:spacing w:after="0"/>
              <w:rPr>
                <w:sz w:val="13"/>
                <w:szCs w:val="13"/>
                <w:color w:val="auto"/>
              </w:rPr>
            </w:pPr>
          </w:p>
        </w:tc>
        <w:tc>
          <w:tcPr>
            <w:tcW w:w="182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60" w:type="dxa"/>
            <w:vAlign w:val="bottom"/>
          </w:tcPr>
          <w:p>
            <w:pPr>
              <w:spacing w:after="0"/>
              <w:rPr>
                <w:sz w:val="13"/>
                <w:szCs w:val="13"/>
                <w:color w:val="auto"/>
              </w:rPr>
            </w:pPr>
          </w:p>
        </w:tc>
        <w:tc>
          <w:tcPr>
            <w:tcW w:w="164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Net Book Value</w:t>
            </w:r>
          </w:p>
        </w:tc>
        <w:tc>
          <w:tcPr>
            <w:tcW w:w="0" w:type="dxa"/>
            <w:vAlign w:val="bottom"/>
          </w:tcPr>
          <w:p>
            <w:pPr>
              <w:spacing w:after="0"/>
              <w:rPr>
                <w:sz w:val="1"/>
                <w:szCs w:val="1"/>
                <w:color w:val="auto"/>
              </w:rPr>
            </w:pPr>
          </w:p>
        </w:tc>
      </w:tr>
      <w:tr>
        <w:trPr>
          <w:trHeight w:val="214"/>
        </w:trPr>
        <w:tc>
          <w:tcPr>
            <w:tcW w:w="5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6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3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Customer relationships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34,940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(31,892)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3,048</w:t>
            </w:r>
          </w:p>
        </w:tc>
        <w:tc>
          <w:tcPr>
            <w:tcW w:w="0" w:type="dxa"/>
            <w:vAlign w:val="bottom"/>
          </w:tcPr>
          <w:p>
            <w:pPr>
              <w:spacing w:after="0"/>
              <w:rPr>
                <w:sz w:val="1"/>
                <w:szCs w:val="1"/>
                <w:color w:val="auto"/>
              </w:rPr>
            </w:pPr>
          </w:p>
        </w:tc>
      </w:tr>
      <w:tr>
        <w:trPr>
          <w:trHeight w:val="213"/>
        </w:trPr>
        <w:tc>
          <w:tcPr>
            <w:tcW w:w="5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Developed technology</w:t>
            </w: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Trade names and trademarks</w:t>
            </w:r>
          </w:p>
        </w:tc>
        <w:tc>
          <w:tcPr>
            <w:tcW w:w="14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0" w:type="dxa"/>
            <w:vAlign w:val="bottom"/>
          </w:tcPr>
          <w:p>
            <w:pPr>
              <w:spacing w:after="0"/>
              <w:rPr>
                <w:sz w:val="1"/>
                <w:szCs w:val="1"/>
                <w:color w:val="auto"/>
              </w:rPr>
            </w:pPr>
          </w:p>
        </w:tc>
      </w:tr>
      <w:tr>
        <w:trPr>
          <w:trHeight w:val="212"/>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37,340</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(34,156)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3,184</w:t>
            </w:r>
          </w:p>
        </w:tc>
        <w:tc>
          <w:tcPr>
            <w:tcW w:w="0" w:type="dxa"/>
            <w:vAlign w:val="bottom"/>
          </w:tcPr>
          <w:p>
            <w:pPr>
              <w:spacing w:after="0"/>
              <w:rPr>
                <w:sz w:val="1"/>
                <w:szCs w:val="1"/>
                <w:color w:val="auto"/>
              </w:rPr>
            </w:pPr>
          </w:p>
        </w:tc>
      </w:tr>
      <w:tr>
        <w:trPr>
          <w:trHeight w:val="21"/>
        </w:trPr>
        <w:tc>
          <w:tcPr>
            <w:tcW w:w="5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Gross Carrying Value</w:t>
            </w:r>
          </w:p>
        </w:tc>
        <w:tc>
          <w:tcPr>
            <w:tcW w:w="100" w:type="dxa"/>
            <w:vAlign w:val="bottom"/>
          </w:tcPr>
          <w:p>
            <w:pPr>
              <w:spacing w:after="0"/>
              <w:rPr>
                <w:sz w:val="13"/>
                <w:szCs w:val="13"/>
                <w:color w:val="auto"/>
              </w:rPr>
            </w:pPr>
          </w:p>
        </w:tc>
        <w:tc>
          <w:tcPr>
            <w:tcW w:w="190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60" w:type="dxa"/>
            <w:vAlign w:val="bottom"/>
          </w:tcPr>
          <w:p>
            <w:pPr>
              <w:spacing w:after="0"/>
              <w:rPr>
                <w:sz w:val="13"/>
                <w:szCs w:val="13"/>
                <w:color w:val="auto"/>
              </w:rPr>
            </w:pPr>
          </w:p>
        </w:tc>
        <w:tc>
          <w:tcPr>
            <w:tcW w:w="164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Net Book Value</w:t>
            </w:r>
          </w:p>
        </w:tc>
        <w:tc>
          <w:tcPr>
            <w:tcW w:w="0" w:type="dxa"/>
            <w:vAlign w:val="bottom"/>
          </w:tcPr>
          <w:p>
            <w:pPr>
              <w:spacing w:after="0"/>
              <w:rPr>
                <w:sz w:val="1"/>
                <w:szCs w:val="1"/>
                <w:color w:val="auto"/>
              </w:rPr>
            </w:pPr>
          </w:p>
        </w:tc>
      </w:tr>
      <w:tr>
        <w:trPr>
          <w:trHeight w:val="214"/>
        </w:trPr>
        <w:tc>
          <w:tcPr>
            <w:tcW w:w="5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6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3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Customer relationships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34,940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(31,195)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3,745</w:t>
            </w:r>
          </w:p>
        </w:tc>
        <w:tc>
          <w:tcPr>
            <w:tcW w:w="0" w:type="dxa"/>
            <w:vAlign w:val="bottom"/>
          </w:tcPr>
          <w:p>
            <w:pPr>
              <w:spacing w:after="0"/>
              <w:rPr>
                <w:sz w:val="1"/>
                <w:szCs w:val="1"/>
                <w:color w:val="auto"/>
              </w:rPr>
            </w:pPr>
          </w:p>
        </w:tc>
      </w:tr>
      <w:tr>
        <w:trPr>
          <w:trHeight w:val="213"/>
        </w:trPr>
        <w:tc>
          <w:tcPr>
            <w:tcW w:w="5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Developed technology</w:t>
            </w: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Trade names and trademarks</w:t>
            </w:r>
          </w:p>
        </w:tc>
        <w:tc>
          <w:tcPr>
            <w:tcW w:w="14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0" w:type="dxa"/>
            <w:vAlign w:val="bottom"/>
          </w:tcPr>
          <w:p>
            <w:pPr>
              <w:spacing w:after="0"/>
              <w:rPr>
                <w:sz w:val="1"/>
                <w:szCs w:val="1"/>
                <w:color w:val="auto"/>
              </w:rPr>
            </w:pPr>
          </w:p>
        </w:tc>
      </w:tr>
      <w:tr>
        <w:trPr>
          <w:trHeight w:val="212"/>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37,340</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(33,426)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3,914</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6.</w:t>
        <w:tab/>
        <w:t>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outstanding debt consisted of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300" w:type="dxa"/>
            <w:vAlign w:val="bottom"/>
          </w:tcPr>
          <w:p>
            <w:pPr>
              <w:spacing w:after="0"/>
              <w:rPr>
                <w:sz w:val="18"/>
                <w:szCs w:val="18"/>
                <w:color w:val="auto"/>
              </w:rPr>
            </w:pPr>
          </w:p>
        </w:tc>
        <w:tc>
          <w:tcPr>
            <w:tcW w:w="2640" w:type="dxa"/>
            <w:vAlign w:val="bottom"/>
            <w:gridSpan w:val="3"/>
          </w:tcPr>
          <w:p>
            <w:pPr>
              <w:ind w:left="440"/>
              <w:spacing w:after="0"/>
              <w:rPr>
                <w:sz w:val="20"/>
                <w:szCs w:val="20"/>
                <w:color w:val="auto"/>
              </w:rPr>
            </w:pPr>
            <w:r>
              <w:rPr>
                <w:rFonts w:ascii="Times New Roman" w:cs="Times New Roman" w:eastAsia="Times New Roman" w:hAnsi="Times New Roman"/>
                <w:sz w:val="16"/>
                <w:szCs w:val="16"/>
                <w:b w:val="1"/>
                <w:bCs w:val="1"/>
                <w:color w:val="auto"/>
              </w:rPr>
              <w:t>As of June 30, 2024</w:t>
            </w:r>
          </w:p>
        </w:tc>
        <w:tc>
          <w:tcPr>
            <w:tcW w:w="280" w:type="dxa"/>
            <w:vAlign w:val="bottom"/>
          </w:tcPr>
          <w:p>
            <w:pPr>
              <w:spacing w:after="0"/>
              <w:rPr>
                <w:sz w:val="18"/>
                <w:szCs w:val="18"/>
                <w:color w:val="auto"/>
              </w:rPr>
            </w:pPr>
          </w:p>
        </w:tc>
        <w:tc>
          <w:tcPr>
            <w:tcW w:w="2560" w:type="dxa"/>
            <w:vAlign w:val="bottom"/>
            <w:gridSpan w:val="2"/>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300" w:type="dxa"/>
            <w:vAlign w:val="bottom"/>
            <w:tcBorders>
              <w:top w:val="single" w:sz="8" w:color="auto"/>
              <w:bottom w:val="single" w:sz="8" w:color="auto"/>
            </w:tcBorders>
          </w:tcPr>
          <w:p>
            <w:pPr>
              <w:jc w:val="right"/>
              <w:ind w:right="319"/>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Rate </w:t>
            </w:r>
            <w:r>
              <w:rPr>
                <w:rFonts w:ascii="Times New Roman" w:cs="Times New Roman" w:eastAsia="Times New Roman" w:hAnsi="Times New Roman"/>
                <w:sz w:val="21"/>
                <w:szCs w:val="21"/>
                <w:b w:val="1"/>
                <w:bCs w:val="1"/>
                <w:color w:val="auto"/>
                <w:vertAlign w:val="superscript"/>
              </w:rPr>
              <w:t>(1)</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320" w:type="dxa"/>
            <w:vAlign w:val="bottom"/>
            <w:tcBorders>
              <w:top w:val="single" w:sz="8" w:color="auto"/>
              <w:bottom w:val="single" w:sz="8" w:color="auto"/>
            </w:tcBorders>
          </w:tcPr>
          <w:p>
            <w:pPr>
              <w:jc w:val="right"/>
              <w:ind w:right="339"/>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Rate </w:t>
            </w:r>
            <w:r>
              <w:rPr>
                <w:rFonts w:ascii="Times New Roman" w:cs="Times New Roman" w:eastAsia="Times New Roman" w:hAnsi="Times New Roman"/>
                <w:sz w:val="21"/>
                <w:szCs w:val="21"/>
                <w:b w:val="1"/>
                <w:bCs w:val="1"/>
                <w:color w:val="auto"/>
                <w:vertAlign w:val="superscript"/>
              </w:rPr>
              <w:t>(1)</w:t>
            </w:r>
          </w:p>
        </w:tc>
        <w:tc>
          <w:tcPr>
            <w:tcW w:w="18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6"/>
                <w:szCs w:val="16"/>
                <w:b w:val="1"/>
                <w:bCs w:val="1"/>
                <w:color w:val="auto"/>
              </w:rPr>
              <w:t>Maturity Date</w:t>
            </w:r>
          </w:p>
        </w:tc>
        <w:tc>
          <w:tcPr>
            <w:tcW w:w="0" w:type="dxa"/>
            <w:vAlign w:val="bottom"/>
          </w:tcPr>
          <w:p>
            <w:pPr>
              <w:spacing w:after="0"/>
              <w:rPr>
                <w:sz w:val="1"/>
                <w:szCs w:val="1"/>
                <w:color w:val="auto"/>
              </w:rPr>
            </w:pPr>
          </w:p>
        </w:tc>
      </w:tr>
      <w:tr>
        <w:trPr>
          <w:trHeight w:val="196"/>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Short-term financing:</w:t>
            </w: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Revolving credit facility *</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30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8.78%</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32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8.71%</w:t>
            </w:r>
          </w:p>
        </w:tc>
        <w:tc>
          <w:tcPr>
            <w:tcW w:w="1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March 21, 2025</w:t>
            </w:r>
          </w:p>
        </w:tc>
        <w:tc>
          <w:tcPr>
            <w:tcW w:w="0" w:type="dxa"/>
            <w:vAlign w:val="bottom"/>
          </w:tcPr>
          <w:p>
            <w:pPr>
              <w:spacing w:after="0"/>
              <w:rPr>
                <w:sz w:val="1"/>
                <w:szCs w:val="1"/>
                <w:color w:val="auto"/>
              </w:rPr>
            </w:pPr>
          </w:p>
        </w:tc>
      </w:tr>
      <w:tr>
        <w:trPr>
          <w:trHeight w:val="232"/>
        </w:trPr>
        <w:tc>
          <w:tcPr>
            <w:tcW w:w="3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$25 Million Loan Agreement</w:t>
            </w: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30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9.32%</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32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9.44%</w:t>
            </w:r>
          </w:p>
        </w:tc>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May 20, 2025</w:t>
            </w:r>
          </w:p>
        </w:tc>
        <w:tc>
          <w:tcPr>
            <w:tcW w:w="0" w:type="dxa"/>
            <w:vAlign w:val="bottom"/>
          </w:tcPr>
          <w:p>
            <w:pPr>
              <w:spacing w:after="0"/>
              <w:rPr>
                <w:sz w:val="1"/>
                <w:szCs w:val="1"/>
                <w:color w:val="auto"/>
              </w:rPr>
            </w:pPr>
          </w:p>
        </w:tc>
      </w:tr>
      <w:tr>
        <w:trPr>
          <w:trHeight w:val="213"/>
        </w:trPr>
        <w:tc>
          <w:tcPr>
            <w:tcW w:w="3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$50 Million Loan Agreement</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30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9.38%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32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9.44%</w:t>
            </w:r>
          </w:p>
        </w:tc>
        <w:tc>
          <w:tcPr>
            <w:tcW w:w="1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November 30, 2024</w:t>
            </w: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$30 Million Loan Agreement</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19,820</w:t>
            </w:r>
          </w:p>
        </w:tc>
        <w:tc>
          <w:tcPr>
            <w:tcW w:w="130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9.36%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19,820</w:t>
            </w:r>
          </w:p>
        </w:tc>
        <w:tc>
          <w:tcPr>
            <w:tcW w:w="132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9.41%</w:t>
            </w:r>
          </w:p>
        </w:tc>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31, 2025</w:t>
            </w:r>
          </w:p>
        </w:tc>
        <w:tc>
          <w:tcPr>
            <w:tcW w:w="0" w:type="dxa"/>
            <w:vAlign w:val="bottom"/>
          </w:tcPr>
          <w:p>
            <w:pPr>
              <w:spacing w:after="0"/>
              <w:rPr>
                <w:sz w:val="1"/>
                <w:szCs w:val="1"/>
                <w:color w:val="auto"/>
              </w:rPr>
            </w:pPr>
          </w:p>
        </w:tc>
      </w:tr>
      <w:tr>
        <w:trPr>
          <w:trHeight w:val="213"/>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short-term debt</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134,820</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144,820</w:t>
            </w:r>
          </w:p>
        </w:tc>
        <w:tc>
          <w:tcPr>
            <w:tcW w:w="13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Long-term debt:</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Finance leases and other debt</w:t>
            </w: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300" w:type="dxa"/>
            <w:vAlign w:val="bottom"/>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32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Various</w:t>
            </w:r>
          </w:p>
        </w:tc>
        <w:tc>
          <w:tcPr>
            <w:tcW w:w="0" w:type="dxa"/>
            <w:vAlign w:val="bottom"/>
          </w:tcPr>
          <w:p>
            <w:pPr>
              <w:spacing w:after="0"/>
              <w:rPr>
                <w:sz w:val="1"/>
                <w:szCs w:val="1"/>
                <w:color w:val="auto"/>
              </w:rPr>
            </w:pPr>
          </w:p>
        </w:tc>
      </w:tr>
      <w:tr>
        <w:trPr>
          <w:trHeight w:val="207"/>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long-term debt and finance leases</w:t>
            </w: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3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3660" w:type="dxa"/>
            <w:vAlign w:val="bottom"/>
            <w:shd w:val="clear" w:color="auto" w:fill="CCEEFF"/>
          </w:tcPr>
          <w:p>
            <w:pPr>
              <w:ind w:left="480"/>
              <w:spacing w:after="0" w:line="165" w:lineRule="exact"/>
              <w:rPr>
                <w:sz w:val="20"/>
                <w:szCs w:val="20"/>
                <w:color w:val="auto"/>
              </w:rPr>
            </w:pPr>
            <w:r>
              <w:rPr>
                <w:rFonts w:ascii="Times New Roman" w:cs="Times New Roman" w:eastAsia="Times New Roman" w:hAnsi="Times New Roman"/>
                <w:sz w:val="16"/>
                <w:szCs w:val="16"/>
                <w:color w:val="auto"/>
              </w:rPr>
              <w:t>Less: Current maturities of long-term debt and</w:t>
            </w:r>
          </w:p>
        </w:tc>
        <w:tc>
          <w:tcPr>
            <w:tcW w:w="30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32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finance leases</w:t>
            </w: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Long-term debt</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3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500" w:right="400"/>
        <w:spacing w:after="0" w:line="250" w:lineRule="auto"/>
        <w:rPr>
          <w:sz w:val="20"/>
          <w:szCs w:val="20"/>
          <w:color w:val="auto"/>
        </w:rPr>
      </w:pPr>
      <w:r>
        <w:rPr>
          <w:rFonts w:ascii="Times New Roman" w:cs="Times New Roman" w:eastAsia="Times New Roman" w:hAnsi="Times New Roman"/>
          <w:sz w:val="14"/>
          <w:szCs w:val="14"/>
          <w:color w:val="auto"/>
        </w:rPr>
        <w:t>Unamortized financing costs and deferred fees on the revolving credit facility are not presented in the above table as they are classified in Prepaid expenses and other current assets on the Consolidated Balance Sheet. Unamortized debt issuance costs, were $0.1 million and $0.2 million as of June 30, 2024 and December 31, 2023, respectively.</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Finance lease obligations are a non-cash financing activity. See Note 8.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w:t>
      </w:r>
    </w:p>
    <w:p>
      <w:pPr>
        <w:spacing w:after="0" w:line="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Includes the weighted average interest rate.</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 and Shareholder’s Loan Agreements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22, 2024, the Company amended and restated its $130.0 million Third Amended and Restated Uncommitted Revolving Credit Agreement (the “Credit Agreement”) with Standard Chartered Bank (“Standard Chartered”). The amendment and restatement of the Credit Agreement reduces the borrowing capacity to $50.0 million and extends the maturity date of loans</w:t>
      </w:r>
    </w:p>
    <w:p>
      <w:pPr>
        <w:sectPr>
          <w:pgSz w:w="11900" w:h="16838" w:orient="portrait"/>
          <w:cols w:equalWidth="0" w:num="1">
            <w:col w:w="11240"/>
          </w:cols>
          <w:pgMar w:left="320" w:top="1359"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type w:val="continuous"/>
        </w:sectPr>
      </w:pPr>
    </w:p>
    <w:bookmarkStart w:id="15" w:name="page16"/>
    <w:bookmarkEnd w:id="15"/>
    <w:p>
      <w:pPr>
        <w:jc w:val="both"/>
        <w:spacing w:after="0" w:line="254" w:lineRule="auto"/>
        <w:rPr>
          <w:sz w:val="20"/>
          <w:szCs w:val="20"/>
          <w:color w:val="auto"/>
        </w:rPr>
      </w:pPr>
      <w:r>
        <w:rPr>
          <w:rFonts w:ascii="Times New Roman" w:cs="Times New Roman" w:eastAsia="Times New Roman" w:hAnsi="Times New Roman"/>
          <w:sz w:val="18"/>
          <w:szCs w:val="18"/>
          <w:color w:val="auto"/>
        </w:rPr>
        <w:t>outstanding under its previous credit facility to the earlier of March 21, 2025 or the demand of Standard Chartered. The Credit Agreement is subject to customary events of default and covenants, including minimum consolidated EBITDA and Consolidated Interest Coverage Ratio covenants for the second and third quarters of 2024. Borrowings under the Credit Agreement incur interest at either the alternate base rate or the SOFR plus applicable rate of 3.45% per annum. In addition, the Company paid fees of $0.1 million related to the Credit Agreement which are deferred and amortized over the term of the Credit Agreement. The Credit Agreement continues to be secured by substantially all of the Company’s assets and provides Standard Chartered the right to demand payment of any and all of the outstanding borrowings and other amounts owed under the Credit Agreement at any point in time prior to the maturity date at Standard Chartered’s discretion. The Company made payments totaling $5.0 million related to the Credit Agreement with no additional borrowings during the second quarter of 2024. As of June 30, 2024, the Company had $40.0 million outstanding under the Credit Agreement.</w:t>
      </w:r>
    </w:p>
    <w:p>
      <w:pPr>
        <w:spacing w:after="0" w:line="7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connection with this Credit Agreement, on March 22, 2024, the Company also amended one of the four shareholder’s loan agreements with Weichai, to among other things, extend the maturities thereof. The $30 Million Loan Agreement provides the Company with a $30.0 million subordinated loan at the discretion of Weichai and was amended to extend the maturity date to March 31, 2025. Borrowings under the $30 Million Loan Agreement bear interest at an annual rate equal to SOFR plus 4.05% per annum. Further, if the applicable SOFR rate is negative, the interest rate per annum shall be deemed as 4.05% per annum. If the interest rate for any loan is lower than Weichai’s borrowing cost, the interest rate for such loan shall be equal to Weichai’s borrowing cost plus 1.0%. All of the amended shareholder loan agreements with Weichai are subject to customary events of default and covenants. The Company and Weichai also agreed not to renew the first Amended Shareholder’s Loan Agreement, which expired on April 24, 2024 and provided the Company with a $130.0 million subordinated loan under which Weichai was obligated to advance funds solely for purposes of repaying outstanding borrowings under the $130.0 million Credit Agreement if the Company was unable to pay such borrowings.</w:t>
      </w:r>
    </w:p>
    <w:p>
      <w:pPr>
        <w:spacing w:after="0" w:line="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20, 2024, the Company amended and extended the maturity of its $25 Million Loan Agreement with Weichai to May 20, 2025. The $25 Million Loan Agreement continues to provide the Company with a $25.0 million subordinated loan. Borrowings under the $25 Million Loan Agreement incur interest at the applicable SOFR rate, plus 4.05% per annum. Further, if the applicable term SOFR is negative, the interest rate per annum shall be deemed as 4.05% per annum. If the interest rate for any loan under the $25 Million Loan Agreement is lower than Weichai’s borrowing cost, the interest rate for such loan shall be equal to Weichai’s borrowing cost plus 1.0%.</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also party to a $50 Million Loan Agreement with Weichai, which was entered into on December 10, 2021. The $50 Million Loan Agreement provides the Company with a $50.0 million uncommitted facility that is subordinated to the Credit Agreement and any borrowing requests made under the $50 Million Loan Agreement are subject to Weichai’s discretionary approval. Borrowings under the third Shareholder’s Loan Agreement incur interest at the applicable SOFR, plus 4.65% per annum and can be used for general corporate purposes, except for certain legal expenditures which require additional approval from Weichai. Further, if the applicable term SOFR is negative, the interest rate per annum shall be deemed as 4.65% per annum. If the interest rate for any loan is lower than Weichai’s borrowing cost, the interest rate for such loan shall be equal to Weichai’s borrowing cost plus 1.0%. The $50 Million Loan Agreement was amended on November 29, 2023 and expires on November 30, 2024 with any outstanding principal and accrued interest due upon maturity.</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of June 30, 2024, the Company’s total outstanding debt obligations under the Credit Agreement, its $25 Million Loan Agreement, its $50 Million Loan Agreement, its $30 Million Loan Agreement, and for finance leases and other debt were $135.1 million in the aggregate, and its cash and cash equivalents were $28.8 million. The Company's total accrued interest for the Credit Agreement and all shareholder loans was $2.3 million and $1.9 million as of June 30, 2024 and December 31, 2023, respectively. Accrued interest is included within </w:t>
      </w:r>
      <w:r>
        <w:rPr>
          <w:rFonts w:ascii="Times New Roman" w:cs="Times New Roman" w:eastAsia="Times New Roman" w:hAnsi="Times New Roman"/>
          <w:sz w:val="18"/>
          <w:szCs w:val="18"/>
          <w:i w:val="1"/>
          <w:iCs w:val="1"/>
          <w:color w:val="auto"/>
        </w:rPr>
        <w:t>Other Accrued Liabilities</w:t>
      </w:r>
      <w:r>
        <w:rPr>
          <w:rFonts w:ascii="Times New Roman" w:cs="Times New Roman" w:eastAsia="Times New Roman" w:hAnsi="Times New Roman"/>
          <w:sz w:val="18"/>
          <w:szCs w:val="18"/>
          <w:color w:val="auto"/>
        </w:rPr>
        <w:t xml:space="preserve"> on the Consolidated Balance Sheet.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1. </w:t>
      </w:r>
      <w:r>
        <w:rPr>
          <w:rFonts w:ascii="Times New Roman" w:cs="Times New Roman" w:eastAsia="Times New Roman" w:hAnsi="Times New Roman"/>
          <w:sz w:val="18"/>
          <w:szCs w:val="18"/>
          <w:i w:val="1"/>
          <w:iCs w:val="1"/>
          <w:color w:val="auto"/>
        </w:rPr>
        <w:t>Summary of Significant Accounting Policies and Other Information</w:t>
      </w:r>
      <w:r>
        <w:rPr>
          <w:rFonts w:ascii="Times New Roman" w:cs="Times New Roman" w:eastAsia="Times New Roman" w:hAnsi="Times New Roman"/>
          <w:sz w:val="18"/>
          <w:szCs w:val="18"/>
          <w:color w:val="auto"/>
        </w:rPr>
        <w:t xml:space="preserve"> for further discussion of the Company’s going concern considerations.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Note 7. Other Non-current Liabilities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14, 2024, the Company executed a non-interest bearing note payable of $4.5 million upon settlement of a legal matter. The note payable is due May 2028 and is discounted based on imputed interest rate of 6.66%. The note payable includes an option for the Company to extend maturity of the note to September 2029 upon written notice before the thirty-seventh payment and the maximum payment amount of the note increases to $4.8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current portion of the note of $0.7 million is included in other accrued liabilities in the Company’s Consolidated Balance Sheets.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8"/>
                <w:szCs w:val="18"/>
                <w:b w:val="1"/>
                <w:bCs w:val="1"/>
                <w:color w:val="auto"/>
              </w:rPr>
              <w:t>As of June 30, 2024</w:t>
            </w:r>
          </w:p>
        </w:tc>
        <w:tc>
          <w:tcPr>
            <w:tcW w:w="0" w:type="dxa"/>
            <w:vAlign w:val="bottom"/>
          </w:tcPr>
          <w:p>
            <w:pPr>
              <w:spacing w:after="0"/>
              <w:rPr>
                <w:sz w:val="1"/>
                <w:szCs w:val="1"/>
                <w:color w:val="auto"/>
              </w:rPr>
            </w:pPr>
          </w:p>
        </w:tc>
      </w:tr>
      <w:tr>
        <w:trPr>
          <w:trHeight w:val="209"/>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 payable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4,425</w:t>
            </w:r>
          </w:p>
        </w:tc>
        <w:tc>
          <w:tcPr>
            <w:tcW w:w="0" w:type="dxa"/>
            <w:vAlign w:val="bottom"/>
          </w:tcPr>
          <w:p>
            <w:pPr>
              <w:spacing w:after="0"/>
              <w:rPr>
                <w:sz w:val="1"/>
                <w:szCs w:val="1"/>
                <w:color w:val="auto"/>
              </w:rPr>
            </w:pPr>
          </w:p>
        </w:tc>
      </w:tr>
      <w:tr>
        <w:trPr>
          <w:trHeight w:val="229"/>
        </w:trPr>
        <w:tc>
          <w:tcPr>
            <w:tcW w:w="8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Unamortized discount</w:t>
            </w:r>
          </w:p>
        </w:tc>
        <w:tc>
          <w:tcPr>
            <w:tcW w:w="2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0" w:type="dxa"/>
            <w:vAlign w:val="bottom"/>
          </w:tcPr>
          <w:p>
            <w:pPr>
              <w:spacing w:after="0"/>
              <w:rPr>
                <w:sz w:val="1"/>
                <w:szCs w:val="1"/>
                <w:color w:val="auto"/>
              </w:rPr>
            </w:pPr>
          </w:p>
        </w:tc>
      </w:tr>
      <w:tr>
        <w:trPr>
          <w:trHeight w:val="235"/>
        </w:trPr>
        <w:tc>
          <w:tcPr>
            <w:tcW w:w="8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3,832</w:t>
            </w:r>
          </w:p>
        </w:tc>
        <w:tc>
          <w:tcPr>
            <w:tcW w:w="0" w:type="dxa"/>
            <w:vAlign w:val="bottom"/>
          </w:tcPr>
          <w:p>
            <w:pPr>
              <w:spacing w:after="0"/>
              <w:rPr>
                <w:sz w:val="1"/>
                <w:szCs w:val="1"/>
                <w:color w:val="auto"/>
              </w:rPr>
            </w:pPr>
          </w:p>
        </w:tc>
      </w:tr>
      <w:tr>
        <w:trPr>
          <w:trHeight w:val="20"/>
        </w:trPr>
        <w:tc>
          <w:tcPr>
            <w:tcW w:w="8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following table presents remaining maturities for the note payable as of June 30, 2024:</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89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4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Maturities</w:t>
            </w:r>
          </w:p>
        </w:tc>
        <w:tc>
          <w:tcPr>
            <w:tcW w:w="1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8"/>
                <w:szCs w:val="18"/>
                <w:b w:val="1"/>
                <w:bCs w:val="1"/>
                <w:color w:val="auto"/>
              </w:rPr>
              <w:t>Discount Amortization</w:t>
            </w:r>
          </w:p>
        </w:tc>
      </w:tr>
      <w:tr>
        <w:trPr>
          <w:trHeight w:val="210"/>
        </w:trPr>
        <w:tc>
          <w:tcPr>
            <w:tcW w:w="6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Six months ending December 31, 2024</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r>
      <w:tr>
        <w:trPr>
          <w:trHeight w:val="213"/>
        </w:trPr>
        <w:tc>
          <w:tcPr>
            <w:tcW w:w="66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Year ending December 31, 2025</w:t>
            </w:r>
          </w:p>
        </w:tc>
        <w:tc>
          <w:tcPr>
            <w:tcW w:w="4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r>
      <w:tr>
        <w:trPr>
          <w:trHeight w:val="219"/>
        </w:trPr>
        <w:tc>
          <w:tcPr>
            <w:tcW w:w="6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Year ending December 31, 2026</w:t>
            </w:r>
          </w:p>
        </w:tc>
        <w:tc>
          <w:tcPr>
            <w:tcW w:w="4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r>
      <w:tr>
        <w:trPr>
          <w:trHeight w:val="213"/>
        </w:trPr>
        <w:tc>
          <w:tcPr>
            <w:tcW w:w="66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Year ending December 31, 2027</w:t>
            </w:r>
          </w:p>
        </w:tc>
        <w:tc>
          <w:tcPr>
            <w:tcW w:w="4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16"/>
        </w:trPr>
        <w:tc>
          <w:tcPr>
            <w:tcW w:w="6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Year ending December 31, 2028</w:t>
            </w:r>
          </w:p>
        </w:tc>
        <w:tc>
          <w:tcPr>
            <w:tcW w:w="40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2"/>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note payable</w:t>
            </w: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3,832</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593</w:t>
            </w:r>
          </w:p>
        </w:tc>
      </w:tr>
      <w:tr>
        <w:trPr>
          <w:trHeight w:val="20"/>
        </w:trPr>
        <w:tc>
          <w:tcPr>
            <w:tcW w:w="66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less than $0.1 million discount amortization as interest expense as of June 30, 2024.</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17" w:name="page18"/>
    <w:bookmarkEnd w:id="17"/>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8.</w:t>
        <w:tab/>
        <w:t>Leases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obligations under lease arrangements primarily for facilities, equipment and vehicles. These leases have original lease periods expiring between July 2024 and July 2034. The following table summarizes the lease expense by category in the Consolidated Statement of Income: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33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Three Months Ended June 30,</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80" w:type="dxa"/>
            <w:vAlign w:val="bottom"/>
            <w:tcBorders>
              <w:bottom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c>
          <w:tcPr>
            <w:tcW w:w="560" w:type="dxa"/>
            <w:vAlign w:val="bottom"/>
            <w:tcBorders>
              <w:bottom w:val="single" w:sz="8" w:color="auto"/>
            </w:tcBorders>
          </w:tcPr>
          <w:p>
            <w:pPr>
              <w:spacing w:after="0"/>
              <w:rPr>
                <w:sz w:val="18"/>
                <w:szCs w:val="18"/>
                <w:color w:val="auto"/>
              </w:rPr>
            </w:pPr>
          </w:p>
        </w:tc>
      </w:tr>
      <w:tr>
        <w:trPr>
          <w:trHeight w:val="211"/>
        </w:trPr>
        <w:tc>
          <w:tcPr>
            <w:tcW w:w="346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560" w:type="dxa"/>
            <w:vAlign w:val="bottom"/>
            <w:tcBorders>
              <w:bottom w:val="single" w:sz="8" w:color="auto"/>
            </w:tcBorders>
          </w:tcPr>
          <w:p>
            <w:pPr>
              <w:spacing w:after="0"/>
              <w:rPr>
                <w:sz w:val="18"/>
                <w:szCs w:val="18"/>
                <w:color w:val="auto"/>
              </w:rPr>
            </w:pPr>
          </w:p>
        </w:tc>
      </w:tr>
      <w:tr>
        <w:trPr>
          <w:trHeight w:val="211"/>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1260" w:type="dxa"/>
            <w:vAlign w:val="bottom"/>
            <w:shd w:val="clear" w:color="auto" w:fill="CCEEFF"/>
          </w:tcPr>
          <w:p>
            <w:pPr>
              <w:jc w:val="right"/>
              <w:ind w:right="109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1,959</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2,069</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3,783</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3,971</w:t>
            </w:r>
          </w:p>
        </w:tc>
      </w:tr>
      <w:tr>
        <w:trPr>
          <w:trHeight w:val="213"/>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r>
      <w:tr>
        <w:trPr>
          <w:trHeight w:val="21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13"/>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37"/>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60" w:type="dxa"/>
            <w:vAlign w:val="bottom"/>
            <w:tcBorders>
              <w:bottom w:val="single" w:sz="8" w:color="auto"/>
            </w:tcBorders>
            <w:shd w:val="clear" w:color="auto" w:fill="CCEEFF"/>
          </w:tcPr>
          <w:p>
            <w:pPr>
              <w:jc w:val="right"/>
              <w:ind w:right="109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2,062</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2,173</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10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4,096</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113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4,175</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components of lease expense: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360" w:type="dxa"/>
            <w:vAlign w:val="bottom"/>
          </w:tcPr>
          <w:p>
            <w:pPr>
              <w:spacing w:after="0"/>
              <w:rPr>
                <w:sz w:val="18"/>
                <w:szCs w:val="18"/>
                <w:color w:val="auto"/>
              </w:rPr>
            </w:pPr>
          </w:p>
        </w:tc>
        <w:tc>
          <w:tcPr>
            <w:tcW w:w="364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For the Three Months Ended June 30,</w:t>
            </w:r>
          </w:p>
        </w:tc>
        <w:tc>
          <w:tcPr>
            <w:tcW w:w="400" w:type="dxa"/>
            <w:vAlign w:val="bottom"/>
          </w:tcPr>
          <w:p>
            <w:pPr>
              <w:spacing w:after="0"/>
              <w:rPr>
                <w:sz w:val="18"/>
                <w:szCs w:val="18"/>
                <w:color w:val="auto"/>
              </w:rPr>
            </w:pPr>
          </w:p>
        </w:tc>
        <w:tc>
          <w:tcPr>
            <w:tcW w:w="3480" w:type="dxa"/>
            <w:vAlign w:val="bottom"/>
            <w:gridSpan w:val="4"/>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c>
          <w:tcPr>
            <w:tcW w:w="0" w:type="dxa"/>
            <w:vAlign w:val="bottom"/>
          </w:tcPr>
          <w:p>
            <w:pPr>
              <w:spacing w:after="0"/>
              <w:rPr>
                <w:sz w:val="1"/>
                <w:szCs w:val="1"/>
                <w:color w:val="auto"/>
              </w:rPr>
            </w:pPr>
          </w:p>
        </w:tc>
      </w:tr>
      <w:tr>
        <w:trPr>
          <w:trHeight w:val="211"/>
        </w:trPr>
        <w:tc>
          <w:tcPr>
            <w:tcW w:w="336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Operating lease cost</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1,448</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2,807</w:t>
            </w:r>
          </w:p>
        </w:tc>
        <w:tc>
          <w:tcPr>
            <w:tcW w:w="0" w:type="dxa"/>
            <w:vAlign w:val="bottom"/>
          </w:tcPr>
          <w:p>
            <w:pPr>
              <w:spacing w:after="0"/>
              <w:rPr>
                <w:sz w:val="1"/>
                <w:szCs w:val="1"/>
                <w:color w:val="auto"/>
              </w:rPr>
            </w:pPr>
          </w:p>
        </w:tc>
      </w:tr>
      <w:tr>
        <w:trPr>
          <w:trHeight w:val="213"/>
        </w:trPr>
        <w:tc>
          <w:tcPr>
            <w:tcW w:w="3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Finance lease cost</w:t>
            </w:r>
          </w:p>
        </w:tc>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360" w:type="dxa"/>
            <w:vAlign w:val="bottom"/>
            <w:shd w:val="clear" w:color="auto" w:fill="CCEEFF"/>
          </w:tcPr>
          <w:p>
            <w:pPr>
              <w:ind w:left="480"/>
              <w:spacing w:after="0" w:line="165" w:lineRule="exact"/>
              <w:rPr>
                <w:sz w:val="20"/>
                <w:szCs w:val="20"/>
                <w:color w:val="auto"/>
              </w:rPr>
            </w:pPr>
            <w:r>
              <w:rPr>
                <w:rFonts w:ascii="Times New Roman" w:cs="Times New Roman" w:eastAsia="Times New Roman" w:hAnsi="Times New Roman"/>
                <w:sz w:val="16"/>
                <w:szCs w:val="16"/>
                <w:color w:val="auto"/>
              </w:rPr>
              <w:t>Amortization of right-of-use (“ROU”)</w:t>
            </w:r>
          </w:p>
        </w:tc>
        <w:tc>
          <w:tcPr>
            <w:tcW w:w="360" w:type="dxa"/>
            <w:vAlign w:val="bottom"/>
            <w:shd w:val="clear" w:color="auto" w:fill="CCEEFF"/>
          </w:tcPr>
          <w:p>
            <w:pPr>
              <w:spacing w:after="0"/>
              <w:rPr>
                <w:sz w:val="14"/>
                <w:szCs w:val="14"/>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asset</w:t>
            </w:r>
          </w:p>
        </w:tc>
        <w:tc>
          <w:tcPr>
            <w:tcW w:w="360" w:type="dxa"/>
            <w:vAlign w:val="bottom"/>
            <w:shd w:val="clear" w:color="auto" w:fill="CCEEFF"/>
          </w:tcPr>
          <w:p>
            <w:pPr>
              <w:spacing w:after="0"/>
              <w:rPr>
                <w:sz w:val="18"/>
                <w:szCs w:val="18"/>
                <w:color w:val="auto"/>
              </w:rPr>
            </w:pPr>
          </w:p>
        </w:tc>
        <w:tc>
          <w:tcPr>
            <w:tcW w:w="15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Interest expense</w:t>
            </w:r>
          </w:p>
        </w:tc>
        <w:tc>
          <w:tcPr>
            <w:tcW w:w="3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9"/>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Short-term lease cost</w:t>
            </w: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0" w:type="dxa"/>
            <w:vAlign w:val="bottom"/>
          </w:tcPr>
          <w:p>
            <w:pPr>
              <w:spacing w:after="0"/>
              <w:rPr>
                <w:sz w:val="1"/>
                <w:szCs w:val="1"/>
                <w:color w:val="auto"/>
              </w:rPr>
            </w:pPr>
          </w:p>
        </w:tc>
      </w:tr>
      <w:tr>
        <w:trPr>
          <w:trHeight w:val="213"/>
        </w:trPr>
        <w:tc>
          <w:tcPr>
            <w:tcW w:w="3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Variable lease cost</w:t>
            </w:r>
          </w:p>
        </w:tc>
        <w:tc>
          <w:tcPr>
            <w:tcW w:w="3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w:t>
            </w:r>
          </w:p>
        </w:tc>
        <w:tc>
          <w:tcPr>
            <w:tcW w:w="0" w:type="dxa"/>
            <w:vAlign w:val="bottom"/>
          </w:tcPr>
          <w:p>
            <w:pPr>
              <w:spacing w:after="0"/>
              <w:rPr>
                <w:sz w:val="1"/>
                <w:szCs w:val="1"/>
                <w:color w:val="auto"/>
              </w:rPr>
            </w:pPr>
          </w:p>
        </w:tc>
      </w:tr>
      <w:tr>
        <w:trPr>
          <w:trHeight w:val="219"/>
        </w:trPr>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Sublease income</w:t>
            </w:r>
          </w:p>
        </w:tc>
        <w:tc>
          <w:tcPr>
            <w:tcW w:w="3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0" w:type="dxa"/>
            <w:vAlign w:val="bottom"/>
          </w:tcPr>
          <w:p>
            <w:pPr>
              <w:spacing w:after="0"/>
              <w:rPr>
                <w:sz w:val="1"/>
                <w:szCs w:val="1"/>
                <w:color w:val="auto"/>
              </w:rPr>
            </w:pPr>
          </w:p>
        </w:tc>
      </w:tr>
      <w:tr>
        <w:trPr>
          <w:trHeight w:val="207"/>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lease cost, net</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2,062</w:t>
            </w:r>
          </w:p>
        </w:tc>
        <w:tc>
          <w:tcPr>
            <w:tcW w:w="12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1,908</w:t>
            </w:r>
          </w:p>
        </w:tc>
        <w:tc>
          <w:tcPr>
            <w:tcW w:w="12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4,096</w:t>
            </w:r>
          </w:p>
        </w:tc>
        <w:tc>
          <w:tcPr>
            <w:tcW w:w="10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3,645</w:t>
            </w: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supplemental cash flow information related to leases: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40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4"/>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r>
      <w:tr>
        <w:trPr>
          <w:trHeight w:val="211"/>
        </w:trPr>
        <w:tc>
          <w:tcPr>
            <w:tcW w:w="74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4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3"/>
        </w:trPr>
        <w:tc>
          <w:tcPr>
            <w:tcW w:w="7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cash flows paid for operating leases</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2,987</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2,426</w:t>
            </w:r>
          </w:p>
        </w:tc>
      </w:tr>
      <w:tr>
        <w:trPr>
          <w:trHeight w:val="219"/>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cash flows paid for interest portion of finance leases</w:t>
            </w:r>
          </w:p>
        </w:tc>
        <w:tc>
          <w:tcPr>
            <w:tcW w:w="4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3"/>
        </w:trPr>
        <w:tc>
          <w:tcPr>
            <w:tcW w:w="7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Financing cash flows paid for principal portion of finance leases</w:t>
            </w:r>
          </w:p>
        </w:tc>
        <w:tc>
          <w:tcPr>
            <w:tcW w:w="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19"/>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Right-of-use assets obtained in exchange for lease obligations</w:t>
            </w:r>
          </w:p>
        </w:tc>
        <w:tc>
          <w:tcPr>
            <w:tcW w:w="4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0"/>
        </w:trPr>
        <w:tc>
          <w:tcPr>
            <w:tcW w:w="74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Operating leases</w:t>
            </w:r>
          </w:p>
        </w:tc>
        <w:tc>
          <w:tcPr>
            <w:tcW w:w="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13,986</w:t>
            </w:r>
          </w:p>
        </w:tc>
      </w:tr>
    </w:tbl>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2024 and December 31, 2023, the weighted-average remaining lease term was 5.7 years and 6.2 years for operating leases and 1.7 years and 2.2 years for finance leases, respectively. As of both June 30, 2024 and December 31, 2023, the weighted-average discount rate was 7.6% for operating leases, and 6.5% for finance leases.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The following table presents supplemental balance sheet information related to leases: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80" w:type="dxa"/>
            <w:vAlign w:val="bottom"/>
          </w:tcPr>
          <w:p>
            <w:pPr>
              <w:spacing w:after="0"/>
              <w:rPr>
                <w:sz w:val="18"/>
                <w:szCs w:val="18"/>
                <w:color w:val="auto"/>
              </w:rPr>
            </w:pP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80" w:type="dxa"/>
            <w:vAlign w:val="bottom"/>
          </w:tcPr>
          <w:p>
            <w:pPr>
              <w:spacing w:after="0"/>
              <w:rPr>
                <w:sz w:val="18"/>
                <w:szCs w:val="18"/>
                <w:color w:val="auto"/>
              </w:rPr>
            </w:pPr>
          </w:p>
        </w:tc>
        <w:tc>
          <w:tcPr>
            <w:tcW w:w="16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3"/>
        </w:trPr>
        <w:tc>
          <w:tcPr>
            <w:tcW w:w="74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Operating lease ROU assets, net</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25,343</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27,145</w:t>
            </w:r>
          </w:p>
        </w:tc>
      </w:tr>
      <w:tr>
        <w:trPr>
          <w:trHeight w:val="257"/>
        </w:trPr>
        <w:tc>
          <w:tcPr>
            <w:tcW w:w="7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16"/>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lease liabilities, current</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3,912</w:t>
            </w:r>
          </w:p>
        </w:tc>
      </w:tr>
      <w:tr>
        <w:trPr>
          <w:trHeight w:val="213"/>
        </w:trPr>
        <w:tc>
          <w:tcPr>
            <w:tcW w:w="7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23,004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25,070</w:t>
            </w:r>
          </w:p>
        </w:tc>
      </w:tr>
      <w:tr>
        <w:trPr>
          <w:trHeight w:val="234"/>
        </w:trPr>
        <w:tc>
          <w:tcPr>
            <w:tcW w:w="7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 operating lease liabilities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27,250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28,982</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7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6"/>
        </w:trPr>
        <w:tc>
          <w:tcPr>
            <w:tcW w:w="7400" w:type="dxa"/>
            <w:vAlign w:val="bottom"/>
            <w:shd w:val="clear" w:color="auto" w:fill="CCEEFF"/>
          </w:tcPr>
          <w:p>
            <w:pPr>
              <w:ind w:left="6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Finance lease ROU assets, net </w:t>
            </w:r>
            <w:r>
              <w:rPr>
                <w:rFonts w:ascii="Times New Roman" w:cs="Times New Roman" w:eastAsia="Times New Roman" w:hAnsi="Times New Roman"/>
                <w:sz w:val="21"/>
                <w:szCs w:val="21"/>
                <w:b w:val="1"/>
                <w:bCs w:val="1"/>
                <w:color w:val="auto"/>
                <w:vertAlign w:val="superscript"/>
              </w:rPr>
              <w:t>1</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r>
      <w:tr>
        <w:trPr>
          <w:trHeight w:val="257"/>
        </w:trPr>
        <w:tc>
          <w:tcPr>
            <w:tcW w:w="7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16"/>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Finance lease liabilities, current</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213"/>
        </w:trPr>
        <w:tc>
          <w:tcPr>
            <w:tcW w:w="7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Finance lease liabilities, non-current</w:t>
            </w: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234"/>
        </w:trPr>
        <w:tc>
          <w:tcPr>
            <w:tcW w:w="7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 finance lease liabilities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Included in </w:t>
      </w:r>
      <w:r>
        <w:rPr>
          <w:rFonts w:ascii="Times New Roman" w:cs="Times New Roman" w:eastAsia="Times New Roman" w:hAnsi="Times New Roman"/>
          <w:sz w:val="14"/>
          <w:szCs w:val="14"/>
          <w:i w:val="1"/>
          <w:iCs w:val="1"/>
          <w:color w:val="auto"/>
        </w:rPr>
        <w:t>Property, plant and equipment, net</w:t>
      </w:r>
      <w:r>
        <w:rPr>
          <w:rFonts w:ascii="Times New Roman" w:cs="Times New Roman" w:eastAsia="Times New Roman" w:hAnsi="Times New Roman"/>
          <w:sz w:val="14"/>
          <w:szCs w:val="14"/>
          <w:color w:val="auto"/>
        </w:rPr>
        <w:t xml:space="preserve"> for finance leases on the Consolidated Balance Sheets.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maturity analysis of lease liabilities as of June 30, 2024:</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20" w:type="dxa"/>
            <w:vAlign w:val="bottom"/>
          </w:tcPr>
          <w:p>
            <w:pPr>
              <w:spacing w:after="0"/>
              <w:rPr>
                <w:sz w:val="18"/>
                <w:szCs w:val="18"/>
                <w:color w:val="auto"/>
              </w:rPr>
            </w:pPr>
          </w:p>
        </w:tc>
        <w:tc>
          <w:tcPr>
            <w:tcW w:w="17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280" w:type="dxa"/>
            <w:vAlign w:val="bottom"/>
          </w:tcPr>
          <w:p>
            <w:pPr>
              <w:spacing w:after="0"/>
              <w:rPr>
                <w:sz w:val="18"/>
                <w:szCs w:val="18"/>
                <w:color w:val="auto"/>
              </w:rPr>
            </w:pPr>
          </w:p>
        </w:tc>
        <w:tc>
          <w:tcPr>
            <w:tcW w:w="16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Finance Leases</w:t>
            </w:r>
          </w:p>
        </w:tc>
      </w:tr>
      <w:tr>
        <w:trPr>
          <w:trHeight w:val="213"/>
        </w:trPr>
        <w:tc>
          <w:tcPr>
            <w:tcW w:w="730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Six months ending December 31, 2024</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3,076</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13"/>
        </w:trPr>
        <w:tc>
          <w:tcPr>
            <w:tcW w:w="73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Year ending December 31, 2025</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19"/>
        </w:trPr>
        <w:tc>
          <w:tcPr>
            <w:tcW w:w="7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Year ending December 31, 2026</w:t>
            </w: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3"/>
        </w:trPr>
        <w:tc>
          <w:tcPr>
            <w:tcW w:w="73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Year ending December 31, 2027</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Year ending December 31, 2028</w:t>
            </w: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3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Year ending December 31, 2029</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Thereafter</w:t>
            </w:r>
          </w:p>
        </w:tc>
        <w:tc>
          <w:tcPr>
            <w:tcW w:w="2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73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Total undiscounted lease payments</w:t>
            </w:r>
          </w:p>
        </w:tc>
        <w:tc>
          <w:tcPr>
            <w:tcW w:w="2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33,729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r>
      <w:tr>
        <w:trPr>
          <w:trHeight w:val="219"/>
        </w:trPr>
        <w:tc>
          <w:tcPr>
            <w:tcW w:w="73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Less: imputed interest</w:t>
            </w:r>
          </w:p>
        </w:tc>
        <w:tc>
          <w:tcPr>
            <w:tcW w:w="2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07"/>
        </w:trPr>
        <w:tc>
          <w:tcPr>
            <w:tcW w:w="73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Total lease liabilities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27,250</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w:t>
            </w:r>
          </w:p>
        </w:tc>
      </w:tr>
      <w:tr>
        <w:trPr>
          <w:trHeight w:val="23"/>
        </w:trPr>
        <w:tc>
          <w:tcPr>
            <w:tcW w:w="7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bl>
    <w:p>
      <w:pPr>
        <w:spacing w:after="0" w:line="28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Fair Value of Financial Instruments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assets and liabilities measured at fair value on a recurring and nonrecurring basis, a three-level hierarchy of measurements based upon observable and unobservable inputs is used to arrive at fair value. Observable inputs are developed based on market data obtained from independent sources, while unobservable inputs reflect the Company’s assumptions about valuation based on the best information available in the circumstances. Depending on the inputs, the Company classifies each fair-value measurement as follows:</w:t>
      </w:r>
    </w:p>
    <w:p>
      <w:pPr>
        <w:spacing w:after="0" w:line="72"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based on quoted prices in active markets for identical assets or liabilities;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based on other significant observable inputs for the assets or liabilities through corroborations with market data at the measurement date; and</w:t>
      </w:r>
    </w:p>
    <w:p>
      <w:pPr>
        <w:ind w:left="660" w:hanging="328"/>
        <w:spacing w:after="0" w:line="26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based on significant unobservable inputs that reflect management’s best estimate of what market participants would use to price the assets or liabilities at the measurement date.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 Measured at Carrying Value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Assets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Cash and cash equivalents (Level 1) are measured at carrying value, which approximates fair value because of the short-term maturities of these instruments.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measured its revolving credit facility and other short-term financing at original carrying value. Unamortized financing costs and deferred fees of $0.1 million and $0.2 million as of June 30, 2024 and December 31, 2023, respectively, on the revolving credit facility are classified in </w:t>
      </w:r>
      <w:r>
        <w:rPr>
          <w:rFonts w:ascii="Times New Roman" w:cs="Times New Roman" w:eastAsia="Times New Roman" w:hAnsi="Times New Roman"/>
          <w:sz w:val="18"/>
          <w:szCs w:val="18"/>
          <w:i w:val="1"/>
          <w:iCs w:val="1"/>
          <w:color w:val="auto"/>
        </w:rPr>
        <w:t>Prepaid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expenses and other current assets </w:t>
      </w:r>
      <w:r>
        <w:rPr>
          <w:rFonts w:ascii="Times New Roman" w:cs="Times New Roman" w:eastAsia="Times New Roman" w:hAnsi="Times New Roman"/>
          <w:sz w:val="18"/>
          <w:szCs w:val="18"/>
          <w:color w:val="auto"/>
        </w:rPr>
        <w:t>on the Consolidated Balance Sheet. The fair value of the revolving credit facility and other short-term financing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approximated carrying value, as it consisted primarily of short-term variable rate loans. The Company measured its non-interest bearing note payable using a rate which the Company could obtain financing of similar nature from other sources at the date of the transaction. The unamortized discount is reported in the Consolidated Balance Sheet as a deduction from the face amount of the note payable. The Company measured its material debt obligations and note payable using Level 2 inputs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gridSpan w:val="5"/>
          </w:tcPr>
          <w:p>
            <w:pPr>
              <w:ind w:left="880"/>
              <w:spacing w:after="0"/>
              <w:rPr>
                <w:sz w:val="20"/>
                <w:szCs w:val="20"/>
                <w:color w:val="auto"/>
              </w:rPr>
            </w:pPr>
            <w:r>
              <w:rPr>
                <w:rFonts w:ascii="Times New Roman" w:cs="Times New Roman" w:eastAsia="Times New Roman" w:hAnsi="Times New Roman"/>
                <w:sz w:val="16"/>
                <w:szCs w:val="16"/>
                <w:b w:val="1"/>
                <w:bCs w:val="1"/>
                <w:color w:val="auto"/>
              </w:rPr>
              <w:t>As of June 30, 2024</w:t>
            </w:r>
          </w:p>
        </w:tc>
        <w:tc>
          <w:tcPr>
            <w:tcW w:w="4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r>
      <w:tr>
        <w:trPr>
          <w:trHeight w:val="233"/>
        </w:trPr>
        <w:tc>
          <w:tcPr>
            <w:tcW w:w="3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4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r>
      <w:tr>
        <w:trPr>
          <w:trHeight w:val="214"/>
        </w:trPr>
        <w:tc>
          <w:tcPr>
            <w:tcW w:w="3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400" w:type="dxa"/>
            <w:vAlign w:val="bottom"/>
          </w:tcPr>
          <w:p>
            <w:pPr>
              <w:spacing w:after="0"/>
              <w:rPr>
                <w:sz w:val="18"/>
                <w:szCs w:val="18"/>
                <w:color w:val="auto"/>
              </w:rPr>
            </w:pPr>
          </w:p>
        </w:tc>
        <w:tc>
          <w:tcPr>
            <w:tcW w:w="1940" w:type="dxa"/>
            <w:vAlign w:val="bottom"/>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66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400" w:type="dxa"/>
            <w:vAlign w:val="bottom"/>
          </w:tcPr>
          <w:p>
            <w:pPr>
              <w:spacing w:after="0"/>
              <w:rPr>
                <w:sz w:val="18"/>
                <w:szCs w:val="18"/>
                <w:color w:val="auto"/>
              </w:rPr>
            </w:pPr>
          </w:p>
        </w:tc>
        <w:tc>
          <w:tcPr>
            <w:tcW w:w="148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11"/>
        </w:trPr>
        <w:tc>
          <w:tcPr>
            <w:tcW w:w="3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Revolving credit facility</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 payable</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40" w:type="dxa"/>
            <w:vAlign w:val="bottom"/>
            <w:gridSpan w:val="3"/>
          </w:tcPr>
          <w:p>
            <w:pPr>
              <w:ind w:left="126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ind w:left="1260"/>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financing</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940" w:type="dxa"/>
            <w:vAlign w:val="bottom"/>
            <w:gridSpan w:val="3"/>
            <w:shd w:val="clear" w:color="auto" w:fill="CCEEFF"/>
          </w:tcPr>
          <w:p>
            <w:pPr>
              <w:ind w:left="126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94,820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8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6"/>
                <w:szCs w:val="16"/>
                <w:color w:val="auto"/>
              </w:rPr>
              <w:t>—</w:t>
            </w:r>
          </w:p>
        </w:tc>
      </w:tr>
    </w:tbl>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gridSpan w:val="5"/>
          </w:tcPr>
          <w:p>
            <w:pPr>
              <w:ind w:left="70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4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r>
      <w:tr>
        <w:trPr>
          <w:trHeight w:val="234"/>
        </w:trPr>
        <w:tc>
          <w:tcPr>
            <w:tcW w:w="3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4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r>
      <w:tr>
        <w:trPr>
          <w:trHeight w:val="214"/>
        </w:trPr>
        <w:tc>
          <w:tcPr>
            <w:tcW w:w="3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400" w:type="dxa"/>
            <w:vAlign w:val="bottom"/>
          </w:tcPr>
          <w:p>
            <w:pPr>
              <w:spacing w:after="0"/>
              <w:rPr>
                <w:sz w:val="18"/>
                <w:szCs w:val="18"/>
                <w:color w:val="auto"/>
              </w:rPr>
            </w:pPr>
          </w:p>
        </w:tc>
        <w:tc>
          <w:tcPr>
            <w:tcW w:w="1940" w:type="dxa"/>
            <w:vAlign w:val="bottom"/>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66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400" w:type="dxa"/>
            <w:vAlign w:val="bottom"/>
          </w:tcPr>
          <w:p>
            <w:pPr>
              <w:spacing w:after="0"/>
              <w:rPr>
                <w:sz w:val="18"/>
                <w:szCs w:val="18"/>
                <w:color w:val="auto"/>
              </w:rPr>
            </w:pPr>
          </w:p>
        </w:tc>
        <w:tc>
          <w:tcPr>
            <w:tcW w:w="148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11"/>
        </w:trPr>
        <w:tc>
          <w:tcPr>
            <w:tcW w:w="3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Revolving credit facility</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financing</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94,820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40" w:type="dxa"/>
            <w:vAlign w:val="bottom"/>
            <w:gridSpan w:val="3"/>
          </w:tcPr>
          <w:p>
            <w:pPr>
              <w:ind w:left="126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94,820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ind w:left="1260"/>
              <w:spacing w:after="0"/>
              <w:rPr>
                <w:sz w:val="20"/>
                <w:szCs w:val="20"/>
                <w:color w:val="auto"/>
              </w:rPr>
            </w:pPr>
            <w:r>
              <w:rPr>
                <w:rFonts w:ascii="Times New Roman" w:cs="Times New Roman" w:eastAsia="Times New Roman" w:hAnsi="Times New Roman"/>
                <w:sz w:val="16"/>
                <w:szCs w:val="16"/>
                <w:color w:val="auto"/>
              </w:rPr>
              <w:t>—</w:t>
            </w: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Financial Assets and Liabilities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addition to the methods and assumptions used for the financial instruments discussed above, accounts receivable, net, income tax receivable, accounts payable, and certain accrued expenses are measured at carrying value, which approximates fair value (Level 1) because of the short-term maturities of these instruments.</w:t>
      </w:r>
    </w:p>
    <w:p>
      <w:pPr>
        <w:spacing w:after="0" w:line="17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Contingencies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legal matters discussed below and others could result in losses, including damages, fines, civil penalties and criminal charges, which could be substantial. The Company records accruals for these contingencies to the extent the Company concludes that a loss is both probable and reasonably estimable. Regarding the matters disclosed below, unless otherwise disclosed, the Company has determined that liabilities associated with these legal matters are reasonably possible; however, unless otherwise stated, the possible loss or range of possible loss cannot be reasonably estimated. Given the nature of the litigation and investigations and the complexities involved, the Company is unable to reasonably estimate a possible loss for all such matters until the Company knows, among other factors, the following:</w:t>
      </w:r>
    </w:p>
    <w:p>
      <w:pPr>
        <w:spacing w:after="0" w:line="79"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what claims, if any, will survive dispositive motion practice;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the claims, particularly when damages are not specified or are indeterminate;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the discovery process will affect the litigation;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settlement posture of the other parties to the litigation;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factors that may have a material effect on the litigation or investigation.</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However, the Company could incur judgments, enter into settlements or revise its expectations regarding the outcome of certain matters, and such developments could have a material adverse effect on the Company’s results of operations in the period in which the amounts are accrued and/or liquidity in the period in which the amounts are paid.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and Exchange Commission and United States Attorney’s Office (“USAO”) for the Northern District of Illinois Investigations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2020, the Company entered into agreements with the SEC and the USAO to resolve the investigations into the Company’s past revenue recognition practices. Under the settled administrative order with the SEC, the Company committed to remediate the deficiencies in its internal control over financial reporting that constituted material weaknesses identified in its 2017 Form 10-K filed in May 2019 by April 30, 2021 unless an extension was provided by the SEC. On April 12, 2021, the SEC granted the Company’s request for an extension of time until March 31, 2022 in which to comply with the requirements of the administrative order to remediate the remaining outstanding material weaknesses. In April 2022, the SEC granted a further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0" w:name="page21"/>
    <w:bookmarkEnd w:id="20"/>
    <w:p>
      <w:pPr>
        <w:jc w:val="both"/>
        <w:spacing w:after="0" w:line="266" w:lineRule="auto"/>
        <w:rPr>
          <w:sz w:val="20"/>
          <w:szCs w:val="20"/>
          <w:color w:val="auto"/>
        </w:rPr>
      </w:pPr>
      <w:r>
        <w:rPr>
          <w:rFonts w:ascii="Times New Roman" w:cs="Times New Roman" w:eastAsia="Times New Roman" w:hAnsi="Times New Roman"/>
          <w:sz w:val="18"/>
          <w:szCs w:val="18"/>
          <w:color w:val="auto"/>
        </w:rPr>
        <w:t>extension of time until March 31, 2023 to fully comply with the administrative order. In May 2023, the Company submitted documentation to the SEC for its review to assess the Company’s compliance with the administrative order. In July 2023, the Company was notified by the SEC that no additional information was required with respect to the administrative order.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Jerome Treadwell v. the Company</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In October 2018, a punitive class-action complaint was filed against the Company and NOVAtime Technology, Inc. (“NOVAtime” or “Plaintiff”) in the Circuit Court of Cook County, Illinois. In December 2018, NOVAtime removed the case to the U.S. District Court for the Northern District of Illinois, Eastern Division (the “Court”) under the Class Action Fairness Act. Plaintiff has since voluntarily dismissed NOVAtime from the lawsuit without prejudice and filed an amended complaint in April 2019. The operative, amended complaint asserts violations of the Illinois Biometric Information Privacy Act (“BIPA”) in connection with employees’ use of the time clock to clock in and clock out using a finger scan and seeks statutory damages, attorneys’ fees, and injunctive and equitable relief. An aggrieved party under BIPA may recover (i) $1,000 per violation if the Company is found to have negligently violated BIPA or (ii) $5,000 per violation if the Company is found to have intentionally or recklessly violated BIPA plus reasonable attorneys’ fees. In May 2019, the Company filed its motion to dismiss the Plaintiff’s amended complaint. In December 2019, the court denied the Company’s motion to dismiss. In January 2020, the Company moved for reconsideration of the Court’s order denying the motion to dismiss, or in the alternative, to stay the case pending the Illinois Appellate Court’s ruling in </w:t>
      </w:r>
      <w:r>
        <w:rPr>
          <w:rFonts w:ascii="Times New Roman" w:cs="Times New Roman" w:eastAsia="Times New Roman" w:hAnsi="Times New Roman"/>
          <w:sz w:val="18"/>
          <w:szCs w:val="18"/>
          <w:i w:val="1"/>
          <w:iCs w:val="1"/>
          <w:color w:val="auto"/>
        </w:rPr>
        <w:t>McDonald v. Symphony Healthcare</w:t>
      </w:r>
      <w:r>
        <w:rPr>
          <w:rFonts w:ascii="Times New Roman" w:cs="Times New Roman" w:eastAsia="Times New Roman" w:hAnsi="Times New Roman"/>
          <w:sz w:val="18"/>
          <w:szCs w:val="18"/>
          <w:color w:val="auto"/>
        </w:rPr>
        <w:t xml:space="preserve"> on a legal question that would be potentially dispositive in this matter. In February 2020, the Court denied the Company’s motion for reconsideration, but required the parties to submit additional briefing on the Company’s motion to stay. In April 2020, the Court granted the Company’s motion to stay and stayed the case pending the Illinois Appellate Court’s ruling in </w:t>
      </w:r>
      <w:r>
        <w:rPr>
          <w:rFonts w:ascii="Times New Roman" w:cs="Times New Roman" w:eastAsia="Times New Roman" w:hAnsi="Times New Roman"/>
          <w:sz w:val="18"/>
          <w:szCs w:val="18"/>
          <w:i w:val="1"/>
          <w:iCs w:val="1"/>
          <w:color w:val="auto"/>
        </w:rPr>
        <w:t>McDonald v. Symphony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Healthcare</w:t>
      </w:r>
      <w:r>
        <w:rPr>
          <w:rFonts w:ascii="Times New Roman" w:cs="Times New Roman" w:eastAsia="Times New Roman" w:hAnsi="Times New Roman"/>
          <w:sz w:val="18"/>
          <w:szCs w:val="18"/>
          <w:color w:val="auto"/>
        </w:rPr>
        <w:t>. In October 2020, after the</w:t>
      </w:r>
      <w:r>
        <w:rPr>
          <w:rFonts w:ascii="Times New Roman" w:cs="Times New Roman" w:eastAsia="Times New Roman" w:hAnsi="Times New Roman"/>
          <w:sz w:val="18"/>
          <w:szCs w:val="18"/>
          <w:i w:val="1"/>
          <w:iCs w:val="1"/>
          <w:color w:val="auto"/>
        </w:rPr>
        <w:t xml:space="preserve"> McDonald </w:t>
      </w:r>
      <w:r>
        <w:rPr>
          <w:rFonts w:ascii="Times New Roman" w:cs="Times New Roman" w:eastAsia="Times New Roman" w:hAnsi="Times New Roman"/>
          <w:sz w:val="18"/>
          <w:szCs w:val="18"/>
          <w:color w:val="auto"/>
        </w:rPr>
        <w:t>ruling, the Court granted the parties’ joint request to continue the stay of the case for 60 days. The Court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also ordered the parties to schedule a settlement conference with the Magistrate Judge in May 2021 which went forward without a settlement being reached. On May 22, 2023, the Company filed the answer to the amended complaint. Plaintiff and PSI have since reached a preliminary settlement of the case, and Plaintiff filed an Unopposed Motion for Preliminary Approval of Class Action Settlement on February 23, 2024, which is currently pending with the Court. As of both June 30, 2024 and December 31, 2023, the Company had recorded an estimated liability of $2.4 million, recorded within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accrued liabilities </w:t>
      </w:r>
      <w:r>
        <w:rPr>
          <w:rFonts w:ascii="Times New Roman" w:cs="Times New Roman" w:eastAsia="Times New Roman" w:hAnsi="Times New Roman"/>
          <w:sz w:val="18"/>
          <w:szCs w:val="18"/>
          <w:color w:val="auto"/>
        </w:rPr>
        <w:t>on the Consolidated Balance Sheet related to the potential settlement of this matter.</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Mast Powertrain v. the Company</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February 2020, the Company received a demand for arbitration from Mast Powertrain, LLC (“Mast”) pursuant to a development agreement entered into in November 2011 (the “Development Agreement”). Mast claimed that it was owed more than $9.0 million in past royalties and other damages for products sold by the Company pursuant to the Development Agreement. The Company disputed Mast’s damages, denied that any royalties are owed to Mast, denied any liability, and counterclaimed for overpayment on invoices paid to Mast. Mast subsequently clarified its claim for past royalties owed to be approximately $4.5 million. In July 2021, the Company reached a settlement with Mast to resolve past claims for royalties owed for $1.5 million which the Company had previously recorded within </w:t>
      </w: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xml:space="preserve"> in the Consolidated Statement of Income for the year-ended December 31, 2020. The Company fully paid the settlement and had no recognized liability as of both June 30, 2024 and 2023. In September 2023, Mast filed a lawsuit against the Company in the Eastern District of Texas Federal Court (“Court”), alleging, among other things, damages of approximately $6.0 million for fraudulent inducement leading to the 2021 arbitration settlement agreement and breach of said settlement agreement. Upon court order, the Company participated in mediation in May 2024, and no settlement was reached. The Company has filed a motion to stay the lawsuit and compel it to arbitration, and that motion is currently pending. As of both June 30, 2024 and December 31, 2023, the Company had recorded an estimated liability of $0.9 million, recorded within </w:t>
      </w:r>
      <w:r>
        <w:rPr>
          <w:rFonts w:ascii="Times New Roman" w:cs="Times New Roman" w:eastAsia="Times New Roman" w:hAnsi="Times New Roman"/>
          <w:sz w:val="18"/>
          <w:szCs w:val="18"/>
          <w:i w:val="1"/>
          <w:iCs w:val="1"/>
          <w:color w:val="auto"/>
        </w:rPr>
        <w:t>Other accrued liabilities</w:t>
      </w:r>
      <w:r>
        <w:rPr>
          <w:rFonts w:ascii="Times New Roman" w:cs="Times New Roman" w:eastAsia="Times New Roman" w:hAnsi="Times New Roman"/>
          <w:sz w:val="18"/>
          <w:szCs w:val="18"/>
          <w:color w:val="auto"/>
        </w:rPr>
        <w:t xml:space="preserve"> on the Consolidated Balance Sheet related to the potential settlement of this matter.</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Gary Winemaster Litigation v. The Company</w:t>
      </w:r>
    </w:p>
    <w:p>
      <w:pPr>
        <w:spacing w:after="0" w:line="10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 xml:space="preserve">In August 2021, the Company’s former Chairman of the Board and former Chief Executive Officer and President, Gary Winemaster (“Winemaster”) filed suit in the Court of Chancery of the State of Delaware against the Company and Travelers Casualty and Surety Company of America (“Travelers”) alleging the Company’s breach of its advancement obligations under Winemaster’s indemnification agreement and Travelers’ breach of the side A policy between Traveler’s and the Company of which Winemaster is a beneficiary. In his complaint, Winemaster was seeking reimbursement under his indemnification agreement in excess of $7.2 million of attorney’s fees plus interest incurred by Winemaster in his defense of the Department of Justice (“DOJ”) case, </w:t>
      </w:r>
      <w:r>
        <w:rPr>
          <w:rFonts w:ascii="Times New Roman" w:cs="Times New Roman" w:eastAsia="Times New Roman" w:hAnsi="Times New Roman"/>
          <w:sz w:val="18"/>
          <w:szCs w:val="18"/>
          <w:i w:val="1"/>
          <w:iCs w:val="1"/>
          <w:color w:val="auto"/>
        </w:rPr>
        <w:t>U.S.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Winemaster et al. </w:t>
      </w:r>
      <w:r>
        <w:rPr>
          <w:rFonts w:ascii="Times New Roman" w:cs="Times New Roman" w:eastAsia="Times New Roman" w:hAnsi="Times New Roman"/>
          <w:sz w:val="18"/>
          <w:szCs w:val="18"/>
          <w:color w:val="auto"/>
        </w:rPr>
        <w:t>Since the filing of the complaint, the Company estimates that Travelers has paid approximately $8.8 million to Winemaster’s attorneys,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Latham and Watkins, under the Company’s side A policy to settle existing outstanding attorney’s fees. Travelers is seeking reimbursement from the Company for those advances pursuant to the terms of the side A policy. In October 2021, the Company and Winemaster entered into a Stipulation and Advancement Order to handle all future attorney’s fees relating to his DOJ and SEC cases, to the extent not reimbursed by Travelers under the side A policy. As of December 31, 2023, the Company had approximately $8.8 million accrued for the reimbursement to Travelers recorded within </w:t>
      </w:r>
      <w:r>
        <w:rPr>
          <w:rFonts w:ascii="Times New Roman" w:cs="Times New Roman" w:eastAsia="Times New Roman" w:hAnsi="Times New Roman"/>
          <w:sz w:val="18"/>
          <w:szCs w:val="18"/>
          <w:i w:val="1"/>
          <w:iCs w:val="1"/>
          <w:color w:val="auto"/>
        </w:rPr>
        <w:t>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payable </w:t>
      </w:r>
      <w:r>
        <w:rPr>
          <w:rFonts w:ascii="Times New Roman" w:cs="Times New Roman" w:eastAsia="Times New Roman" w:hAnsi="Times New Roman"/>
          <w:sz w:val="18"/>
          <w:szCs w:val="18"/>
          <w:color w:val="auto"/>
        </w:rPr>
        <w:t>on the Consolidated Balance Sheet. In June 2024, the Company reached a settlement with</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1" w:name="page22"/>
    <w:bookmarkEnd w:id="21"/>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Travelers for $4.5 million, resulting in a $4.3 million gain that was recorded within Selling, General and Administrative expenses on the Consolidated Statements of Income. As of June 30, 2024, the Company recorded the aforementioned settlement liability within </w:t>
      </w:r>
      <w:r>
        <w:rPr>
          <w:rFonts w:ascii="Times New Roman" w:cs="Times New Roman" w:eastAsia="Times New Roman" w:hAnsi="Times New Roman"/>
          <w:sz w:val="18"/>
          <w:szCs w:val="18"/>
          <w:i w:val="1"/>
          <w:iCs w:val="1"/>
          <w:color w:val="auto"/>
        </w:rPr>
        <w:t>Other noncurrent liabilities</w:t>
      </w:r>
      <w:r>
        <w:rPr>
          <w:rFonts w:ascii="Times New Roman" w:cs="Times New Roman" w:eastAsia="Times New Roman" w:hAnsi="Times New Roman"/>
          <w:sz w:val="18"/>
          <w:szCs w:val="18"/>
          <w:color w:val="auto"/>
        </w:rPr>
        <w:t xml:space="preserve"> with the current portion within </w:t>
      </w:r>
      <w:r>
        <w:rPr>
          <w:rFonts w:ascii="Times New Roman" w:cs="Times New Roman" w:eastAsia="Times New Roman" w:hAnsi="Times New Roman"/>
          <w:sz w:val="18"/>
          <w:szCs w:val="18"/>
          <w:i w:val="1"/>
          <w:iCs w:val="1"/>
          <w:color w:val="auto"/>
        </w:rPr>
        <w:t>Other accrued liabilities</w:t>
      </w:r>
      <w:r>
        <w:rPr>
          <w:rFonts w:ascii="Times New Roman" w:cs="Times New Roman" w:eastAsia="Times New Roman" w:hAnsi="Times New Roman"/>
          <w:sz w:val="18"/>
          <w:szCs w:val="18"/>
          <w:color w:val="auto"/>
        </w:rPr>
        <w:t xml:space="preserve"> on the Consolidated Balance Sheet.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Jeffrey Ehlers and Rick Lulloff Litigation</w:t>
      </w:r>
    </w:p>
    <w:p>
      <w:pPr>
        <w:spacing w:after="0" w:line="10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In September 2021, Jeffrey Ehlers (“Ehlers”) and Rick Lulloff (“Lulloff”), former employees of the Company, made demand against the Company for approximately $2.4 million and $1.2 million, respectively, for alleged wages due and owing under each employee’s employment contract related to “Incentive Bonuses” for revenues generated in the Company’s transportation end market. In November 2021, Ehlers and Lulloff separately filed complaints against the Company in the Circuit Court of Cook County, Illinois, alleging breach of contract and violations of the Illinois Wage and Payment Collection Act incorporating their claims in the above referenced demand letter. The Company filed a notice of removal from the Circuit Court of Cook County, Illinois and has also moved to consolidate the cases, which has been granted by the Court. In December 2022, the Company reached a settlement with both Ehlers and Lulloff, for $0.8 million and $0.5 million, respectively. As of December 31, 2022, the Company had recorded the aforementioned settlement liabilities within </w:t>
      </w:r>
      <w:r>
        <w:rPr>
          <w:rFonts w:ascii="Times New Roman" w:cs="Times New Roman" w:eastAsia="Times New Roman" w:hAnsi="Times New Roman"/>
          <w:sz w:val="18"/>
          <w:szCs w:val="18"/>
          <w:i w:val="1"/>
          <w:iCs w:val="1"/>
          <w:color w:val="auto"/>
        </w:rPr>
        <w:t>Other accrued liabilities</w:t>
      </w:r>
      <w:r>
        <w:rPr>
          <w:rFonts w:ascii="Times New Roman" w:cs="Times New Roman" w:eastAsia="Times New Roman" w:hAnsi="Times New Roman"/>
          <w:sz w:val="18"/>
          <w:szCs w:val="18"/>
          <w:color w:val="auto"/>
        </w:rPr>
        <w:t xml:space="preserve"> on the Consolidated Balance Sheet. As of December 31, 2023, the Company paid the settlement in full to both Ehlers and Lulloff.</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holds a directors’ and officers’ liability insurance policy, which is renewed annually and expires in July 2025. The insurance policy includes standard exclusions including for any ongoing or pending litigation such as the previously disclosed investigations by the SEC and USAO.</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Commitments and Contingencies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At June 30, 2024, the Company had four outstanding letters of credit totaling $1.4 million. The letters of credit primarily serve as collateral for the Company for certain facility leases and insurance policies. As discussed in Note 1. </w:t>
      </w:r>
      <w:r>
        <w:rPr>
          <w:rFonts w:ascii="Times New Roman" w:cs="Times New Roman" w:eastAsia="Times New Roman" w:hAnsi="Times New Roman"/>
          <w:sz w:val="18"/>
          <w:szCs w:val="18"/>
          <w:i w:val="1"/>
          <w:iCs w:val="1"/>
          <w:color w:val="auto"/>
        </w:rPr>
        <w:t>Summary of Significant Accounting Policies and Other Information</w:t>
      </w:r>
      <w:r>
        <w:rPr>
          <w:rFonts w:ascii="Times New Roman" w:cs="Times New Roman" w:eastAsia="Times New Roman" w:hAnsi="Times New Roman"/>
          <w:sz w:val="18"/>
          <w:szCs w:val="18"/>
          <w:color w:val="auto"/>
        </w:rPr>
        <w:t>, the Company had restricted cash of $3.2 million as of June 30, 2024, related to these letters of credit and cash held in escrow due to a customer agreement.</w:t>
      </w:r>
    </w:p>
    <w:p>
      <w:pPr>
        <w:spacing w:after="0" w:line="17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Note 11.</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a quarterly basis, the Company computes an estimated annual effective tax rate considering ordinary income and related income tax expense. Ordinary income refers to income before income tax expense excluding significant, unusual or infrequently occurring items. The tax effect of an unusual or infrequently occurring item is recorded in the interim period in which it occurs.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assessed the need to maintain a valuation allowance for deferred tax assets based on an assessment of whether it is more likely than not that deferred tax benefits will be realized through the generation of future taxable income. Appropriate consideration is given to all available evidence, both positive and negative, in assessing the need for a valuation allowance. In assessing the realizability of the Company’s deferred tax assets, the Company considered whether it is more likely than not that some or all of the deferred tax assets will be realized through the generation of future taxable income. In making this determination, the Company assessed all of the evidence available at the time, including recent earnings, forecasted income projections and historical performance. The Company determined that the negative evidence outweighed the objectively verifiable positive evidence and continues to maintain a full valuation allowance against deferred tax assets.</w:t>
      </w:r>
    </w:p>
    <w:p>
      <w:pPr>
        <w:spacing w:after="0" w:line="6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effective tax rate for the three and six months ended June 30, 2024 was 4.0% and 3.7%, respectively, compared to an effective tax rate for both the three and six months ended June 30, 2023 of 3.6%. The effective tax rates for all periods were significantly different than the applicable U.S. statutory tax rate. For both the three and six months ended June 30, 2024, the difference between the effective and statutory tax rates was primarily due to the Company’s full valuation allowance.</w:t>
      </w:r>
    </w:p>
    <w:p>
      <w:pPr>
        <w:sectPr>
          <w:pgSz w:w="11900" w:h="16838" w:orient="portrait"/>
          <w:cols w:equalWidth="0" w:num="1">
            <w:col w:w="11240"/>
          </w:cols>
          <w:pgMar w:left="320" w:top="1093" w:right="339" w:bottom="1440" w:gutter="0" w:footer="0" w:header="0"/>
        </w:sectPr>
      </w:pPr>
    </w:p>
    <w:p>
      <w:pPr>
        <w:spacing w:after="0" w:line="19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7"/>
          <w:szCs w:val="17"/>
          <w:b w:val="1"/>
          <w:bCs w:val="1"/>
          <w:color w:val="auto"/>
        </w:rPr>
        <w:t>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and Treasury Stock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shares of Common and Treasury Stock are as follows:</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 thousands)</w:t>
      </w: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p>
      <w:pPr>
        <w:spacing w:after="0" w:line="3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Net shares issued for Stock awards</w:t>
      </w:r>
    </w:p>
    <w:p>
      <w:pPr>
        <w:spacing w:after="0" w:line="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0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Common Shares Issued</w:t>
            </w:r>
          </w:p>
        </w:tc>
        <w:tc>
          <w:tcPr>
            <w:tcW w:w="20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Treasury Stock Shares</w:t>
            </w:r>
          </w:p>
        </w:tc>
        <w:tc>
          <w:tcPr>
            <w:tcW w:w="190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Common Shares</w:t>
            </w:r>
          </w:p>
        </w:tc>
        <w:tc>
          <w:tcPr>
            <w:tcW w:w="0" w:type="dxa"/>
            <w:vAlign w:val="bottom"/>
          </w:tcPr>
          <w:p>
            <w:pPr>
              <w:spacing w:after="0"/>
              <w:rPr>
                <w:sz w:val="1"/>
                <w:szCs w:val="1"/>
                <w:color w:val="auto"/>
              </w:rPr>
            </w:pPr>
          </w:p>
        </w:tc>
      </w:tr>
      <w:tr>
        <w:trPr>
          <w:trHeight w:val="214"/>
        </w:trPr>
        <w:tc>
          <w:tcPr>
            <w:tcW w:w="2000" w:type="dxa"/>
            <w:vAlign w:val="bottom"/>
            <w:gridSpan w:val="2"/>
            <w:vMerge w:val="continue"/>
          </w:tcPr>
          <w:p>
            <w:pPr>
              <w:spacing w:after="0"/>
              <w:rPr>
                <w:sz w:val="18"/>
                <w:szCs w:val="18"/>
                <w:color w:val="auto"/>
              </w:rPr>
            </w:pPr>
          </w:p>
        </w:tc>
        <w:tc>
          <w:tcPr>
            <w:tcW w:w="2020" w:type="dxa"/>
            <w:vAlign w:val="bottom"/>
            <w:gridSpan w:val="2"/>
            <w:vMerge w:val="continue"/>
          </w:tcPr>
          <w:p>
            <w:pPr>
              <w:spacing w:after="0"/>
              <w:rPr>
                <w:sz w:val="18"/>
                <w:szCs w:val="18"/>
                <w:color w:val="auto"/>
              </w:rPr>
            </w:pPr>
          </w:p>
        </w:tc>
        <w:tc>
          <w:tcPr>
            <w:tcW w:w="19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0" w:type="dxa"/>
            <w:vAlign w:val="bottom"/>
          </w:tcPr>
          <w:p>
            <w:pPr>
              <w:spacing w:after="0"/>
              <w:rPr>
                <w:sz w:val="1"/>
                <w:szCs w:val="1"/>
                <w:color w:val="auto"/>
              </w:rPr>
            </w:pPr>
          </w:p>
        </w:tc>
      </w:tr>
      <w:tr>
        <w:trPr>
          <w:trHeight w:val="206"/>
        </w:trPr>
        <w:tc>
          <w:tcPr>
            <w:tcW w:w="1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23,117</w:t>
            </w:r>
          </w:p>
        </w:tc>
        <w:tc>
          <w:tcPr>
            <w:tcW w:w="100" w:type="dxa"/>
            <w:vAlign w:val="bottom"/>
          </w:tcPr>
          <w:p>
            <w:pPr>
              <w:spacing w:after="0"/>
              <w:rPr>
                <w:sz w:val="17"/>
                <w:szCs w:val="17"/>
                <w:color w:val="auto"/>
              </w:rPr>
            </w:pPr>
          </w:p>
        </w:tc>
        <w:tc>
          <w:tcPr>
            <w:tcW w:w="1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tcPr>
          <w:p>
            <w:pPr>
              <w:spacing w:after="0"/>
              <w:rPr>
                <w:sz w:val="17"/>
                <w:szCs w:val="17"/>
                <w:color w:val="auto"/>
              </w:rPr>
            </w:pPr>
          </w:p>
        </w:tc>
        <w:tc>
          <w:tcPr>
            <w:tcW w:w="1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22,968</w:t>
            </w:r>
          </w:p>
        </w:tc>
        <w:tc>
          <w:tcPr>
            <w:tcW w:w="0" w:type="dxa"/>
            <w:vAlign w:val="bottom"/>
          </w:tcPr>
          <w:p>
            <w:pPr>
              <w:spacing w:after="0"/>
              <w:rPr>
                <w:sz w:val="1"/>
                <w:szCs w:val="1"/>
                <w:color w:val="auto"/>
              </w:rPr>
            </w:pPr>
          </w:p>
        </w:tc>
      </w:tr>
      <w:tr>
        <w:trPr>
          <w:trHeight w:val="219"/>
        </w:trPr>
        <w:tc>
          <w:tcPr>
            <w:tcW w:w="200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0"/>
        </w:trPr>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23,117</w:t>
            </w:r>
          </w:p>
        </w:tc>
        <w:tc>
          <w:tcPr>
            <w:tcW w:w="100" w:type="dxa"/>
            <w:vAlign w:val="bottom"/>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20" w:type="dxa"/>
            <w:vAlign w:val="bottom"/>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22,975</w:t>
            </w:r>
          </w:p>
        </w:tc>
        <w:tc>
          <w:tcPr>
            <w:tcW w:w="0" w:type="dxa"/>
            <w:vAlign w:val="bottom"/>
          </w:tcPr>
          <w:p>
            <w:pPr>
              <w:spacing w:after="0"/>
              <w:rPr>
                <w:sz w:val="1"/>
                <w:szCs w:val="1"/>
                <w:color w:val="auto"/>
              </w:rPr>
            </w:pPr>
          </w:p>
        </w:tc>
      </w:tr>
      <w:tr>
        <w:trPr>
          <w:trHeight w:val="23"/>
        </w:trPr>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-462280</wp:posOffset>
            </wp:positionV>
            <wp:extent cx="7106285"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-179070</wp:posOffset>
            </wp:positionV>
            <wp:extent cx="7106285" cy="162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6285"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40" w:space="240"/>
            <w:col w:w="5960"/>
          </w:cols>
          <w:pgMar w:left="320" w:top="1093" w:right="339" w:bottom="144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Note 13. Earnings Per Share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computes basic earnings per share by dividing net income by the weighted-average common shares outstanding during the year. Diluted earnings per share is calculated to give effect to all potentially dilutive common shares that were outstanding during the year. Weighted-average diluted common shares outstanding primarily reflect the additional shares that would be issued upon the assumed exercise of stock options and the assumed vesting of unvested share awards. The treasury stock method has been used to compute diluted earnings per share for the three and six months ended June 30, 2024 and 2023.</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issued Stock Appreciation Rights (“SARs”) and Restricted Stock Awards (“RSAs”), all of which have been evaluated for their potentially dilutive effect under the treasury stock method. See Note 13.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xml:space="preserve"> in the Company’s 2023 Annual Report for additional information on the SARs and the RSAs.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computations of basic and diluted earnings per share are as follows:</w:t>
      </w:r>
    </w:p>
    <w:p>
      <w:pPr>
        <w:spacing w:after="0" w:line="160"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 except per share basis)</w:t>
            </w:r>
          </w:p>
        </w:tc>
        <w:tc>
          <w:tcPr>
            <w:tcW w:w="284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For the Three Months Ended June 30,</w:t>
            </w:r>
          </w:p>
        </w:tc>
        <w:tc>
          <w:tcPr>
            <w:tcW w:w="1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r>
      <w:tr>
        <w:trPr>
          <w:trHeight w:val="211"/>
        </w:trPr>
        <w:tc>
          <w:tcPr>
            <w:tcW w:w="55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5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3"/>
        </w:trPr>
        <w:tc>
          <w:tcPr>
            <w:tcW w:w="55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Net income – basic and diluted</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21,540</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28,655</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10,141</w:t>
            </w:r>
          </w:p>
        </w:tc>
      </w:tr>
      <w:tr>
        <w:trPr>
          <w:trHeight w:val="259"/>
        </w:trPr>
        <w:tc>
          <w:tcPr>
            <w:tcW w:w="55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14"/>
        </w:trPr>
        <w:tc>
          <w:tcPr>
            <w:tcW w:w="55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8"/>
        </w:trPr>
        <w:tc>
          <w:tcPr>
            <w:tcW w:w="5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Shares used in computing net income per share: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55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Weighted-average common shares outstanding – basic</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22,973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22,971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22,952</w:t>
            </w:r>
          </w:p>
        </w:tc>
      </w:tr>
      <w:tr>
        <w:trPr>
          <w:trHeight w:val="216"/>
        </w:trPr>
        <w:tc>
          <w:tcPr>
            <w:tcW w:w="5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2"/>
        </w:trPr>
        <w:tc>
          <w:tcPr>
            <w:tcW w:w="55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Weighted-average common shares outstanding – diluted</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22,993</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22,966</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22,983</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22,967</w:t>
            </w: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5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3"/>
        </w:trPr>
        <w:tc>
          <w:tcPr>
            <w:tcW w:w="55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Earnings per common share:</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26"/>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Earnings per share of common stock – basic</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0.44</w:t>
            </w:r>
          </w:p>
        </w:tc>
      </w:tr>
      <w:tr>
        <w:trPr>
          <w:trHeight w:val="210"/>
        </w:trPr>
        <w:tc>
          <w:tcPr>
            <w:tcW w:w="5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Earnings per share of common stock – diluted</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0.94</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0.44</w:t>
            </w:r>
          </w:p>
        </w:tc>
      </w:tr>
    </w:tbl>
    <w:p>
      <w:pPr>
        <w:spacing w:after="0" w:line="20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aggregate number of shares excluded from the diluted earnings per share calculations, because they would have been anti-dilutive, were 73 and 107 for the three months ended June 30, 2024 and 2023, respectively. For the six months ended June 30, 2024 and 2023, SARs and RSAs were not included in the diluted earnings per share calculations as they would have been anti-dilutive because the Company’s average stock price was less than or equal to the exercise price of the SARs or the grant price of the RSAs.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3" w:name="page24"/>
    <w:bookmarkEnd w:id="23"/>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14.</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Weichai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3. </w:t>
      </w:r>
      <w:r>
        <w:rPr>
          <w:rFonts w:ascii="Times New Roman" w:cs="Times New Roman" w:eastAsia="Times New Roman" w:hAnsi="Times New Roman"/>
          <w:sz w:val="18"/>
          <w:szCs w:val="18"/>
          <w:i w:val="1"/>
          <w:iCs w:val="1"/>
          <w:color w:val="auto"/>
        </w:rPr>
        <w:t>Weichai Transactions</w:t>
      </w:r>
      <w:r>
        <w:rPr>
          <w:rFonts w:ascii="Times New Roman" w:cs="Times New Roman" w:eastAsia="Times New Roman" w:hAnsi="Times New Roman"/>
          <w:sz w:val="18"/>
          <w:szCs w:val="18"/>
          <w:color w:val="auto"/>
        </w:rPr>
        <w:t xml:space="preserve"> for information regarding the Weichai Shareholder’s Loan Agreements and Collaboration Agreement</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Related Party Transactions</w:t>
      </w:r>
    </w:p>
    <w:p>
      <w:pPr>
        <w:spacing w:after="0" w:line="11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See Note 10.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for information regarding the Company’s indemnification obligations related to certain former directors and officers of the Company.</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24" w:name="page25"/>
    <w:bookmarkEnd w:id="24"/>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includes forward-looking statements about the Company’s business and consolidated results of operations for the three and six months ended June 30, 2024 and 2023, including discussions about management’s expectations for the Company’s business. These statements represent projections, beliefs and expectations based on current circumstances and conditions and are made in light of recent events and trends. These statements should not be construed either as assurances of performance or as promises of a given course of action. Instead, various known and unknown factors are likely to cause the Company’s actual performance and management’s actions to vary, and the results of these variances may be both material and adverse. See “Forward-Looking Statements” in this Quarterly Report. The following discussion should also be read in conjunction with the Company’s unaudited consolidated financial statements and the related Notes included in this Quarterly Report.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designs, engineers, manufactures, markets and sells a broad range of advanced, emission-certified engines and power systems that run on a wide variety of clean, alternative fuels, including natural gas, propane, and biofuels, as well as gasoline and diesel options, within the power systems, industrial and transportation end markets with primary manufacturing, assembly, engineering, research and development (“R&amp;D”), sales and distribution facilities located in suburban Chicago, Illinois and Darien and Beloit, Wisconsin. The Company provides highly engineered, comprehensive solutions designed to meet specific customer application requirements and technical specifications, including those imposed by environmental regulatory bodies, such as the U.S. Environment Protection Agency (“EPA”), the California Air Resource Board (“CARB”) and the People’s Republic of China’s Ministry of Ecology and Environment (“MEE”).</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products are primarily used by global original equipment manufacturers (“OEM”) and end-user customers across a wide range of applications and equipment that includes standby and prime power generation, demand response, microgrid, combined heat and power, arbor care, material handling (including forklifts), agricultural and turf, construction, pumps and irrigation, compressors, utility vehicles, light- and medium-duty vocational trucks, school and transit buses, and utility power. The Company manages the business as a single reporting segment.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by geographic area and by end market for the three and six months ended June 30, 2024 and 2023 are presented below:</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8"/>
          </w:tcPr>
          <w:p>
            <w:pPr>
              <w:ind w:left="660"/>
              <w:spacing w:after="0"/>
              <w:rPr>
                <w:sz w:val="20"/>
                <w:szCs w:val="20"/>
                <w:color w:val="auto"/>
              </w:rPr>
            </w:pPr>
            <w:r>
              <w:rPr>
                <w:rFonts w:ascii="Times New Roman" w:cs="Times New Roman" w:eastAsia="Times New Roman" w:hAnsi="Times New Roman"/>
                <w:sz w:val="16"/>
                <w:szCs w:val="16"/>
                <w:b w:val="1"/>
                <w:bCs w:val="1"/>
                <w:color w:val="auto"/>
              </w:rPr>
              <w:t>For the Three Months Ended June 30,</w:t>
            </w:r>
          </w:p>
        </w:tc>
        <w:tc>
          <w:tcPr>
            <w:tcW w:w="7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5"/>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c>
          <w:tcPr>
            <w:tcW w:w="7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86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7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7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Geographic Area</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 of Total</w:t>
            </w: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 of Total</w:t>
            </w: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of Total</w:t>
            </w: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of Total</w:t>
            </w: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United States</w:t>
            </w:r>
          </w:p>
        </w:tc>
        <w:tc>
          <w:tcPr>
            <w:tcW w:w="3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98,490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95,746</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180,762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188,862</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186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North America</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(outside of United</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color w:val="auto"/>
              </w:rPr>
              <w:t>5,457</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color w:val="auto"/>
              </w:rPr>
              <w:t>7,303</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10,303</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12,121</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1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States)</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Pacific Rim</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5,175</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12,379</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26,551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1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Europe</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1,431</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3,920</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2,891</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6,965</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Others</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33</w:t>
            </w:r>
          </w:p>
        </w:tc>
        <w:tc>
          <w:tcPr>
            <w:tcW w:w="114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2,517</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4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3,835</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186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00" w:type="dxa"/>
            <w:vAlign w:val="bottom"/>
            <w:tcBorders>
              <w:top w:val="single" w:sz="8" w:color="auto"/>
              <w:bottom w:val="single" w:sz="8" w:color="auto"/>
            </w:tcBorders>
            <w:gridSpan w:val="2"/>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110,586</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100 %</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121,865</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100 %</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205,826</w:t>
            </w: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100 %</w:t>
            </w:r>
          </w:p>
        </w:tc>
        <w:tc>
          <w:tcPr>
            <w:tcW w:w="2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238,334</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100 %</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8"/>
        </w:trPr>
        <w:tc>
          <w:tcPr>
            <w:tcW w:w="1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Three Months Ended June 30,</w:t>
            </w: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2"/>
          </w:tcPr>
          <w:p>
            <w:pPr>
              <w:ind w:left="6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7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End Market</w:t>
            </w:r>
          </w:p>
        </w:tc>
        <w:tc>
          <w:tcPr>
            <w:tcW w:w="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of Total</w:t>
            </w: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of Total</w:t>
            </w: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of Total</w:t>
            </w: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of Total</w:t>
            </w: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Power Systems</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73,087</w:t>
            </w: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66 %</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54,452</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135,049</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99,086</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1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Industrial</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31,514</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29 %</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45,590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60,258</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88,465</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1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Transportation</w:t>
            </w:r>
          </w:p>
        </w:tc>
        <w:tc>
          <w:tcPr>
            <w:tcW w:w="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5,985</w:t>
            </w:r>
          </w:p>
        </w:tc>
        <w:tc>
          <w:tcPr>
            <w:tcW w:w="94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5 %</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21,823</w:t>
            </w: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10,519</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50,783</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186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Totals</w:t>
            </w:r>
          </w:p>
        </w:tc>
        <w:tc>
          <w:tcPr>
            <w:tcW w:w="6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110,586</w:t>
            </w:r>
          </w:p>
        </w:tc>
        <w:tc>
          <w:tcPr>
            <w:tcW w:w="9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100 %</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121,865</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100 %</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205,826</w:t>
            </w: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100 %</w:t>
            </w:r>
          </w:p>
        </w:tc>
        <w:tc>
          <w:tcPr>
            <w:tcW w:w="24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238,334</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100 %</w:t>
            </w:r>
          </w:p>
        </w:tc>
        <w:tc>
          <w:tcPr>
            <w:tcW w:w="0" w:type="dxa"/>
            <w:vAlign w:val="bottom"/>
          </w:tcPr>
          <w:p>
            <w:pPr>
              <w:spacing w:after="0"/>
              <w:rPr>
                <w:sz w:val="1"/>
                <w:szCs w:val="1"/>
                <w:color w:val="auto"/>
              </w:rPr>
            </w:pPr>
          </w:p>
        </w:tc>
      </w:tr>
      <w:tr>
        <w:trPr>
          <w:trHeight w:val="21"/>
        </w:trPr>
        <w:tc>
          <w:tcPr>
            <w:tcW w:w="1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Trends and Business Outlook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date of this Quarterly Report, the Company prudently continues to manage its expenses, including the restriction of all non-essential travel and minimized discretionary expenses and consulting services. The Company continues to review operating expenses, including prioritizing certain R&amp;D investments in support of the Company’s long-term growth objectives. Starting in 2021 and throughout 2023, the Company took rightsizing actions to align its staffing with current needs, while also streamlining certain roles.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25" w:name="page26"/>
    <w:bookmarkEnd w:id="25"/>
    <w:p>
      <w:pPr>
        <w:jc w:val="both"/>
        <w:spacing w:after="0" w:line="253" w:lineRule="auto"/>
        <w:rPr>
          <w:sz w:val="20"/>
          <w:szCs w:val="20"/>
          <w:color w:val="auto"/>
        </w:rPr>
      </w:pPr>
      <w:r>
        <w:rPr>
          <w:rFonts w:ascii="Times New Roman" w:cs="Times New Roman" w:eastAsia="Times New Roman" w:hAnsi="Times New Roman"/>
          <w:sz w:val="18"/>
          <w:szCs w:val="18"/>
          <w:color w:val="auto"/>
        </w:rPr>
        <w:t>Despite the recent recovery of the global economy, there continues to be challenges based on the current macroeconomic and geopolitical environment. Average crude oil prices reached the highest average price in five years in 2022 but have steadily declined while remaining near atop the 5-year averages at the end of the second quarter 2024. Rig counts in the U.S. oil markets remain below historical levels as of the second quarter of 2024. Despite increasing rig counts and crude oil prices, the Company believes that capital spending within the areas of the oil and gas market that it participates in remains below historical levels. While the Company saw an increase of sales to customers with traditional exposure to the oil and gas markets during 2023, as compared to the prior year, sales remain below historic levels. A significant portion of the Company’s sales and profitability has historically been derived from the sale of products that are used within the oil and gas industry. The Company continues to experience inflationary cost pressures for certain raw materials and other goods which the Company continues to try to mitigate through price increases and other cost reduction measures. Additionally, the Company continues to experience ongoing tariff costs for products and is trying to mitigate these impacts through price increases and other measures, such as seeking certain tariff exclusions, where possible. The potential for continued economic uncertainty and unfavorable oil and gas market dynamics may have a material adverse impact on the levels of future customer orders and the Company’s future business operations, financial condition and liquidity.</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Condensed consolidated results of operations for the three and six months ended June 30, 2024, compared with the three and six months ended June 30, 2023</w:t>
      </w:r>
      <w:r>
        <w:rPr>
          <w:rFonts w:ascii="Times New Roman" w:cs="Times New Roman" w:eastAsia="Times New Roman" w:hAnsi="Times New Roman"/>
          <w:sz w:val="18"/>
          <w:szCs w:val="18"/>
          <w:color w:val="auto"/>
        </w:rPr>
        <w:t>:</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2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auto"/>
              </w:rPr>
              <w:t>(in thousands, except per share amounts)</w:t>
            </w:r>
          </w:p>
        </w:tc>
        <w:tc>
          <w:tcPr>
            <w:tcW w:w="140" w:type="dxa"/>
            <w:vAlign w:val="bottom"/>
          </w:tcPr>
          <w:p>
            <w:pPr>
              <w:spacing w:after="0"/>
              <w:rPr>
                <w:sz w:val="16"/>
                <w:szCs w:val="16"/>
                <w:color w:val="auto"/>
              </w:rPr>
            </w:pPr>
          </w:p>
        </w:tc>
        <w:tc>
          <w:tcPr>
            <w:tcW w:w="182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For the Three Months</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80" w:type="dxa"/>
            <w:vAlign w:val="bottom"/>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Ended June 30,</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5"/>
          </w:tcPr>
          <w:p>
            <w:pPr>
              <w:ind w:left="5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Change</w:t>
            </w: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 Change</w:t>
            </w: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Change</w:t>
            </w: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 Change</w:t>
            </w:r>
          </w:p>
        </w:tc>
        <w:tc>
          <w:tcPr>
            <w:tcW w:w="0" w:type="dxa"/>
            <w:vAlign w:val="bottom"/>
          </w:tcPr>
          <w:p>
            <w:pPr>
              <w:spacing w:after="0"/>
              <w:rPr>
                <w:sz w:val="1"/>
                <w:szCs w:val="1"/>
                <w:color w:val="auto"/>
              </w:rPr>
            </w:pPr>
          </w:p>
        </w:tc>
      </w:tr>
      <w:tr>
        <w:trPr>
          <w:trHeight w:val="157"/>
        </w:trPr>
        <w:tc>
          <w:tcPr>
            <w:tcW w:w="3520" w:type="dxa"/>
            <w:vAlign w:val="bottom"/>
            <w:tcBorders>
              <w:top w:val="single" w:sz="8" w:color="CCEEFF"/>
            </w:tcBorders>
            <w:gridSpan w:val="9"/>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Net sales</w:t>
            </w:r>
          </w:p>
        </w:tc>
        <w:tc>
          <w:tcPr>
            <w:tcW w:w="14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80" w:type="dxa"/>
            <w:vAlign w:val="bottom"/>
            <w:gridSpan w:val="3"/>
            <w:shd w:val="clear" w:color="auto" w:fill="CCEEFF"/>
          </w:tcPr>
          <w:p>
            <w:pPr>
              <w:ind w:left="20"/>
              <w:spacing w:after="0" w:line="148" w:lineRule="exact"/>
              <w:rPr>
                <w:sz w:val="20"/>
                <w:szCs w:val="20"/>
                <w:color w:val="auto"/>
              </w:rPr>
            </w:pPr>
            <w:r>
              <w:rPr>
                <w:rFonts w:ascii="Times New Roman" w:cs="Times New Roman" w:eastAsia="Times New Roman" w:hAnsi="Times New Roman"/>
                <w:sz w:val="16"/>
                <w:szCs w:val="16"/>
                <w:color w:val="auto"/>
              </w:rPr>
              <w:t>(from related parties</w:t>
            </w:r>
          </w:p>
        </w:tc>
        <w:tc>
          <w:tcPr>
            <w:tcW w:w="360" w:type="dxa"/>
            <w:vAlign w:val="bottom"/>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6"/>
                <w:szCs w:val="16"/>
                <w:color w:val="auto"/>
                <w:w w:val="99"/>
                <w:shd w:val="clear" w:color="auto" w:fill="CCEEFF"/>
              </w:rPr>
              <w:t>$253</w:t>
            </w:r>
          </w:p>
        </w:tc>
        <w:tc>
          <w:tcPr>
            <w:tcW w:w="300" w:type="dxa"/>
            <w:vAlign w:val="bottom"/>
            <w:gridSpan w:val="2"/>
            <w:shd w:val="clear" w:color="auto" w:fill="CCEEFF"/>
          </w:tcPr>
          <w:p>
            <w:pPr>
              <w:ind w:left="20"/>
              <w:spacing w:after="0" w:line="148" w:lineRule="exact"/>
              <w:rPr>
                <w:sz w:val="20"/>
                <w:szCs w:val="20"/>
                <w:color w:val="auto"/>
              </w:rPr>
            </w:pPr>
            <w:r>
              <w:rPr>
                <w:rFonts w:ascii="Times New Roman" w:cs="Times New Roman" w:eastAsia="Times New Roman" w:hAnsi="Times New Roman"/>
                <w:sz w:val="16"/>
                <w:szCs w:val="16"/>
                <w:color w:val="auto"/>
              </w:rPr>
              <w:t>and</w:t>
            </w:r>
          </w:p>
        </w:tc>
        <w:tc>
          <w:tcPr>
            <w:tcW w:w="4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6"/>
                <w:szCs w:val="16"/>
                <w:color w:val="auto"/>
                <w:w w:val="95"/>
                <w:shd w:val="clear" w:color="auto" w:fill="CCEEFF"/>
              </w:rPr>
              <w:t>$1,000</w:t>
            </w:r>
          </w:p>
        </w:tc>
        <w:tc>
          <w:tcPr>
            <w:tcW w:w="1040" w:type="dxa"/>
            <w:vAlign w:val="bottom"/>
            <w:shd w:val="clear" w:color="auto" w:fill="CCEEFF"/>
          </w:tcPr>
          <w:p>
            <w:pPr>
              <w:ind w:left="40"/>
              <w:spacing w:after="0" w:line="148" w:lineRule="exact"/>
              <w:rPr>
                <w:sz w:val="20"/>
                <w:szCs w:val="20"/>
                <w:color w:val="auto"/>
              </w:rPr>
            </w:pPr>
            <w:r>
              <w:rPr>
                <w:rFonts w:ascii="Times New Roman" w:cs="Times New Roman" w:eastAsia="Times New Roman" w:hAnsi="Times New Roman"/>
                <w:sz w:val="16"/>
                <w:szCs w:val="16"/>
                <w:color w:val="auto"/>
              </w:rPr>
              <w:t>for the three</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520" w:type="dxa"/>
            <w:vAlign w:val="bottom"/>
            <w:gridSpan w:val="9"/>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months ended June 30, 2024 and June 30, 2023,</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88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6"/>
                <w:szCs w:val="16"/>
                <w:color w:val="auto"/>
              </w:rPr>
              <w:t>respectively,</w:t>
            </w:r>
          </w:p>
        </w:tc>
        <w:tc>
          <w:tcPr>
            <w:tcW w:w="36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6"/>
                <w:szCs w:val="16"/>
                <w:color w:val="auto"/>
                <w:w w:val="93"/>
                <w:shd w:val="clear" w:color="auto" w:fill="CCEEFF"/>
              </w:rPr>
              <w:t>$453</w:t>
            </w:r>
          </w:p>
        </w:tc>
        <w:tc>
          <w:tcPr>
            <w:tcW w:w="280" w:type="dxa"/>
            <w:vAlign w:val="bottom"/>
            <w:gridSpan w:val="2"/>
            <w:shd w:val="clear" w:color="auto" w:fill="CCEEFF"/>
          </w:tcPr>
          <w:p>
            <w:pPr>
              <w:spacing w:after="0" w:line="148" w:lineRule="exact"/>
              <w:rPr>
                <w:sz w:val="20"/>
                <w:szCs w:val="20"/>
                <w:color w:val="auto"/>
              </w:rPr>
            </w:pPr>
            <w:r>
              <w:rPr>
                <w:rFonts w:ascii="Times New Roman" w:cs="Times New Roman" w:eastAsia="Times New Roman" w:hAnsi="Times New Roman"/>
                <w:sz w:val="16"/>
                <w:szCs w:val="16"/>
                <w:color w:val="auto"/>
              </w:rPr>
              <w:t>and</w:t>
            </w:r>
          </w:p>
        </w:tc>
        <w:tc>
          <w:tcPr>
            <w:tcW w:w="440" w:type="dxa"/>
            <w:vAlign w:val="bottom"/>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6"/>
                <w:szCs w:val="16"/>
                <w:color w:val="auto"/>
                <w:w w:val="95"/>
                <w:shd w:val="clear" w:color="auto" w:fill="CCEEFF"/>
              </w:rPr>
              <w:t>$2,100</w:t>
            </w:r>
          </w:p>
        </w:tc>
        <w:tc>
          <w:tcPr>
            <w:tcW w:w="1560" w:type="dxa"/>
            <w:vAlign w:val="bottom"/>
            <w:gridSpan w:val="3"/>
            <w:shd w:val="clear" w:color="auto" w:fill="CCEEFF"/>
          </w:tcPr>
          <w:p>
            <w:pPr>
              <w:ind w:left="40"/>
              <w:spacing w:after="0" w:line="148" w:lineRule="exact"/>
              <w:rPr>
                <w:sz w:val="20"/>
                <w:szCs w:val="20"/>
                <w:color w:val="auto"/>
              </w:rPr>
            </w:pPr>
            <w:r>
              <w:rPr>
                <w:rFonts w:ascii="Times New Roman" w:cs="Times New Roman" w:eastAsia="Times New Roman" w:hAnsi="Times New Roman"/>
                <w:sz w:val="16"/>
                <w:szCs w:val="16"/>
                <w:color w:val="auto"/>
              </w:rPr>
              <w:t>for the six months</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520" w:type="dxa"/>
            <w:vAlign w:val="bottom"/>
            <w:gridSpan w:val="9"/>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ended June 30, 2024 and June 30, 2023,</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110,586</w:t>
            </w: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121,865</w:t>
            </w:r>
          </w:p>
        </w:tc>
        <w:tc>
          <w:tcPr>
            <w:tcW w:w="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(11,279)</w:t>
            </w:r>
          </w:p>
        </w:tc>
        <w:tc>
          <w:tcPr>
            <w:tcW w:w="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205,826</w:t>
            </w: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238,334</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(32,508)</w:t>
            </w:r>
          </w:p>
        </w:tc>
        <w:tc>
          <w:tcPr>
            <w:tcW w:w="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6"/>
        </w:trPr>
        <w:tc>
          <w:tcPr>
            <w:tcW w:w="352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respectively)</w:t>
            </w:r>
          </w:p>
        </w:tc>
        <w:tc>
          <w:tcPr>
            <w:tcW w:w="14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520" w:type="dxa"/>
            <w:vAlign w:val="bottom"/>
            <w:gridSpan w:val="9"/>
          </w:tcPr>
          <w:p>
            <w:pPr>
              <w:ind w:left="220"/>
              <w:spacing w:after="0" w:line="162" w:lineRule="exact"/>
              <w:rPr>
                <w:sz w:val="20"/>
                <w:szCs w:val="20"/>
                <w:color w:val="auto"/>
              </w:rPr>
            </w:pPr>
            <w:r>
              <w:rPr>
                <w:rFonts w:ascii="Times New Roman" w:cs="Times New Roman" w:eastAsia="Times New Roman" w:hAnsi="Times New Roman"/>
                <w:sz w:val="16"/>
                <w:szCs w:val="16"/>
                <w:color w:val="auto"/>
              </w:rPr>
              <w:t>Cost of sales</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20" w:type="dxa"/>
            <w:vAlign w:val="bottom"/>
            <w:gridSpan w:val="9"/>
          </w:tcPr>
          <w:p>
            <w:pPr>
              <w:ind w:left="220"/>
              <w:spacing w:after="0" w:line="162" w:lineRule="exact"/>
              <w:rPr>
                <w:sz w:val="20"/>
                <w:szCs w:val="20"/>
                <w:color w:val="auto"/>
              </w:rPr>
            </w:pPr>
            <w:r>
              <w:rPr>
                <w:rFonts w:ascii="Times New Roman" w:cs="Times New Roman" w:eastAsia="Times New Roman" w:hAnsi="Times New Roman"/>
                <w:sz w:val="16"/>
                <w:szCs w:val="16"/>
                <w:color w:val="auto"/>
              </w:rPr>
              <w:t>(from related parties $176 and $600 for the three</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20" w:type="dxa"/>
            <w:vAlign w:val="bottom"/>
            <w:gridSpan w:val="9"/>
          </w:tcPr>
          <w:p>
            <w:pPr>
              <w:ind w:left="220"/>
              <w:spacing w:after="0" w:line="162" w:lineRule="exact"/>
              <w:rPr>
                <w:sz w:val="20"/>
                <w:szCs w:val="20"/>
                <w:color w:val="auto"/>
              </w:rPr>
            </w:pPr>
            <w:r>
              <w:rPr>
                <w:rFonts w:ascii="Times New Roman" w:cs="Times New Roman" w:eastAsia="Times New Roman" w:hAnsi="Times New Roman"/>
                <w:sz w:val="16"/>
                <w:szCs w:val="16"/>
                <w:color w:val="auto"/>
              </w:rPr>
              <w:t>months ended June 30, 2024 and June 30, 2023,</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20" w:type="dxa"/>
            <w:vAlign w:val="bottom"/>
            <w:gridSpan w:val="9"/>
          </w:tcPr>
          <w:p>
            <w:pPr>
              <w:ind w:left="220"/>
              <w:spacing w:after="0" w:line="162" w:lineRule="exact"/>
              <w:rPr>
                <w:sz w:val="20"/>
                <w:szCs w:val="20"/>
                <w:color w:val="auto"/>
              </w:rPr>
            </w:pPr>
            <w:r>
              <w:rPr>
                <w:rFonts w:ascii="Times New Roman" w:cs="Times New Roman" w:eastAsia="Times New Roman" w:hAnsi="Times New Roman"/>
                <w:sz w:val="16"/>
                <w:szCs w:val="16"/>
                <w:color w:val="auto"/>
              </w:rPr>
              <w:t>respectively, and $329 and $1,500 for the six</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20" w:type="dxa"/>
            <w:vAlign w:val="bottom"/>
            <w:gridSpan w:val="9"/>
          </w:tcPr>
          <w:p>
            <w:pPr>
              <w:ind w:left="220"/>
              <w:spacing w:after="0" w:line="162" w:lineRule="exact"/>
              <w:rPr>
                <w:sz w:val="20"/>
                <w:szCs w:val="20"/>
                <w:color w:val="auto"/>
              </w:rPr>
            </w:pPr>
            <w:r>
              <w:rPr>
                <w:rFonts w:ascii="Times New Roman" w:cs="Times New Roman" w:eastAsia="Times New Roman" w:hAnsi="Times New Roman"/>
                <w:sz w:val="16"/>
                <w:szCs w:val="16"/>
                <w:color w:val="auto"/>
              </w:rPr>
              <w:t>months ended June 30, 2024 and June 30, 2023,</w:t>
            </w:r>
          </w:p>
        </w:tc>
        <w:tc>
          <w:tcPr>
            <w:tcW w:w="140" w:type="dxa"/>
            <w:vAlign w:val="bottom"/>
          </w:tcPr>
          <w:p>
            <w:pPr>
              <w:spacing w:after="0"/>
              <w:rPr>
                <w:sz w:val="14"/>
                <w:szCs w:val="14"/>
                <w:color w:val="auto"/>
              </w:rPr>
            </w:pPr>
          </w:p>
        </w:tc>
        <w:tc>
          <w:tcPr>
            <w:tcW w:w="7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75,398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94,911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(19,513)</w:t>
            </w:r>
          </w:p>
        </w:tc>
        <w:tc>
          <w:tcPr>
            <w:tcW w:w="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144,882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187,911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(43,029)</w:t>
            </w:r>
          </w:p>
        </w:tc>
        <w:tc>
          <w:tcPr>
            <w:tcW w:w="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3"/>
        </w:trPr>
        <w:tc>
          <w:tcPr>
            <w:tcW w:w="3520" w:type="dxa"/>
            <w:vAlign w:val="bottom"/>
            <w:tcBorders>
              <w:bottom w:val="single" w:sz="8" w:color="CCEEFF"/>
            </w:tcBorders>
            <w:gridSpan w:val="9"/>
          </w:tcPr>
          <w:p>
            <w:pPr>
              <w:ind w:left="220"/>
              <w:spacing w:after="0"/>
              <w:rPr>
                <w:sz w:val="20"/>
                <w:szCs w:val="20"/>
                <w:color w:val="auto"/>
              </w:rPr>
            </w:pPr>
            <w:r>
              <w:rPr>
                <w:rFonts w:ascii="Times New Roman" w:cs="Times New Roman" w:eastAsia="Times New Roman" w:hAnsi="Times New Roman"/>
                <w:sz w:val="16"/>
                <w:szCs w:val="16"/>
                <w:color w:val="auto"/>
              </w:rPr>
              <w:t>respectively)</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2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35,188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26,954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8,234</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60,944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50,423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10,521</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0" w:type="dxa"/>
            <w:vAlign w:val="bottom"/>
          </w:tcPr>
          <w:p>
            <w:pPr>
              <w:spacing w:after="0"/>
              <w:rPr>
                <w:sz w:val="1"/>
                <w:szCs w:val="1"/>
                <w:color w:val="auto"/>
              </w:rPr>
            </w:pPr>
          </w:p>
        </w:tc>
      </w:tr>
      <w:tr>
        <w:trPr>
          <w:trHeight w:val="214"/>
        </w:trPr>
        <w:tc>
          <w:tcPr>
            <w:tcW w:w="3520" w:type="dxa"/>
            <w:vAlign w:val="bottom"/>
            <w:gridSpan w:val="9"/>
          </w:tcPr>
          <w:p>
            <w:pPr>
              <w:ind w:left="20"/>
              <w:spacing w:after="0"/>
              <w:rPr>
                <w:sz w:val="20"/>
                <w:szCs w:val="20"/>
                <w:color w:val="auto"/>
              </w:rPr>
            </w:pPr>
            <w:r>
              <w:rPr>
                <w:rFonts w:ascii="Times New Roman" w:cs="Times New Roman" w:eastAsia="Times New Roman" w:hAnsi="Times New Roman"/>
                <w:sz w:val="16"/>
                <w:szCs w:val="16"/>
                <w:i w:val="1"/>
                <w:iCs w:val="1"/>
                <w:color w:val="auto"/>
              </w:rPr>
              <w:t>Gross margin %</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31.8 %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22.1 %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9.7 %</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29.6 %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21.2 %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8.5 %</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520" w:type="dxa"/>
            <w:vAlign w:val="bottom"/>
            <w:gridSpan w:val="9"/>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expenses: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20" w:type="dxa"/>
            <w:vAlign w:val="bottom"/>
            <w:gridSpan w:val="9"/>
          </w:tcPr>
          <w:p>
            <w:pPr>
              <w:ind w:left="48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4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4,959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4,662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297</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10,156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9,266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890</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0" w:type="dxa"/>
            <w:vAlign w:val="bottom"/>
          </w:tcPr>
          <w:p>
            <w:pPr>
              <w:spacing w:after="0"/>
              <w:rPr>
                <w:sz w:val="1"/>
                <w:szCs w:val="1"/>
                <w:color w:val="auto"/>
              </w:rPr>
            </w:pPr>
          </w:p>
        </w:tc>
      </w:tr>
      <w:tr>
        <w:trPr>
          <w:trHeight w:val="165"/>
        </w:trPr>
        <w:tc>
          <w:tcPr>
            <w:tcW w:w="3520" w:type="dxa"/>
            <w:vAlign w:val="bottom"/>
            <w:gridSpan w:val="9"/>
            <w:shd w:val="clear" w:color="auto" w:fill="CCEEFF"/>
          </w:tcPr>
          <w:p>
            <w:pPr>
              <w:ind w:left="480"/>
              <w:spacing w:after="0" w:line="165" w:lineRule="exact"/>
              <w:rPr>
                <w:sz w:val="20"/>
                <w:szCs w:val="20"/>
                <w:color w:val="auto"/>
              </w:rPr>
            </w:pPr>
            <w:r>
              <w:rPr>
                <w:rFonts w:ascii="Times New Roman" w:cs="Times New Roman" w:eastAsia="Times New Roman" w:hAnsi="Times New Roman"/>
                <w:sz w:val="16"/>
                <w:szCs w:val="16"/>
                <w:i w:val="1"/>
                <w:iCs w:val="1"/>
                <w:color w:val="auto"/>
              </w:rPr>
              <w:t>Research and development expenses as a %</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4.5 %</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3.8 %</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0.7 %</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4.9 %</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3.9 %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1.0 %</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20" w:type="dxa"/>
            <w:vAlign w:val="bottom"/>
            <w:gridSpan w:val="9"/>
            <w:shd w:val="clear" w:color="auto" w:fill="CCEEFF"/>
          </w:tcPr>
          <w:p>
            <w:pPr>
              <w:ind w:left="480"/>
              <w:spacing w:after="0"/>
              <w:rPr>
                <w:sz w:val="20"/>
                <w:szCs w:val="20"/>
                <w:color w:val="auto"/>
              </w:rPr>
            </w:pPr>
            <w:r>
              <w:rPr>
                <w:rFonts w:ascii="Times New Roman" w:cs="Times New Roman" w:eastAsia="Times New Roman" w:hAnsi="Times New Roman"/>
                <w:sz w:val="16"/>
                <w:szCs w:val="16"/>
                <w:i w:val="1"/>
                <w:iCs w:val="1"/>
                <w:color w:val="auto"/>
              </w:rPr>
              <w:t>of sales</w:t>
            </w:r>
          </w:p>
        </w:tc>
        <w:tc>
          <w:tcPr>
            <w:tcW w:w="1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20" w:type="dxa"/>
            <w:vAlign w:val="bottom"/>
            <w:gridSpan w:val="9"/>
          </w:tcPr>
          <w:p>
            <w:pPr>
              <w:ind w:left="48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4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4,520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10,550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(6,030)</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14,052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20,455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(6,403)</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165"/>
        </w:trPr>
        <w:tc>
          <w:tcPr>
            <w:tcW w:w="3520" w:type="dxa"/>
            <w:vAlign w:val="bottom"/>
            <w:gridSpan w:val="9"/>
            <w:shd w:val="clear" w:color="auto" w:fill="CCEEFF"/>
          </w:tcPr>
          <w:p>
            <w:pPr>
              <w:ind w:left="480"/>
              <w:spacing w:after="0" w:line="165" w:lineRule="exact"/>
              <w:rPr>
                <w:sz w:val="20"/>
                <w:szCs w:val="20"/>
                <w:color w:val="auto"/>
              </w:rPr>
            </w:pPr>
            <w:r>
              <w:rPr>
                <w:rFonts w:ascii="Times New Roman" w:cs="Times New Roman" w:eastAsia="Times New Roman" w:hAnsi="Times New Roman"/>
                <w:sz w:val="16"/>
                <w:szCs w:val="16"/>
                <w:i w:val="1"/>
                <w:iCs w:val="1"/>
                <w:color w:val="auto"/>
              </w:rPr>
              <w:t>Selling, general and administrative expenses</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4.1 %</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8.7 %</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(4.6)%</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6.8 %</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8.6 %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(1.8)%</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20" w:type="dxa"/>
            <w:vAlign w:val="bottom"/>
            <w:gridSpan w:val="9"/>
            <w:shd w:val="clear" w:color="auto" w:fill="CCEEFF"/>
          </w:tcPr>
          <w:p>
            <w:pPr>
              <w:ind w:left="480"/>
              <w:spacing w:after="0"/>
              <w:rPr>
                <w:sz w:val="20"/>
                <w:szCs w:val="20"/>
                <w:color w:val="auto"/>
              </w:rPr>
            </w:pPr>
            <w:r>
              <w:rPr>
                <w:rFonts w:ascii="Times New Roman" w:cs="Times New Roman" w:eastAsia="Times New Roman" w:hAnsi="Times New Roman"/>
                <w:sz w:val="16"/>
                <w:szCs w:val="16"/>
                <w:i w:val="1"/>
                <w:iCs w:val="1"/>
                <w:color w:val="auto"/>
              </w:rPr>
              <w:t>as a % of sales</w:t>
            </w:r>
          </w:p>
        </w:tc>
        <w:tc>
          <w:tcPr>
            <w:tcW w:w="1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20" w:type="dxa"/>
            <w:vAlign w:val="bottom"/>
            <w:tcBorders>
              <w:bottom w:val="single" w:sz="8" w:color="CCEEFF"/>
            </w:tcBorders>
            <w:gridSpan w:val="9"/>
          </w:tcPr>
          <w:p>
            <w:pPr>
              <w:ind w:left="48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365</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437</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(72)</w:t>
            </w:r>
          </w:p>
        </w:tc>
        <w:tc>
          <w:tcPr>
            <w:tcW w:w="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730</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873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(143)</w:t>
            </w:r>
          </w:p>
        </w:tc>
        <w:tc>
          <w:tcPr>
            <w:tcW w:w="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2"/>
        </w:trPr>
        <w:tc>
          <w:tcPr>
            <w:tcW w:w="3520" w:type="dxa"/>
            <w:vAlign w:val="bottom"/>
            <w:gridSpan w:val="9"/>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9,844</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15,649</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(5,805)</w:t>
            </w:r>
          </w:p>
        </w:tc>
        <w:tc>
          <w:tcPr>
            <w:tcW w:w="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24,938</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30,594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(5,656)</w:t>
            </w:r>
          </w:p>
        </w:tc>
        <w:tc>
          <w:tcPr>
            <w:tcW w:w="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07"/>
        </w:trPr>
        <w:tc>
          <w:tcPr>
            <w:tcW w:w="3520" w:type="dxa"/>
            <w:vAlign w:val="bottom"/>
            <w:gridSpan w:val="9"/>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140" w:type="dxa"/>
            <w:vAlign w:val="bottom"/>
          </w:tcPr>
          <w:p>
            <w:pPr>
              <w:spacing w:after="0"/>
              <w:rPr>
                <w:sz w:val="17"/>
                <w:szCs w:val="17"/>
                <w:color w:val="auto"/>
              </w:rPr>
            </w:pP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25,344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11,305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14,039</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36,006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19,829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16,177</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82 %</w:t>
            </w:r>
          </w:p>
        </w:tc>
        <w:tc>
          <w:tcPr>
            <w:tcW w:w="0" w:type="dxa"/>
            <w:vAlign w:val="bottom"/>
          </w:tcPr>
          <w:p>
            <w:pPr>
              <w:spacing w:after="0"/>
              <w:rPr>
                <w:sz w:val="1"/>
                <w:szCs w:val="1"/>
                <w:color w:val="auto"/>
              </w:rPr>
            </w:pPr>
          </w:p>
        </w:tc>
      </w:tr>
      <w:tr>
        <w:trPr>
          <w:trHeight w:val="165"/>
        </w:trPr>
        <w:tc>
          <w:tcPr>
            <w:tcW w:w="3520" w:type="dxa"/>
            <w:vAlign w:val="bottom"/>
            <w:gridSpan w:val="9"/>
            <w:shd w:val="clear" w:color="auto" w:fill="CCEEFF"/>
          </w:tcPr>
          <w:p>
            <w:pPr>
              <w:ind w:left="480"/>
              <w:spacing w:after="0" w:line="165" w:lineRule="exact"/>
              <w:rPr>
                <w:sz w:val="20"/>
                <w:szCs w:val="20"/>
                <w:color w:val="auto"/>
              </w:rPr>
            </w:pPr>
            <w:r>
              <w:rPr>
                <w:rFonts w:ascii="Times New Roman" w:cs="Times New Roman" w:eastAsia="Times New Roman" w:hAnsi="Times New Roman"/>
                <w:sz w:val="16"/>
                <w:szCs w:val="16"/>
                <w:color w:val="auto"/>
              </w:rPr>
              <w:t>Interest expense (from related parties $2,216</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20" w:type="dxa"/>
            <w:vAlign w:val="bottom"/>
            <w:gridSpan w:val="9"/>
            <w:shd w:val="clear" w:color="auto" w:fill="CCEEFF"/>
          </w:tcPr>
          <w:p>
            <w:pPr>
              <w:ind w:left="480"/>
              <w:spacing w:after="0" w:line="162" w:lineRule="exact"/>
              <w:rPr>
                <w:sz w:val="20"/>
                <w:szCs w:val="20"/>
                <w:color w:val="auto"/>
              </w:rPr>
            </w:pPr>
            <w:r>
              <w:rPr>
                <w:rFonts w:ascii="Times New Roman" w:cs="Times New Roman" w:eastAsia="Times New Roman" w:hAnsi="Times New Roman"/>
                <w:sz w:val="16"/>
                <w:szCs w:val="16"/>
                <w:color w:val="auto"/>
              </w:rPr>
              <w:t>and $1,816 for the three months ended June</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20" w:type="dxa"/>
            <w:vAlign w:val="bottom"/>
            <w:gridSpan w:val="9"/>
            <w:shd w:val="clear" w:color="auto" w:fill="CCEEFF"/>
          </w:tcPr>
          <w:p>
            <w:pPr>
              <w:ind w:left="480"/>
              <w:spacing w:after="0" w:line="162" w:lineRule="exact"/>
              <w:rPr>
                <w:sz w:val="20"/>
                <w:szCs w:val="20"/>
                <w:color w:val="auto"/>
              </w:rPr>
            </w:pPr>
            <w:r>
              <w:rPr>
                <w:rFonts w:ascii="Times New Roman" w:cs="Times New Roman" w:eastAsia="Times New Roman" w:hAnsi="Times New Roman"/>
                <w:sz w:val="16"/>
                <w:szCs w:val="16"/>
                <w:color w:val="auto"/>
              </w:rPr>
              <w:t>30, 2024 and 2023, respectively, and 4,438</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20" w:type="dxa"/>
            <w:vAlign w:val="bottom"/>
            <w:gridSpan w:val="9"/>
            <w:shd w:val="clear" w:color="auto" w:fill="CCEEFF"/>
          </w:tcPr>
          <w:p>
            <w:pPr>
              <w:ind w:left="480"/>
              <w:spacing w:after="0" w:line="162" w:lineRule="exact"/>
              <w:rPr>
                <w:sz w:val="20"/>
                <w:szCs w:val="20"/>
                <w:color w:val="auto"/>
              </w:rPr>
            </w:pPr>
            <w:r>
              <w:rPr>
                <w:rFonts w:ascii="Times New Roman" w:cs="Times New Roman" w:eastAsia="Times New Roman" w:hAnsi="Times New Roman"/>
                <w:sz w:val="16"/>
                <w:szCs w:val="16"/>
                <w:color w:val="auto"/>
              </w:rPr>
              <w:t>and 3,799 for the six months ended June 30,</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2,909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4,645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(1,736)</w:t>
            </w:r>
          </w:p>
        </w:tc>
        <w:tc>
          <w:tcPr>
            <w:tcW w:w="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6,255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9,310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(3,055)</w:t>
            </w:r>
          </w:p>
        </w:tc>
        <w:tc>
          <w:tcPr>
            <w:tcW w:w="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16"/>
        </w:trPr>
        <w:tc>
          <w:tcPr>
            <w:tcW w:w="3520" w:type="dxa"/>
            <w:vAlign w:val="bottom"/>
            <w:gridSpan w:val="9"/>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2024 and June 30, 2023, respectively)</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520" w:type="dxa"/>
            <w:vAlign w:val="bottom"/>
            <w:tcBorders>
              <w:bottom w:val="single" w:sz="8" w:color="CCEEFF"/>
            </w:tcBorders>
            <w:gridSpan w:val="9"/>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22,435</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6,660</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15,775</w:t>
            </w:r>
          </w:p>
        </w:tc>
        <w:tc>
          <w:tcPr>
            <w:tcW w:w="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29,751</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10,519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19,232</w:t>
            </w:r>
          </w:p>
        </w:tc>
        <w:tc>
          <w:tcPr>
            <w:tcW w:w="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183 %</w:t>
            </w:r>
          </w:p>
        </w:tc>
        <w:tc>
          <w:tcPr>
            <w:tcW w:w="0" w:type="dxa"/>
            <w:vAlign w:val="bottom"/>
          </w:tcPr>
          <w:p>
            <w:pPr>
              <w:spacing w:after="0"/>
              <w:rPr>
                <w:sz w:val="1"/>
                <w:szCs w:val="1"/>
                <w:color w:val="auto"/>
              </w:rPr>
            </w:pPr>
          </w:p>
        </w:tc>
      </w:tr>
      <w:tr>
        <w:trPr>
          <w:trHeight w:val="210"/>
        </w:trPr>
        <w:tc>
          <w:tcPr>
            <w:tcW w:w="3520" w:type="dxa"/>
            <w:vAlign w:val="bottom"/>
            <w:gridSpan w:val="9"/>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 expense</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895</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243</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652</w:t>
            </w:r>
          </w:p>
        </w:tc>
        <w:tc>
          <w:tcPr>
            <w:tcW w:w="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1,096</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718</w:t>
            </w:r>
          </w:p>
        </w:tc>
        <w:tc>
          <w:tcPr>
            <w:tcW w:w="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190 %</w:t>
            </w:r>
          </w:p>
        </w:tc>
        <w:tc>
          <w:tcPr>
            <w:tcW w:w="0" w:type="dxa"/>
            <w:vAlign w:val="bottom"/>
          </w:tcPr>
          <w:p>
            <w:pPr>
              <w:spacing w:after="0"/>
              <w:rPr>
                <w:sz w:val="1"/>
                <w:szCs w:val="1"/>
                <w:color w:val="auto"/>
              </w:rPr>
            </w:pPr>
          </w:p>
        </w:tc>
      </w:tr>
      <w:tr>
        <w:trPr>
          <w:trHeight w:val="212"/>
        </w:trPr>
        <w:tc>
          <w:tcPr>
            <w:tcW w:w="3520" w:type="dxa"/>
            <w:vAlign w:val="bottom"/>
            <w:gridSpan w:val="9"/>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21,540</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6,417</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15,123</w:t>
            </w:r>
          </w:p>
        </w:tc>
        <w:tc>
          <w:tcPr>
            <w:tcW w:w="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236 %</w:t>
            </w:r>
          </w:p>
        </w:tc>
        <w:tc>
          <w:tcPr>
            <w:tcW w:w="80" w:type="dxa"/>
            <w:vAlign w:val="bottom"/>
          </w:tcPr>
          <w:p>
            <w:pPr>
              <w:spacing w:after="0"/>
              <w:rPr>
                <w:sz w:val="18"/>
                <w:szCs w:val="18"/>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28,655</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10,141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18,514</w:t>
            </w:r>
          </w:p>
        </w:tc>
        <w:tc>
          <w:tcPr>
            <w:tcW w:w="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183 %</w:t>
            </w:r>
          </w:p>
        </w:tc>
        <w:tc>
          <w:tcPr>
            <w:tcW w:w="0" w:type="dxa"/>
            <w:vAlign w:val="bottom"/>
          </w:tcPr>
          <w:p>
            <w:pPr>
              <w:spacing w:after="0"/>
              <w:rPr>
                <w:sz w:val="1"/>
                <w:szCs w:val="1"/>
                <w:color w:val="auto"/>
              </w:rPr>
            </w:pPr>
          </w:p>
        </w:tc>
      </w:tr>
      <w:tr>
        <w:trPr>
          <w:trHeight w:val="20"/>
        </w:trPr>
        <w:tc>
          <w:tcPr>
            <w:tcW w:w="8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520" w:type="dxa"/>
            <w:vAlign w:val="bottom"/>
            <w:gridSpan w:val="9"/>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common share:</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520" w:type="dxa"/>
            <w:vAlign w:val="bottom"/>
            <w:gridSpan w:val="9"/>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0.94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0.28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0.66</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NM</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0.44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0.81</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184 %</w:t>
            </w:r>
          </w:p>
        </w:tc>
        <w:tc>
          <w:tcPr>
            <w:tcW w:w="0" w:type="dxa"/>
            <w:vAlign w:val="bottom"/>
          </w:tcPr>
          <w:p>
            <w:pPr>
              <w:spacing w:after="0"/>
              <w:rPr>
                <w:sz w:val="1"/>
                <w:szCs w:val="1"/>
                <w:color w:val="auto"/>
              </w:rPr>
            </w:pPr>
          </w:p>
        </w:tc>
      </w:tr>
      <w:tr>
        <w:trPr>
          <w:trHeight w:val="210"/>
        </w:trPr>
        <w:tc>
          <w:tcPr>
            <w:tcW w:w="3520" w:type="dxa"/>
            <w:vAlign w:val="bottom"/>
            <w:gridSpan w:val="9"/>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0.94</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0.28</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0.66</w:t>
            </w:r>
          </w:p>
        </w:tc>
        <w:tc>
          <w:tcPr>
            <w:tcW w:w="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NM</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1.25</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0.44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0.81</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184 %</w:t>
            </w:r>
          </w:p>
        </w:tc>
        <w:tc>
          <w:tcPr>
            <w:tcW w:w="0" w:type="dxa"/>
            <w:vAlign w:val="bottom"/>
          </w:tcPr>
          <w:p>
            <w:pPr>
              <w:spacing w:after="0"/>
              <w:rPr>
                <w:sz w:val="1"/>
                <w:szCs w:val="1"/>
                <w:color w:val="auto"/>
              </w:rPr>
            </w:pPr>
          </w:p>
        </w:tc>
      </w:tr>
      <w:tr>
        <w:trPr>
          <w:trHeight w:val="222"/>
        </w:trPr>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2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Non-GAAP Financial Measures: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20" w:type="dxa"/>
            <w:vAlign w:val="bottom"/>
            <w:gridSpan w:val="9"/>
          </w:tcPr>
          <w:p>
            <w:pPr>
              <w:ind w:left="220"/>
              <w:spacing w:after="0"/>
              <w:rPr>
                <w:sz w:val="20"/>
                <w:szCs w:val="20"/>
                <w:color w:val="auto"/>
              </w:rPr>
            </w:pPr>
            <w:r>
              <w:rPr>
                <w:rFonts w:ascii="Times New Roman" w:cs="Times New Roman" w:eastAsia="Times New Roman" w:hAnsi="Times New Roman"/>
                <w:sz w:val="16"/>
                <w:szCs w:val="16"/>
                <w:color w:val="auto"/>
              </w:rPr>
              <w:t>Adjusted net income *</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16,559</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6,357</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10,202</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160 %</w:t>
            </w:r>
          </w:p>
        </w:tc>
        <w:tc>
          <w:tcPr>
            <w:tcW w:w="8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23,600</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10,168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13,432</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132 %</w:t>
            </w:r>
          </w:p>
        </w:tc>
        <w:tc>
          <w:tcPr>
            <w:tcW w:w="0" w:type="dxa"/>
            <w:vAlign w:val="bottom"/>
          </w:tcPr>
          <w:p>
            <w:pPr>
              <w:spacing w:after="0"/>
              <w:rPr>
                <w:sz w:val="1"/>
                <w:szCs w:val="1"/>
                <w:color w:val="auto"/>
              </w:rPr>
            </w:pPr>
          </w:p>
        </w:tc>
      </w:tr>
      <w:tr>
        <w:trPr>
          <w:trHeight w:val="219"/>
        </w:trPr>
        <w:tc>
          <w:tcPr>
            <w:tcW w:w="3520" w:type="dxa"/>
            <w:vAlign w:val="bottom"/>
            <w:gridSpan w:val="9"/>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Adjusted net income per share – diluted*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0.72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0.28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0.44</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0.60</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136 %</w:t>
            </w:r>
          </w:p>
        </w:tc>
        <w:tc>
          <w:tcPr>
            <w:tcW w:w="0" w:type="dxa"/>
            <w:vAlign w:val="bottom"/>
          </w:tcPr>
          <w:p>
            <w:pPr>
              <w:spacing w:after="0"/>
              <w:rPr>
                <w:sz w:val="1"/>
                <w:szCs w:val="1"/>
                <w:color w:val="auto"/>
              </w:rPr>
            </w:pPr>
          </w:p>
        </w:tc>
      </w:tr>
      <w:tr>
        <w:trPr>
          <w:trHeight w:val="213"/>
        </w:trPr>
        <w:tc>
          <w:tcPr>
            <w:tcW w:w="3520" w:type="dxa"/>
            <w:vAlign w:val="bottom"/>
            <w:gridSpan w:val="9"/>
          </w:tcPr>
          <w:p>
            <w:pPr>
              <w:ind w:left="220"/>
              <w:spacing w:after="0"/>
              <w:rPr>
                <w:sz w:val="20"/>
                <w:szCs w:val="20"/>
                <w:color w:val="auto"/>
              </w:rPr>
            </w:pPr>
            <w:r>
              <w:rPr>
                <w:rFonts w:ascii="Times New Roman" w:cs="Times New Roman" w:eastAsia="Times New Roman" w:hAnsi="Times New Roman"/>
                <w:sz w:val="16"/>
                <w:szCs w:val="16"/>
                <w:color w:val="auto"/>
              </w:rPr>
              <w:t>EBITDA *</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26,662</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12,707</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13,955</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110 %</w:t>
            </w:r>
          </w:p>
        </w:tc>
        <w:tc>
          <w:tcPr>
            <w:tcW w:w="8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38,641</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22,677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15,964</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0" w:type="dxa"/>
            <w:vAlign w:val="bottom"/>
          </w:tcPr>
          <w:p>
            <w:pPr>
              <w:spacing w:after="0"/>
              <w:rPr>
                <w:sz w:val="1"/>
                <w:szCs w:val="1"/>
                <w:color w:val="auto"/>
              </w:rPr>
            </w:pPr>
          </w:p>
        </w:tc>
      </w:tr>
      <w:tr>
        <w:trPr>
          <w:trHeight w:val="219"/>
        </w:trPr>
        <w:tc>
          <w:tcPr>
            <w:tcW w:w="3520" w:type="dxa"/>
            <w:vAlign w:val="bottom"/>
            <w:gridSpan w:val="9"/>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Adjusted EBITDA *</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21,681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12,647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9,034</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33,586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22,704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10,882</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4"/>
          <w:szCs w:val="14"/>
          <w:color w:val="auto"/>
        </w:rPr>
        <w:t>NM</w:t>
        <w:tab/>
        <w:t>Not meaningful</w:t>
      </w:r>
    </w:p>
    <w:p>
      <w:pPr>
        <w:spacing w:after="0" w:line="17" w:lineRule="exact"/>
        <w:rPr>
          <w:sz w:val="20"/>
          <w:szCs w:val="20"/>
          <w:color w:val="auto"/>
        </w:rPr>
      </w:pPr>
    </w:p>
    <w:p>
      <w:pPr>
        <w:ind w:left="640" w:hanging="632"/>
        <w:spacing w:after="0"/>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Non-GAAP measurement, see reconciliation below</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 sales decreased $11.3 million, or 9%, during the three months ended June 30, 2024, compared to the three months ended June 30, 2023, as a result of lower sales of $14.1 million and $15.8 million within the industrial and transportation end markets, respectively, partially offset by an increase of $18.6 million in the power systems end market. Higher power systems end market sales were primarily due to increased demand for products across various applications, with the largest increases attributable to products used within the packaging market such as enclosures serving the fast-growing Data Center market, as well as oil and gas products and demand response products. We are strategically prioritizing the rapidly expanding Data Center sector, improving and increasing our manufacturing capacity and capabilities to meet and exceed our customers’ evolving demands for our products. The decreased sales within the transportation end market were primarily attributable to lower sales in the truck and school bus market as customer products have evolved, decrease in sales from our shifting sales away from some of our transportation customers, and new compliance and regulatory requirements have changed engine product offerings. Decreased industrial end market sales are primarily due to decreases in demand for products used within the material handling and arbor care markets, as well as the direct effects of enforcement of the UFLPA, which limited the Company’s ability to import certain raw materials in early 2024.</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 sales decreased $32.5 million, or 14%, during the six months ended June 30, 2024, compared to the six months ended June 30, 2023, as a result of lower sales of $28.2 million and $40.3 million within the industrial and transportation end markets, respectively, partly offset by an increase of $36.0 million in the power systems end market. Higher power systems end market sales were primarily due to increased demand for products across various applications, with the largest increases attributable to products used within the packaging market such as enclosures serving the fast-growing Data Center market, as well as oil and gas products and demand response products. We are strategically prioritizing the rapidly expanding Data Center sector, improving and increasing our manufacturing capacity and capabilities to meet and exceed our customers’ evolving demands for our products. The decreased sales within the transportation end market were primarily attributable to lower sales in the truck and school bus market as customer products have evolved, decrease in sales from our shifting sales away from some of our transportation customers, and new compliance and regulatory requirements have changed engine product offerings. Decreased industrial end market sales are primarily due to decreases in demand for products used within the material handling and arbor care markets, as well as the direct effects of enforcement of the UFLPA, which limited the Company’s ability to import certain raw materials in early 2024.</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increased during the three months ended June 30, 2024 by $8.2 million, or 31%, compared to the three months ended June 30, 2023. Gross margin was 31.8% and 22.1% during the three months ended June 30, 2024 and 2023, respectively. The increase in gross margin is primarily due to improved mix, pricing actions, higher operating efficiencies, and lower warranty costs primarily attributable to the Company’s sales shift away from certain transportation customers.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increased during the six months ended June 30, 2024 by $10.5 million, or 21%, compared to the six months ended June 30, 2023. Gross margin was 29.6% and 21.2% during the six months ended June 30, 2024 and 2023, respectively. The increase in gross margin is primarily due to improved mix, pricing actions, higher operating efficiencies, and lower warranty costs primarily attributable to the Company’s sales shift away from certain transportation customers.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during the three months ended June 30, 2024 and 2023 were $5.0 million and $4.7 million, respectively. The increase is primarily related to the testing of new products.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during the six months ended June 30, 2024 and 2023 were $10.2 million and $9.3 million, respectively. The increase is primarily related to the testing of new products.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(“SG&amp;A”) expenses decreased during the three months ended June 30, 2024 by $6.0 million, or 57%, compared to the three months ended June 30, 2023, due largely to a decrease in the legal reserve, lower professional fees and the decrease selling expenses associated with decreased sales in the transportation market.</w:t>
      </w:r>
    </w:p>
    <w:p>
      <w:pPr>
        <w:spacing w:after="0" w:line="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SG&amp;A decreased during the six months ended June 30, 2024 by $6.4 million, or 31%, compared to the six months ended June 30, 2023, primarily due to the decrease in the legal reserve, lower professional fees and the decrease selling expenses associated with decreased sales in the transportation market.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Interest expense was $2.9 million for the three months ended June 30, 2024, as compared to $4.6 million for the three months ended June 30, 2023, largely due to lower average outstanding debt, partially offset by higher overall effective interest rates on the Company’s debt. See Note 6.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included in Part 1, Item 1.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for additional information.</w:t>
      </w:r>
    </w:p>
    <w:p>
      <w:pPr>
        <w:spacing w:after="0" w:line="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Interest expense was $6.3 million for the six months ended June 30, 2024, as compared to $9.3 million for the six months ended June 30, 2023, largely due to lower average outstanding debt, partially offset by higher overall effective interest rates on the Company’s debt. See Note 6.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included in Part 1, Item 1.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for additional information.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Company recorded income tax expense of $0.9 million for the three months ended June 30, 2024, as compared to income tax expense of $0.2 million for the three months ended June 30, 2023. The Company’s pretax income was $22.4 million for the three months ended June 30, 2024, compared to a pretax income of $6.7 million for the three months ended June 30, 2023. The Company continues to record a full valuation allowance against deferred tax assets.</w:t>
      </w:r>
    </w:p>
    <w:p>
      <w:pPr>
        <w:spacing w:after="0" w:line="19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recorded income tax expense of $1.1 million for the six months ended June 30, 2024, as compared to income tax expense of $0.4 million for the six months ended June 30, 2023. The Company’s pretax income was $29.8 million for the six months ended June 30, 2024, compared to pretax income of $10.5 million for the six months ended June 30, 2023. The Company continues to record a full valuation allowance against deferred tax assets.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11.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included in Part I, Item 1.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for additional information related to the Company’s income tax provision.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addition to the results provided in accordance with U.S. GAAP above, this report also includes non-GAAP (adjusted) financial measures. Non-GAAP financial measures provide insight into selected financial information and should be evaluated in the context in which they are presented. These non-GAAP financial measures have limitations as analytical tools and should not be considered in isolation from, or as a substitute for, financial information presented in compliance with U.S. GAAP, and non-GAAP financial measures as reported by the Company may not be comparable to similarly titled amounts reported by other companies. The non-GAAP financial measures should be considered in conjunction with the consolidated financial statements, including the related notes, and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included in this report. Management does not use these non-GAAP financial measures for any purpose other than the reasons stated below.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Non-GAAP Financial Measure</w:t>
            </w:r>
          </w:p>
        </w:tc>
        <w:tc>
          <w:tcPr>
            <w:tcW w:w="708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6"/>
                <w:szCs w:val="16"/>
                <w:b w:val="1"/>
                <w:bCs w:val="1"/>
                <w:color w:val="auto"/>
              </w:rPr>
              <w:t>Comparable GAAP Financial Measure</w:t>
            </w:r>
          </w:p>
        </w:tc>
      </w:tr>
      <w:tr>
        <w:trPr>
          <w:trHeight w:val="21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income</w:t>
            </w:r>
          </w:p>
        </w:tc>
        <w:tc>
          <w:tcPr>
            <w:tcW w:w="708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6"/>
                <w:szCs w:val="16"/>
                <w:color w:val="auto"/>
              </w:rPr>
              <w:t>Net income</w:t>
            </w:r>
          </w:p>
        </w:tc>
      </w:tr>
      <w:tr>
        <w:trPr>
          <w:trHeight w:val="213"/>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net income per share – diluted</w:t>
            </w:r>
          </w:p>
        </w:tc>
        <w:tc>
          <w:tcPr>
            <w:tcW w:w="7080" w:type="dxa"/>
            <w:vAlign w:val="bottom"/>
          </w:tcPr>
          <w:p>
            <w:pPr>
              <w:ind w:left="1500"/>
              <w:spacing w:after="0"/>
              <w:rPr>
                <w:sz w:val="20"/>
                <w:szCs w:val="20"/>
                <w:color w:val="auto"/>
              </w:rPr>
            </w:pPr>
            <w:r>
              <w:rPr>
                <w:rFonts w:ascii="Times New Roman" w:cs="Times New Roman" w:eastAsia="Times New Roman" w:hAnsi="Times New Roman"/>
                <w:sz w:val="16"/>
                <w:szCs w:val="16"/>
                <w:color w:val="auto"/>
              </w:rPr>
              <w:t>Net income per share – diluted</w:t>
            </w:r>
          </w:p>
        </w:tc>
      </w:tr>
      <w:tr>
        <w:trPr>
          <w:trHeight w:val="21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708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6"/>
                <w:szCs w:val="16"/>
                <w:color w:val="auto"/>
              </w:rPr>
              <w:t>Net income</w:t>
            </w:r>
          </w:p>
        </w:tc>
      </w:tr>
      <w:tr>
        <w:trPr>
          <w:trHeight w:val="210"/>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7080" w:type="dxa"/>
            <w:vAlign w:val="bottom"/>
          </w:tcPr>
          <w:p>
            <w:pPr>
              <w:ind w:left="1500"/>
              <w:spacing w:after="0"/>
              <w:rPr>
                <w:sz w:val="20"/>
                <w:szCs w:val="20"/>
                <w:color w:val="auto"/>
              </w:rPr>
            </w:pPr>
            <w:r>
              <w:rPr>
                <w:rFonts w:ascii="Times New Roman" w:cs="Times New Roman" w:eastAsia="Times New Roman" w:hAnsi="Times New Roman"/>
                <w:sz w:val="16"/>
                <w:szCs w:val="16"/>
                <w:color w:val="auto"/>
              </w:rPr>
              <w:t>Net income</w:t>
            </w:r>
          </w:p>
        </w:tc>
      </w:tr>
    </w:tbl>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believes that Adjusted net income, Adjusted net income per share – diluted, EBITDA, and Adjusted EBITDA provide relevant and useful information, which is widely used by analysts, investors and competitors in its industry as well as by the Company’s management in assessing the performance of the Company. Adjusted net income is defined as net income as adjusted for certain items that the Company believes are not indicative of its ongoing operating performance. Adjusted net income per share – diluted is a measure of the Company’s diluted earnings per common share adjusted for the impact of special items. EBITDA provides the Company with an understanding of earnings before the impact of investing and financing charges and income taxes. Adjusted EBITDA further excludes the effects of other non-cash charges and certain other items that do not reflect the ordinary earnings of the Company’s operations.</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Adjusted net income, Adjusted net income per share – diluted, EBITDA, and Adjusted EBITDA are used by management for various purposes, including as a measure of performance of the Company’s operations and as a basis for strategic planning and forecasting. Adjusted net income, Adjusted net income per share – diluted, and Adjusted EBITDA may be useful to an investor because these measures are widely used to evaluate companies’ operating performance without regard to items excluded from the calculation of such measures, which can vary substantially from company to company depending on the accounting methods, the book value of assets, the capital structure and the method by which the assets were acquired, among other factors. They are not, however, intended as alternative measures of operating results or cash flow from operations as determined in accordance with U.S. GAAP.</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from Net income to Adjusted net income for the three and six months ended June 30, 2024 and 2023:</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820" w:type="dxa"/>
            <w:vAlign w:val="bottom"/>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For the Three Months Ended June 30,</w:t>
            </w:r>
          </w:p>
        </w:tc>
        <w:tc>
          <w:tcPr>
            <w:tcW w:w="120" w:type="dxa"/>
            <w:vAlign w:val="bottom"/>
          </w:tcPr>
          <w:p>
            <w:pPr>
              <w:spacing w:after="0"/>
              <w:rPr>
                <w:sz w:val="18"/>
                <w:szCs w:val="18"/>
                <w:color w:val="auto"/>
              </w:rPr>
            </w:pPr>
          </w:p>
        </w:tc>
        <w:tc>
          <w:tcPr>
            <w:tcW w:w="2600" w:type="dxa"/>
            <w:vAlign w:val="bottom"/>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r>
      <w:tr>
        <w:trPr>
          <w:trHeight w:val="211"/>
        </w:trPr>
        <w:tc>
          <w:tcPr>
            <w:tcW w:w="57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21,540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28,655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10,141</w:t>
            </w:r>
          </w:p>
        </w:tc>
      </w:tr>
      <w:tr>
        <w:trPr>
          <w:trHeight w:val="216"/>
        </w:trPr>
        <w:tc>
          <w:tcPr>
            <w:tcW w:w="570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Stock-based compensation </w:t>
            </w:r>
            <w:r>
              <w:rPr>
                <w:rFonts w:ascii="Times New Roman" w:cs="Times New Roman" w:eastAsia="Times New Roman" w:hAnsi="Times New Roman"/>
                <w:sz w:val="21"/>
                <w:szCs w:val="21"/>
                <w:color w:val="auto"/>
                <w:vertAlign w:val="superscript"/>
              </w:rPr>
              <w:t>1</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r>
      <w:tr>
        <w:trPr>
          <w:trHeight w:val="216"/>
        </w:trPr>
        <w:tc>
          <w:tcPr>
            <w:tcW w:w="570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Other legal matters </w:t>
            </w:r>
            <w:r>
              <w:rPr>
                <w:rFonts w:ascii="Times New Roman" w:cs="Times New Roman" w:eastAsia="Times New Roman" w:hAnsi="Times New Roman"/>
                <w:sz w:val="21"/>
                <w:szCs w:val="21"/>
                <w:color w:val="auto"/>
                <w:vertAlign w:val="superscript"/>
              </w:rPr>
              <w:t>2</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6"/>
        </w:trPr>
        <w:tc>
          <w:tcPr>
            <w:tcW w:w="570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Insurance proceeds </w:t>
            </w:r>
            <w:r>
              <w:rPr>
                <w:rFonts w:ascii="Times New Roman" w:cs="Times New Roman" w:eastAsia="Times New Roman" w:hAnsi="Times New Roman"/>
                <w:sz w:val="21"/>
                <w:szCs w:val="21"/>
                <w:color w:val="auto"/>
                <w:vertAlign w:val="superscript"/>
              </w:rPr>
              <w:t>3</w:t>
            </w:r>
          </w:p>
        </w:tc>
        <w:tc>
          <w:tcPr>
            <w:tcW w:w="2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34"/>
        </w:trPr>
        <w:tc>
          <w:tcPr>
            <w:tcW w:w="5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net income</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10,168</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0" w:name="page31"/>
    <w:bookmarkEnd w:id="30"/>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from Net income per share – diluted to Adjusted net income per share – diluted for the three and six months ended June 30, 2024 and 2023:</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20" w:type="dxa"/>
            <w:vAlign w:val="bottom"/>
          </w:tcPr>
          <w:p>
            <w:pPr>
              <w:spacing w:after="0"/>
              <w:rPr>
                <w:sz w:val="18"/>
                <w:szCs w:val="18"/>
                <w:color w:val="auto"/>
              </w:rPr>
            </w:pPr>
          </w:p>
        </w:tc>
        <w:tc>
          <w:tcPr>
            <w:tcW w:w="2800" w:type="dxa"/>
            <w:vAlign w:val="bottom"/>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For the Three Months Ended June 30,</w:t>
            </w:r>
          </w:p>
        </w:tc>
        <w:tc>
          <w:tcPr>
            <w:tcW w:w="120" w:type="dxa"/>
            <w:vAlign w:val="bottom"/>
          </w:tcPr>
          <w:p>
            <w:pPr>
              <w:spacing w:after="0"/>
              <w:rPr>
                <w:sz w:val="18"/>
                <w:szCs w:val="18"/>
                <w:color w:val="auto"/>
              </w:rPr>
            </w:pPr>
          </w:p>
        </w:tc>
        <w:tc>
          <w:tcPr>
            <w:tcW w:w="2600" w:type="dxa"/>
            <w:vAlign w:val="bottom"/>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r>
      <w:tr>
        <w:trPr>
          <w:trHeight w:val="211"/>
        </w:trPr>
        <w:tc>
          <w:tcPr>
            <w:tcW w:w="572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share – diluted</w:t>
            </w: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0.94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center"/>
              <w:ind w:left="679"/>
              <w:spacing w:after="0"/>
              <w:rPr>
                <w:sz w:val="20"/>
                <w:szCs w:val="20"/>
                <w:color w:val="auto"/>
              </w:rPr>
            </w:pPr>
            <w:r>
              <w:rPr>
                <w:rFonts w:ascii="Times New Roman" w:cs="Times New Roman" w:eastAsia="Times New Roman" w:hAnsi="Times New Roman"/>
                <w:sz w:val="16"/>
                <w:szCs w:val="16"/>
                <w:color w:val="auto"/>
                <w:w w:val="99"/>
              </w:rPr>
              <w:t>1.25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0.44</w:t>
            </w:r>
          </w:p>
        </w:tc>
      </w:tr>
      <w:tr>
        <w:trPr>
          <w:trHeight w:val="216"/>
        </w:trPr>
        <w:tc>
          <w:tcPr>
            <w:tcW w:w="572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Other legal matters </w:t>
            </w:r>
            <w:r>
              <w:rPr>
                <w:rFonts w:ascii="Times New Roman" w:cs="Times New Roman" w:eastAsia="Times New Roman" w:hAnsi="Times New Roman"/>
                <w:sz w:val="21"/>
                <w:szCs w:val="21"/>
                <w:color w:val="auto"/>
                <w:vertAlign w:val="superscript"/>
              </w:rPr>
              <w:t>2</w:t>
            </w:r>
          </w:p>
        </w:tc>
        <w:tc>
          <w:tcPr>
            <w:tcW w:w="82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0" w:type="dxa"/>
            <w:vAlign w:val="bottom"/>
          </w:tcPr>
          <w:p>
            <w:pPr>
              <w:jc w:val="center"/>
              <w:ind w:left="659"/>
              <w:spacing w:after="0"/>
              <w:rPr>
                <w:sz w:val="20"/>
                <w:szCs w:val="20"/>
                <w:color w:val="auto"/>
              </w:rPr>
            </w:pPr>
            <w:r>
              <w:rPr>
                <w:rFonts w:ascii="Times New Roman" w:cs="Times New Roman" w:eastAsia="Times New Roman" w:hAnsi="Times New Roman"/>
                <w:sz w:val="16"/>
                <w:szCs w:val="16"/>
                <w:color w:val="auto"/>
                <w:w w:val="98"/>
              </w:rPr>
              <w:t>(0.21)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4"/>
        </w:trPr>
        <w:tc>
          <w:tcPr>
            <w:tcW w:w="5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net income per share – diluted</w:t>
            </w:r>
          </w:p>
        </w:tc>
        <w:tc>
          <w:tcPr>
            <w:tcW w:w="8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center"/>
              <w:ind w:left="679"/>
              <w:spacing w:after="0"/>
              <w:rPr>
                <w:sz w:val="20"/>
                <w:szCs w:val="20"/>
                <w:color w:val="auto"/>
              </w:rPr>
            </w:pPr>
            <w:r>
              <w:rPr>
                <w:rFonts w:ascii="Times New Roman" w:cs="Times New Roman" w:eastAsia="Times New Roman" w:hAnsi="Times New Roman"/>
                <w:sz w:val="16"/>
                <w:szCs w:val="16"/>
                <w:color w:val="auto"/>
                <w:w w:val="99"/>
              </w:rPr>
              <w:t>1.04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0.44</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96"/>
        </w:trPr>
        <w:tc>
          <w:tcPr>
            <w:tcW w:w="5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216"/>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Diluted shares (in thousands)</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22,993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22,966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22,983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22,967</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from Net income to EBITDA and Adjusted EBITDA for the three and six months ended June 30, 2024 and 2023:</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800" w:type="dxa"/>
            <w:vAlign w:val="bottom"/>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For the Three Months Ended June 30,</w:t>
            </w:r>
          </w:p>
        </w:tc>
        <w:tc>
          <w:tcPr>
            <w:tcW w:w="120" w:type="dxa"/>
            <w:vAlign w:val="bottom"/>
          </w:tcPr>
          <w:p>
            <w:pPr>
              <w:spacing w:after="0"/>
              <w:rPr>
                <w:sz w:val="18"/>
                <w:szCs w:val="18"/>
                <w:color w:val="auto"/>
              </w:rPr>
            </w:pPr>
          </w:p>
        </w:tc>
        <w:tc>
          <w:tcPr>
            <w:tcW w:w="2600" w:type="dxa"/>
            <w:vAlign w:val="bottom"/>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r>
      <w:tr>
        <w:trPr>
          <w:trHeight w:val="211"/>
        </w:trPr>
        <w:tc>
          <w:tcPr>
            <w:tcW w:w="57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21,540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28,655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10,141</w:t>
            </w:r>
          </w:p>
        </w:tc>
      </w:tr>
      <w:tr>
        <w:trPr>
          <w:trHeight w:val="213"/>
        </w:trPr>
        <w:tc>
          <w:tcPr>
            <w:tcW w:w="5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9,310</w:t>
            </w:r>
          </w:p>
        </w:tc>
      </w:tr>
      <w:tr>
        <w:trPr>
          <w:trHeight w:val="219"/>
        </w:trPr>
        <w:tc>
          <w:tcPr>
            <w:tcW w:w="5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 expense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w:t>
            </w:r>
          </w:p>
        </w:tc>
      </w:tr>
      <w:tr>
        <w:trPr>
          <w:trHeight w:val="213"/>
        </w:trPr>
        <w:tc>
          <w:tcPr>
            <w:tcW w:w="5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1,975</w:t>
            </w:r>
          </w:p>
        </w:tc>
      </w:tr>
      <w:tr>
        <w:trPr>
          <w:trHeight w:val="219"/>
        </w:trPr>
        <w:tc>
          <w:tcPr>
            <w:tcW w:w="5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w:t>
            </w:r>
          </w:p>
        </w:tc>
      </w:tr>
      <w:tr>
        <w:trPr>
          <w:trHeight w:val="207"/>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EBITDA</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26,662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12,707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38,641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22,677</w:t>
            </w:r>
          </w:p>
        </w:tc>
      </w:tr>
      <w:tr>
        <w:trPr>
          <w:trHeight w:val="219"/>
        </w:trPr>
        <w:tc>
          <w:tcPr>
            <w:tcW w:w="5720" w:type="dxa"/>
            <w:vAlign w:val="bottom"/>
            <w:shd w:val="clear" w:color="auto" w:fill="CCEEFF"/>
          </w:tcPr>
          <w:p>
            <w:pPr>
              <w:ind w:left="220"/>
              <w:spacing w:after="0" w:line="219" w:lineRule="exact"/>
              <w:rPr>
                <w:sz w:val="20"/>
                <w:szCs w:val="20"/>
                <w:color w:val="auto"/>
              </w:rPr>
            </w:pPr>
            <w:r>
              <w:rPr>
                <w:rFonts w:ascii="Times New Roman" w:cs="Times New Roman" w:eastAsia="Times New Roman" w:hAnsi="Times New Roman"/>
                <w:sz w:val="16"/>
                <w:szCs w:val="16"/>
                <w:color w:val="auto"/>
              </w:rPr>
              <w:t xml:space="preserve">Stock-based compensation </w:t>
            </w:r>
            <w:r>
              <w:rPr>
                <w:rFonts w:ascii="Times New Roman" w:cs="Times New Roman" w:eastAsia="Times New Roman" w:hAnsi="Times New Roman"/>
                <w:sz w:val="21"/>
                <w:szCs w:val="21"/>
                <w:color w:val="auto"/>
                <w:vertAlign w:val="superscript"/>
              </w:rPr>
              <w:t>1</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r>
      <w:tr>
        <w:trPr>
          <w:trHeight w:val="216"/>
        </w:trPr>
        <w:tc>
          <w:tcPr>
            <w:tcW w:w="572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Other legal matters </w:t>
            </w:r>
            <w:r>
              <w:rPr>
                <w:rFonts w:ascii="Times New Roman" w:cs="Times New Roman" w:eastAsia="Times New Roman" w:hAnsi="Times New Roman"/>
                <w:sz w:val="21"/>
                <w:szCs w:val="21"/>
                <w:color w:val="auto"/>
                <w:vertAlign w:val="superscript"/>
              </w:rPr>
              <w:t>2</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6"/>
        </w:trPr>
        <w:tc>
          <w:tcPr>
            <w:tcW w:w="572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Insurance proceeds </w:t>
            </w:r>
            <w:r>
              <w:rPr>
                <w:rFonts w:ascii="Times New Roman" w:cs="Times New Roman" w:eastAsia="Times New Roman" w:hAnsi="Times New Roman"/>
                <w:sz w:val="21"/>
                <w:szCs w:val="21"/>
                <w:color w:val="auto"/>
                <w:vertAlign w:val="superscript"/>
              </w:rPr>
              <w:t>3</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0"/>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21,681</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12,647</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33,586</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22,704</w:t>
            </w:r>
          </w:p>
        </w:tc>
      </w:tr>
      <w:tr>
        <w:trPr>
          <w:trHeight w:val="20"/>
        </w:trPr>
        <w:tc>
          <w:tcPr>
            <w:tcW w:w="5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660" w:hanging="652"/>
        <w:spacing w:after="0" w:line="291" w:lineRule="auto"/>
        <w:tabs>
          <w:tab w:leader="none" w:pos="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non-cash stock-based compensation expense and have no material impact on the Adjusted net income per share – diluted for the three and six months ended June 30, 2024 and 2023.</w:t>
      </w:r>
    </w:p>
    <w:p>
      <w:pPr>
        <w:spacing w:after="0" w:line="1"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legal settlements for the three and six months ended June 30, 2024 and 2023.</w:t>
      </w:r>
    </w:p>
    <w:p>
      <w:pPr>
        <w:spacing w:after="0" w:line="55" w:lineRule="exact"/>
        <w:rPr>
          <w:rFonts w:ascii="Times New Roman" w:cs="Times New Roman" w:eastAsia="Times New Roman" w:hAnsi="Times New Roman"/>
          <w:sz w:val="14"/>
          <w:szCs w:val="14"/>
          <w:color w:val="auto"/>
        </w:rPr>
      </w:pPr>
    </w:p>
    <w:p>
      <w:pPr>
        <w:ind w:left="660" w:hanging="652"/>
        <w:spacing w:after="0" w:line="302" w:lineRule="auto"/>
        <w:tabs>
          <w:tab w:leader="none" w:pos="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insurance recoveries related to a prior year incident and have no material impact on the Adjusted net income per share – diluted for the three and six months ended June 30, 2024 and 2023.</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was impacted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20" w:type="dxa"/>
            <w:vAlign w:val="bottom"/>
          </w:tcPr>
          <w:p>
            <w:pPr>
              <w:spacing w:after="0"/>
              <w:rPr>
                <w:sz w:val="18"/>
                <w:szCs w:val="18"/>
                <w:color w:val="auto"/>
              </w:rPr>
            </w:pPr>
          </w:p>
        </w:tc>
        <w:tc>
          <w:tcPr>
            <w:tcW w:w="26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4"/>
        </w:trPr>
        <w:tc>
          <w:tcPr>
            <w:tcW w:w="55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1"/>
        </w:trPr>
        <w:tc>
          <w:tcPr>
            <w:tcW w:w="55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17,164</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26,574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(9,410)</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3"/>
        </w:trPr>
        <w:tc>
          <w:tcPr>
            <w:tcW w:w="5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6"/>
        </w:trPr>
        <w:tc>
          <w:tcPr>
            <w:tcW w:w="5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(21,678)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11,439</w:t>
            </w:r>
          </w:p>
        </w:tc>
        <w:tc>
          <w:tcPr>
            <w:tcW w:w="10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53 %</w:t>
            </w:r>
          </w:p>
        </w:tc>
      </w:tr>
      <w:tr>
        <w:trPr>
          <w:trHeight w:val="212"/>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increase in cash, cash equivalents, and restricted cash</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5,398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1,756</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48 %</w:t>
            </w: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35"/>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Capital expenditures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Six Months Ended June 30, 2024</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from Operating Activities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was $17.2 million for the six months ended June 30, 2024, compared to net cash provided by operating activities of $26.6 million for the six months ended June 30, 2023, resulting in a decrease of $9.4 million in cash provided by operating activities year-over-year. The decrease in cash provided by operating activities primarily resulted from a $30.0 million decrease of cash provided by working capital accounts, partially offset by an increase in earnings of $18.5</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1" w:name="page32"/>
    <w:bookmarkEnd w:id="31"/>
    <w:p>
      <w:pPr>
        <w:jc w:val="both"/>
        <w:spacing w:after="0" w:line="282" w:lineRule="auto"/>
        <w:rPr>
          <w:sz w:val="20"/>
          <w:szCs w:val="20"/>
          <w:color w:val="auto"/>
        </w:rPr>
      </w:pPr>
      <w:r>
        <w:rPr>
          <w:rFonts w:ascii="Times New Roman" w:cs="Times New Roman" w:eastAsia="Times New Roman" w:hAnsi="Times New Roman"/>
          <w:sz w:val="18"/>
          <w:szCs w:val="18"/>
          <w:color w:val="auto"/>
        </w:rPr>
        <w:t>million. The decrease in cash generated from working capital was primarily related to the increase of prepaid expenses, and offset by less purchases of inventory and less collections on accounts receivables for the six months ended June 30, 2024.</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from Investing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$1.5 million for the six months ended June 30, 2024, compared to cash used in investing activities of $1.3 million for the six months ended June 30, 2023. For the six months ended June 30, 2024 and 2023, cash used in investing activities primarily related to capital expenditures associated with normal maintenance of the Company’s facilities.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from Financing Activities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used $10.2 million in cash from financing activities for the six months ended June 30, 2024, compared to $21.7 million cash used by financing activities for the six months ended June 30, 2023. The cash used by financing activities for the six months ended June 30, 2024, was a result of repayment of existing debt year to date. See additional discussion below and in Note 6.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included in Part I, Item 1. Financial Statements, which further describe the Company’s debt arrangements.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sources of funds are cash flows from operations, borrowings made pursuant to its credit facilities and shareholder’s loan agreements, and cash and cash equivalents on hand. Principal uses of funds consist of payments of principal interest on our debt facilities and shareholder’s loan agreements, capital expenditures, and working capital needs.</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As of June 30, 2024, the Company’s total outstanding debt obligations under the Credit Agreement, the $25 Million Loan Agreement, the $50 Million Loan Agreement, the $30 Million Loan Agreement and for finance leases and other debt were $135.1 million in the aggregate, and its cash and cash equivalents were $28.8 million. See Item 1.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xml:space="preserve">, Note 6.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additional information.</w:t>
      </w:r>
    </w:p>
    <w:p>
      <w:pPr>
        <w:spacing w:after="0" w:line="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Uncertainties exist about the Company’s ability to refinance, extend, or repay its outstanding indebtedness under its existing debt arrangements, maintain sufficient liquidity to fund its business activities, and maintain compliance with the covenants and other requirements under the Credit Agreement or shareholder’s loan agreements in the future. Without additional financing, the Company anticipates that it will not have sufficient cash and cash equivalents to repay the outstanding indebtedness under the Company’s existing debt arrangements as they become due. Management currently plans to seek an extension and/or replacement of its existing debt arrangements or seek additional liquidity from its current or other lenders before the maturity dates in 2024 and 2025. There can be no assurance that the Company will be able to successfully complete a refinancing on acceptable terms or repay this outstanding indebtedness when required or if at all.</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Despite the recent recovery of the global economy, there continues to be challenges based on the current macroeconomic and geopolitical environment. Average crude oil prices reached the highest average price in five years in 2022 but have steadily declined while remaining near atop the 5-year averages at the end of the second quarter 2024. Rig counts in the U.S. oil markets remain below historical levels as of the second quarter of 2024. Despite increasing rig counts and crude oil prices, the Company believes that capital spending within the areas of the oil and gas market that it participates in remains below historical levels. While the Company saw an increase of sales to customers with traditional exposure to the oil and gas markets during 2023, as compared to the prior year, sales remain below historic levels. A significant portion of the Company’s sales and profitability has historically been derived from the sale of products that are used within the oil and gas industry. The Company continues to experience inflationary cost pressures for certain raw materials and other goods which the Company continues to try to mitigate through price increases and other cost reduction measures. Additionally, the Company continues to experience ongoing tariff costs for products and is trying to mitigate these impacts through price increases and other measures, such as seeking certain tariff exclusions, where possible. The potential for continued economic uncertainty and unfavorable oil and gas market dynamics may have a material adverse impact on the levels of future customer orders and the Company’s future business operations, financial condition and liquidity.</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Lastly, national inflationary pressures have continued to cause interest rates to remain elevated. Although the Company’s interest expense has decreased because of reduced debt balances, it may be subject to future increases from these inflationary pressures. Accordingly, the above challenges may continue to have a material adverse impact on the Company’s future results of operations, financial position, and liquidity.</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Due to uncertainties surrounding the Company’s future ability to refinance, extend, or repay its outstanding indebtedness under its existing debt arrangements, maintain sufficient liquidity to fund its business activities, and maintain compliance with the covenants and other requirements under the Credit Agreement or shareholder’s loan agreements in the future, substantial doubt exists as to its ability to continue as a going concern within one year after the date that these financial statements are issued. If the Company does not have sufficient liquidity to fund its business activities, it may be forced to limit its business activities or be unable to continue as a going concern, which would have a material adverse effect on its results of operations and financial condition.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2" w:name="page33"/>
    <w:bookmarkEnd w:id="32"/>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At June 30, 2024, the Company had four outstanding letters of credit totaling $1.4 million. See Item 1.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xml:space="preserve"> Note 10. </w:t>
      </w:r>
      <w:r>
        <w:rPr>
          <w:rFonts w:ascii="Times New Roman" w:cs="Times New Roman" w:eastAsia="Times New Roman" w:hAnsi="Times New Roman"/>
          <w:sz w:val="18"/>
          <w:szCs w:val="18"/>
          <w:i w:val="1"/>
          <w:iCs w:val="1"/>
          <w:color w:val="auto"/>
        </w:rPr>
        <w:t>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Contingencies </w:t>
      </w:r>
      <w:r>
        <w:rPr>
          <w:rFonts w:ascii="Times New Roman" w:cs="Times New Roman" w:eastAsia="Times New Roman" w:hAnsi="Times New Roman"/>
          <w:sz w:val="18"/>
          <w:szCs w:val="18"/>
          <w:color w:val="auto"/>
        </w:rPr>
        <w:t>for additional information related to the Company’s off-balance sheet arrangements and the outstanding letters of credit.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consolidated financial statements are prepared in accordance with U.S GAAP. Preparation of these financial statements requires the Company to make estimates, assumptions and judgments that affect the reported amounts of assets, liabilities, revenue and expenses, and related disclosure of contingent assets and liabilities. The Company’s most critical accounting policies and estimates are those most important to the portrayal of its financial condition and results of operations and which require the Company to make its most difficult and subjective judgments, often as a result of the need to make estimates regarding matters that are inherently uncertain. Although management believes that its estimates and assumptions are reasonable, they are based on information available when they are made and, therefore, may differ from estimates made under different assumptions or conditions.</w:t>
      </w:r>
    </w:p>
    <w:p>
      <w:pPr>
        <w:spacing w:after="0" w:line="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Company’s significant accounting policies are consistent with those discussed in Note 1. </w:t>
      </w:r>
      <w:r>
        <w:rPr>
          <w:rFonts w:ascii="Times New Roman" w:cs="Times New Roman" w:eastAsia="Times New Roman" w:hAnsi="Times New Roman"/>
          <w:sz w:val="18"/>
          <w:szCs w:val="18"/>
          <w:i w:val="1"/>
          <w:iCs w:val="1"/>
          <w:color w:val="auto"/>
        </w:rPr>
        <w:t>Summary of Significant Accounting Policies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to the consolidated financial statements and the MD&amp;A section of the Company’s 2023 Annual Report. During the six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there were no significant changes in the application of critical accounting policies.</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identified the following accounting policies as its most critical because they require the Company to make difficult, subjective, and complex judgments and estimates:</w:t>
      </w:r>
    </w:p>
    <w:p>
      <w:pPr>
        <w:spacing w:after="0" w:line="54"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Impairment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New Accounting Standards</w:t>
      </w:r>
    </w:p>
    <w:p>
      <w:pPr>
        <w:spacing w:after="0" w:line="11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For information about recently issued accounting pronouncements, see Note 1. </w:t>
      </w:r>
      <w:r>
        <w:rPr>
          <w:rFonts w:ascii="Times New Roman" w:cs="Times New Roman" w:eastAsia="Times New Roman" w:hAnsi="Times New Roman"/>
          <w:sz w:val="18"/>
          <w:szCs w:val="18"/>
          <w:i w:val="1"/>
          <w:iCs w:val="1"/>
          <w:color w:val="auto"/>
        </w:rPr>
        <w:t>Summary of Significant Accounting Policies and Other Information</w:t>
      </w:r>
      <w:r>
        <w:rPr>
          <w:rFonts w:ascii="Times New Roman" w:cs="Times New Roman" w:eastAsia="Times New Roman" w:hAnsi="Times New Roman"/>
          <w:sz w:val="18"/>
          <w:szCs w:val="18"/>
          <w:color w:val="auto"/>
        </w:rPr>
        <w:t>, included in Part 1, Item 1.</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33" w:name="page34"/>
    <w:bookmarkEnd w:id="33"/>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a smaller reporting company as defined by Rule 12b-2 of the Exchange Act and is not required to provide the information under this item.</w:t>
      </w:r>
    </w:p>
    <w:p>
      <w:pPr>
        <w:spacing w:after="0" w:line="200" w:lineRule="exact"/>
        <w:rPr>
          <w:sz w:val="20"/>
          <w:szCs w:val="20"/>
          <w:color w:val="auto"/>
        </w:rPr>
      </w:pPr>
    </w:p>
    <w:p>
      <w:pPr>
        <w:spacing w:after="0" w:line="25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1" w:right="399" w:bottom="1440" w:gutter="0" w:footer="0" w:header="0"/>
        </w:sectPr>
      </w:pPr>
    </w:p>
    <w:bookmarkStart w:id="34" w:name="page35"/>
    <w:bookmarkEnd w:id="34"/>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term “disclosure controls and procedures” is defined in Rule 13a-15(e) of the Exchange Act as “controls and other procedures of an issuer that are designed to ensure that information required to be disclosed by the issuer in the reports that it files or submits under the Exchange Act are recorded, processed, summarized and reported, within the time periods specified in the SEC rules and forms.” The Company’s disclosure controls and procedures are designed to ensure that material information relating to the Company and its consolidated subsidiaries is accumulated and communicated to its management, including its Chief Executive Officer and its Chief Financial Officer, as appropriate to allow timely decisions regarding required disclosures.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with the participation of its Chief Executive Officer and Chief Financial Officer, conducted an evaluation of the effectiveness of its disclosure controls and procedures as of June 30, 2024. Based upon that evaluation, the Company’s Chief Executive Officer and Chief Financial Officer have concluded that the Company’s disclosure controls and procedures were effective as of June 30, 2024, to provide reasonable assurance that information required to be disclosed in the reports that it files or submits under the Exchange Act is recorded, processed, summarized and reported within the time periods specified by the rules and forms of the Exchange Act, and that such information is accumulated and communicated to management, including our Chief Executive Officer and Chief Financial Officer, as appropriate, to allow timely decisions regarding required disclosure.</w:t>
      </w:r>
    </w:p>
    <w:p>
      <w:pPr>
        <w:spacing w:after="0" w:line="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Management recognizes that any controls and procedures, no matter how well designed and operated, can provide only reasonable assurance of achieving their objectives, and management necessarily applies its judgment in evaluating the benefits of possible controls and procedures relative to their costs.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has been no change in the Company’s internal control over financial reporting during the second quarter of 2024 that has materially affected, or is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1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See Note 10.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included in Part I, Item 1.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for a discussion of legal proceedings, which are incorporated herein by reference.</w:t>
      </w:r>
    </w:p>
    <w:p>
      <w:pPr>
        <w:spacing w:after="0" w:line="15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a smaller reporting company as defined by Rule 12b-2 of the Exchange Act and is not required to provide the information under this item.</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6" w:name="page37"/>
    <w:bookmarkEnd w:id="36"/>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2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The following documents listed below that have been previously filed with the SEC (1934 Act File No. 001-35944) are incorporated herein by reference:</w:t>
      </w:r>
    </w:p>
    <w:p>
      <w:pPr>
        <w:spacing w:after="0" w:line="268"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6"/>
          <w:szCs w:val="16"/>
          <w:b w:val="1"/>
          <w:bCs w:val="1"/>
          <w:color w:val="auto"/>
        </w:rPr>
        <w:t>Incorporated by Reference Herein</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Exhibit No.</w:t>
            </w:r>
          </w:p>
        </w:tc>
        <w:tc>
          <w:tcPr>
            <w:tcW w:w="480" w:type="dxa"/>
            <w:vAlign w:val="bottom"/>
            <w:tcBorders>
              <w:top w:val="single" w:sz="8" w:color="auto"/>
            </w:tcBorders>
          </w:tcPr>
          <w:p>
            <w:pPr>
              <w:spacing w:after="0"/>
              <w:rPr>
                <w:sz w:val="18"/>
                <w:szCs w:val="18"/>
                <w:color w:val="auto"/>
              </w:rPr>
            </w:pPr>
          </w:p>
        </w:tc>
        <w:tc>
          <w:tcPr>
            <w:tcW w:w="6160" w:type="dxa"/>
            <w:vAlign w:val="bottom"/>
            <w:tcBorders>
              <w:top w:val="single" w:sz="8" w:color="auto"/>
            </w:tcBorders>
            <w:gridSpan w:val="10"/>
          </w:tcPr>
          <w:p>
            <w:pPr>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Form</w:t>
            </w:r>
          </w:p>
        </w:tc>
        <w:tc>
          <w:tcPr>
            <w:tcW w:w="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Filing Date</w:t>
            </w:r>
          </w:p>
        </w:tc>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File No.</w:t>
            </w:r>
          </w:p>
        </w:tc>
      </w:tr>
      <w:tr>
        <w:trPr>
          <w:trHeight w:val="179"/>
        </w:trPr>
        <w:tc>
          <w:tcPr>
            <w:tcW w:w="94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color w:val="auto"/>
                <w:w w:val="99"/>
              </w:rPr>
              <w:t>10.1</w:t>
            </w:r>
          </w:p>
        </w:tc>
        <w:tc>
          <w:tcPr>
            <w:tcW w:w="480" w:type="dxa"/>
            <w:vAlign w:val="bottom"/>
          </w:tcPr>
          <w:p>
            <w:pPr>
              <w:spacing w:after="0"/>
              <w:rPr>
                <w:sz w:val="15"/>
                <w:szCs w:val="15"/>
                <w:color w:val="auto"/>
              </w:rPr>
            </w:pPr>
          </w:p>
        </w:tc>
        <w:tc>
          <w:tcPr>
            <w:tcW w:w="6160" w:type="dxa"/>
            <w:vAlign w:val="bottom"/>
            <w:gridSpan w:val="10"/>
          </w:tcPr>
          <w:p>
            <w:pPr>
              <w:spacing w:after="0" w:line="179" w:lineRule="exact"/>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u w:val="single" w:color="auto"/>
                  <w:color w:val="0000FF"/>
                </w:rPr>
                <w:t>$</w:t>
              </w:r>
              <w:r>
                <w:rPr>
                  <w:rFonts w:ascii="Times New Roman" w:cs="Times New Roman" w:eastAsia="Times New Roman" w:hAnsi="Times New Roman"/>
                  <w:sz w:val="16"/>
                  <w:szCs w:val="16"/>
                  <w:color w:val="0000FF"/>
                </w:rPr>
                <w:t>25 Million Third Amended and Restated Shareholder’s Loan Agreement, dated as of May</w:t>
              </w:r>
            </w:hyperlink>
          </w:p>
        </w:tc>
        <w:tc>
          <w:tcPr>
            <w:tcW w:w="62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color w:val="auto"/>
                <w:w w:val="96"/>
              </w:rPr>
              <w:t>8-K</w:t>
            </w:r>
          </w:p>
        </w:tc>
        <w:tc>
          <w:tcPr>
            <w:tcW w:w="820" w:type="dxa"/>
            <w:vAlign w:val="bottom"/>
          </w:tcPr>
          <w:p>
            <w:pPr>
              <w:jc w:val="right"/>
              <w:ind w:right="179"/>
              <w:spacing w:after="0" w:line="179" w:lineRule="exact"/>
              <w:rPr>
                <w:sz w:val="20"/>
                <w:szCs w:val="20"/>
                <w:color w:val="auto"/>
              </w:rPr>
            </w:pPr>
            <w:r>
              <w:rPr>
                <w:rFonts w:ascii="Times New Roman" w:cs="Times New Roman" w:eastAsia="Times New Roman" w:hAnsi="Times New Roman"/>
                <w:sz w:val="16"/>
                <w:szCs w:val="16"/>
                <w:color w:val="auto"/>
              </w:rPr>
              <w:t>10.1</w:t>
            </w:r>
          </w:p>
        </w:tc>
        <w:tc>
          <w:tcPr>
            <w:tcW w:w="1080" w:type="dxa"/>
            <w:vAlign w:val="bottom"/>
          </w:tcPr>
          <w:p>
            <w:pPr>
              <w:ind w:left="160"/>
              <w:spacing w:after="0" w:line="179" w:lineRule="exact"/>
              <w:rPr>
                <w:sz w:val="20"/>
                <w:szCs w:val="20"/>
                <w:color w:val="auto"/>
              </w:rPr>
            </w:pPr>
            <w:r>
              <w:rPr>
                <w:rFonts w:ascii="Times New Roman" w:cs="Times New Roman" w:eastAsia="Times New Roman" w:hAnsi="Times New Roman"/>
                <w:sz w:val="16"/>
                <w:szCs w:val="16"/>
                <w:color w:val="auto"/>
              </w:rPr>
              <w:t>05/21/2024</w:t>
            </w:r>
          </w:p>
        </w:tc>
        <w:tc>
          <w:tcPr>
            <w:tcW w:w="1080" w:type="dxa"/>
            <w:vAlign w:val="bottom"/>
          </w:tcPr>
          <w:p>
            <w:pPr>
              <w:jc w:val="right"/>
              <w:ind w:right="139"/>
              <w:spacing w:after="0" w:line="179" w:lineRule="exact"/>
              <w:rPr>
                <w:sz w:val="20"/>
                <w:szCs w:val="20"/>
                <w:color w:val="auto"/>
              </w:rPr>
            </w:pPr>
            <w:r>
              <w:rPr>
                <w:rFonts w:ascii="Times New Roman" w:cs="Times New Roman" w:eastAsia="Times New Roman" w:hAnsi="Times New Roman"/>
                <w:sz w:val="16"/>
                <w:szCs w:val="16"/>
                <w:color w:val="auto"/>
              </w:rPr>
              <w:t>001-35944</w:t>
            </w:r>
          </w:p>
        </w:tc>
      </w:tr>
      <w:tr>
        <w:trPr>
          <w:trHeight w:val="142"/>
        </w:trPr>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940" w:type="dxa"/>
            <w:vAlign w:val="bottom"/>
            <w:tcBorders>
              <w:top w:val="single" w:sz="8" w:color="0000FF"/>
              <w:bottom w:val="single" w:sz="8" w:color="0000FF"/>
            </w:tcBorders>
            <w:gridSpan w:val="4"/>
          </w:tcPr>
          <w:p>
            <w:pPr>
              <w:spacing w:after="0" w:line="142" w:lineRule="exact"/>
              <w:rPr>
                <w:rFonts w:ascii="Times New Roman" w:cs="Times New Roman" w:eastAsia="Times New Roman" w:hAnsi="Times New Roman"/>
                <w:sz w:val="16"/>
                <w:szCs w:val="16"/>
                <w:color w:val="0000FF"/>
              </w:rPr>
            </w:pPr>
            <w:hyperlink r:id="rId55">
              <w:r>
                <w:rPr>
                  <w:rFonts w:ascii="Times New Roman" w:cs="Times New Roman" w:eastAsia="Times New Roman" w:hAnsi="Times New Roman"/>
                  <w:sz w:val="16"/>
                  <w:szCs w:val="16"/>
                  <w:color w:val="0000FF"/>
                </w:rPr>
                <w:t>20, 2024, between the Company and Weichai America Corp.</w:t>
              </w:r>
            </w:hyperlink>
          </w:p>
        </w:tc>
        <w:tc>
          <w:tcPr>
            <w:tcW w:w="2180" w:type="dxa"/>
            <w:vAlign w:val="bottom"/>
            <w:tcBorders>
              <w:top w:val="single" w:sz="8" w:color="0000FF"/>
            </w:tcBorders>
            <w:gridSpan w:val="5"/>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9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31.1</w:t>
            </w:r>
          </w:p>
        </w:tc>
        <w:tc>
          <w:tcPr>
            <w:tcW w:w="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16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as adopted pursuant to Section 302 of the Sarbanes-</w:t>
            </w: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42"/>
        </w:trPr>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60" w:type="dxa"/>
            <w:vAlign w:val="bottom"/>
            <w:tcBorders>
              <w:top w:val="single" w:sz="8" w:color="0000FF"/>
            </w:tcBorders>
            <w:gridSpan w:val="6"/>
          </w:tcPr>
          <w:p>
            <w:pPr>
              <w:spacing w:after="0" w:line="142" w:lineRule="exact"/>
              <w:rPr>
                <w:sz w:val="20"/>
                <w:szCs w:val="20"/>
                <w:color w:val="auto"/>
              </w:rPr>
            </w:pPr>
            <w:r>
              <w:rPr>
                <w:rFonts w:ascii="Times New Roman" w:cs="Times New Roman" w:eastAsia="Times New Roman" w:hAnsi="Times New Roman"/>
                <w:sz w:val="16"/>
                <w:szCs w:val="16"/>
                <w:color w:val="0000FF"/>
              </w:rPr>
              <w:t>Oxley Act of 2002.</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20"/>
        </w:trPr>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31.2</w:t>
            </w:r>
          </w:p>
        </w:tc>
        <w:tc>
          <w:tcPr>
            <w:tcW w:w="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16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as adopted pursuant to Section 302 of the Sarbanes-</w:t>
            </w: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42"/>
        </w:trPr>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40" w:type="dxa"/>
            <w:vAlign w:val="bottom"/>
            <w:tcBorders>
              <w:top w:val="single" w:sz="8" w:color="0000FF"/>
            </w:tcBorders>
            <w:gridSpan w:val="5"/>
          </w:tcPr>
          <w:p>
            <w:pPr>
              <w:spacing w:after="0" w:line="142" w:lineRule="exact"/>
              <w:rPr>
                <w:sz w:val="20"/>
                <w:szCs w:val="20"/>
                <w:color w:val="auto"/>
              </w:rPr>
            </w:pPr>
            <w:r>
              <w:rPr>
                <w:rFonts w:ascii="Times New Roman" w:cs="Times New Roman" w:eastAsia="Times New Roman" w:hAnsi="Times New Roman"/>
                <w:sz w:val="16"/>
                <w:szCs w:val="16"/>
                <w:color w:val="0000FF"/>
              </w:rPr>
              <w:t>Oxley Act of 2002.</w:t>
            </w: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20"/>
        </w:trPr>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32.1</w:t>
            </w:r>
          </w:p>
        </w:tc>
        <w:tc>
          <w:tcPr>
            <w:tcW w:w="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16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18 U.S.C. Section 1350, as adopted</w:t>
            </w: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42"/>
        </w:trPr>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80" w:type="dxa"/>
            <w:vAlign w:val="bottom"/>
            <w:tcBorders>
              <w:top w:val="single" w:sz="8" w:color="0000FF"/>
              <w:bottom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6"/>
                <w:szCs w:val="16"/>
                <w:color w:val="0000FF"/>
              </w:rPr>
              <w:t>pursuant to Section 906 of the Sarbanes Oxley Act of 2002.</w:t>
            </w:r>
          </w:p>
        </w:tc>
        <w:tc>
          <w:tcPr>
            <w:tcW w:w="2220" w:type="dxa"/>
            <w:vAlign w:val="bottom"/>
            <w:tcBorders>
              <w:top w:val="single" w:sz="8" w:color="0000FF"/>
            </w:tcBorders>
            <w:gridSpan w:val="5"/>
          </w:tcPr>
          <w:p>
            <w:pPr>
              <w:spacing w:after="0"/>
              <w:rPr>
                <w:sz w:val="12"/>
                <w:szCs w:val="12"/>
                <w:color w:val="auto"/>
              </w:rPr>
            </w:pPr>
          </w:p>
        </w:tc>
        <w:tc>
          <w:tcPr>
            <w:tcW w:w="60" w:type="dxa"/>
            <w:vAlign w:val="bottom"/>
            <w:gridSpan w:val="2"/>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9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32.2</w:t>
            </w:r>
          </w:p>
        </w:tc>
        <w:tc>
          <w:tcPr>
            <w:tcW w:w="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16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18 U.S.C. Section 1350, as adopted</w:t>
            </w: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42"/>
        </w:trPr>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60" w:type="dxa"/>
            <w:vAlign w:val="bottom"/>
            <w:tcBorders>
              <w:top w:val="single" w:sz="8" w:color="0000FF"/>
              <w:bottom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rPr>
              <w:t>pursuant to Section 906 of the Sarbanes Oxley Act of 2002.</w:t>
            </w:r>
          </w:p>
        </w:tc>
        <w:tc>
          <w:tcPr>
            <w:tcW w:w="2220" w:type="dxa"/>
            <w:vAlign w:val="bottom"/>
            <w:tcBorders>
              <w:top w:val="single" w:sz="8" w:color="0000FF"/>
            </w:tcBorders>
            <w:gridSpan w:val="5"/>
          </w:tcPr>
          <w:p>
            <w:pPr>
              <w:spacing w:after="0"/>
              <w:rPr>
                <w:sz w:val="12"/>
                <w:szCs w:val="12"/>
                <w:color w:val="auto"/>
              </w:rPr>
            </w:pPr>
          </w:p>
        </w:tc>
        <w:tc>
          <w:tcPr>
            <w:tcW w:w="80" w:type="dxa"/>
            <w:vAlign w:val="bottom"/>
            <w:gridSpan w:val="3"/>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231"/>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101.INS</w:t>
            </w:r>
          </w:p>
        </w:tc>
        <w:tc>
          <w:tcPr>
            <w:tcW w:w="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16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XBRL Instance Document.</w:t>
            </w: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101.SCH</w:t>
            </w:r>
          </w:p>
        </w:tc>
        <w:tc>
          <w:tcPr>
            <w:tcW w:w="480" w:type="dxa"/>
            <w:vAlign w:val="bottom"/>
          </w:tcPr>
          <w:p>
            <w:pPr>
              <w:spacing w:after="0"/>
              <w:rPr>
                <w:sz w:val="18"/>
                <w:szCs w:val="18"/>
                <w:color w:val="auto"/>
              </w:rPr>
            </w:pPr>
          </w:p>
        </w:tc>
        <w:tc>
          <w:tcPr>
            <w:tcW w:w="616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101.CAL</w:t>
            </w:r>
          </w:p>
        </w:tc>
        <w:tc>
          <w:tcPr>
            <w:tcW w:w="480" w:type="dxa"/>
            <w:vAlign w:val="bottom"/>
          </w:tcPr>
          <w:p>
            <w:pPr>
              <w:spacing w:after="0"/>
              <w:rPr>
                <w:sz w:val="18"/>
                <w:szCs w:val="18"/>
                <w:color w:val="auto"/>
              </w:rPr>
            </w:pPr>
          </w:p>
        </w:tc>
        <w:tc>
          <w:tcPr>
            <w:tcW w:w="616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101.LAB</w:t>
            </w:r>
          </w:p>
        </w:tc>
        <w:tc>
          <w:tcPr>
            <w:tcW w:w="480" w:type="dxa"/>
            <w:vAlign w:val="bottom"/>
          </w:tcPr>
          <w:p>
            <w:pPr>
              <w:spacing w:after="0"/>
              <w:rPr>
                <w:sz w:val="18"/>
                <w:szCs w:val="18"/>
                <w:color w:val="auto"/>
              </w:rPr>
            </w:pPr>
          </w:p>
        </w:tc>
        <w:tc>
          <w:tcPr>
            <w:tcW w:w="616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XBRL Taxonomy Extension Labels Linkbase Document.</w:t>
            </w: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101.PRE</w:t>
            </w:r>
          </w:p>
        </w:tc>
        <w:tc>
          <w:tcPr>
            <w:tcW w:w="480" w:type="dxa"/>
            <w:vAlign w:val="bottom"/>
          </w:tcPr>
          <w:p>
            <w:pPr>
              <w:spacing w:after="0"/>
              <w:rPr>
                <w:sz w:val="18"/>
                <w:szCs w:val="18"/>
                <w:color w:val="auto"/>
              </w:rPr>
            </w:pPr>
          </w:p>
        </w:tc>
        <w:tc>
          <w:tcPr>
            <w:tcW w:w="616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101.DEF</w:t>
            </w:r>
          </w:p>
        </w:tc>
        <w:tc>
          <w:tcPr>
            <w:tcW w:w="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616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XBRL Taxonomy Definition Linkbase Document.</w:t>
            </w: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r>
    </w:tbl>
    <w:p>
      <w:pPr>
        <w:spacing w:after="0" w:line="6" w:lineRule="exact"/>
        <w:rPr>
          <w:sz w:val="20"/>
          <w:szCs w:val="20"/>
          <w:color w:val="auto"/>
        </w:rPr>
      </w:pPr>
    </w:p>
    <w:p>
      <w:pPr>
        <w:ind w:left="1040" w:hanging="634"/>
        <w:spacing w:after="0"/>
        <w:tabs>
          <w:tab w:leader="none" w:pos="1040"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(embedded within the Inline XBRL document)</w:t>
      </w:r>
    </w:p>
    <w:p>
      <w:pPr>
        <w:spacing w:after="0" w:line="10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*Filed with this Report.</w:t>
      </w:r>
    </w:p>
    <w:p>
      <w:pPr>
        <w:spacing w:after="0" w:line="17" w:lineRule="exact"/>
        <w:rPr>
          <w:rFonts w:ascii="Times New Roman" w:cs="Times New Roman" w:eastAsia="Times New Roman" w:hAnsi="Times New Roman"/>
          <w:sz w:val="16"/>
          <w:szCs w:val="16"/>
          <w:color w:val="auto"/>
        </w:rPr>
      </w:pPr>
    </w:p>
    <w:p>
      <w:pPr>
        <w:ind w:left="660" w:hanging="652"/>
        <w:spacing w:after="0" w:line="278" w:lineRule="auto"/>
        <w:tabs>
          <w:tab w:leader="none" w:pos="655"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exhibit shall not be deemed “filed” for purposes of Section 18 of the Exchange Act, or otherwise subject to the liability of that Section. Such exhibit shall not be deemed incorporated into any filing under the Securities Act of 1933, as amended, or the Exchange Act.</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the registrant has duly caused this Report to be signed on its behalf by the undersigned, thereunto duly authorized, on the 12th day of August 2024.</w:t>
      </w:r>
    </w:p>
    <w:p>
      <w:pPr>
        <w:spacing w:after="0" w:line="24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6"/>
          <w:szCs w:val="16"/>
          <w:b w:val="1"/>
          <w:bCs w:val="1"/>
          <w:color w:val="auto"/>
        </w:rPr>
        <w:t>POWER SOLUTIONS INTERNATIONAL, INC.</w:t>
      </w:r>
    </w:p>
    <w:p>
      <w:pPr>
        <w:spacing w:after="0" w:line="88" w:lineRule="exact"/>
        <w:rPr>
          <w:sz w:val="20"/>
          <w:szCs w:val="20"/>
          <w:color w:val="auto"/>
        </w:rPr>
      </w:pPr>
    </w:p>
    <w:tbl>
      <w:tblPr>
        <w:tblLayout w:type="fixed"/>
        <w:tblInd w:w="5280" w:type="dxa"/>
        <w:tblCellMar>
          <w:top w:w="0" w:type="dxa"/>
          <w:left w:w="0" w:type="dxa"/>
          <w:bottom w:w="0" w:type="dxa"/>
          <w:right w:w="0" w:type="dxa"/>
        </w:tblCellMar>
      </w:tblPr>
      <w:tr>
        <w:trPr>
          <w:trHeight w:val="210"/>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Xun Li</w:t>
            </w:r>
          </w:p>
        </w:tc>
      </w:tr>
      <w:tr>
        <w:trPr>
          <w:trHeight w:val="250"/>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Name:</w:t>
            </w:r>
          </w:p>
        </w:tc>
        <w:tc>
          <w:tcPr>
            <w:tcW w:w="4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Xun Li</w:t>
            </w: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 (Principal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20"/>
          </w:cols>
          <w:pgMar w:left="320" w:top="1211" w:right="35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17 CFR 240.13a-14 PROMULGATED UNDER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Dino Xykis, certify that:</w:t>
      </w:r>
    </w:p>
    <w:p>
      <w:pPr>
        <w:spacing w:after="0" w:line="117" w:lineRule="exact"/>
        <w:rPr>
          <w:sz w:val="20"/>
          <w:szCs w:val="20"/>
          <w:color w:val="auto"/>
        </w:rPr>
      </w:pPr>
    </w:p>
    <w:p>
      <w:pPr>
        <w:ind w:left="180" w:hanging="172"/>
        <w:spacing w:after="0"/>
        <w:tabs>
          <w:tab w:leader="none" w:pos="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Power Solutions International, Inc.;</w:t>
      </w:r>
    </w:p>
    <w:p>
      <w:pPr>
        <w:spacing w:after="0" w:line="117" w:lineRule="exact"/>
        <w:rPr>
          <w:rFonts w:ascii="Times New Roman" w:cs="Times New Roman" w:eastAsia="Times New Roman" w:hAnsi="Times New Roman"/>
          <w:sz w:val="18"/>
          <w:szCs w:val="18"/>
          <w:color w:val="auto"/>
        </w:rPr>
      </w:pPr>
    </w:p>
    <w:p>
      <w:pPr>
        <w:ind w:left="340" w:hanging="332"/>
        <w:spacing w:after="0" w:line="266" w:lineRule="auto"/>
        <w:tabs>
          <w:tab w:leader="none" w:pos="20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61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49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820" w:hanging="488"/>
        <w:spacing w:after="0" w:line="266" w:lineRule="auto"/>
        <w:tabs>
          <w:tab w:leader="none" w:pos="59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820" w:hanging="488"/>
        <w:spacing w:after="0" w:line="266" w:lineRule="auto"/>
        <w:tabs>
          <w:tab w:leader="none" w:pos="90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820" w:hanging="488"/>
        <w:spacing w:after="0" w:line="282" w:lineRule="auto"/>
        <w:tabs>
          <w:tab w:leader="none" w:pos="92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820" w:hanging="488"/>
        <w:spacing w:after="0" w:line="266" w:lineRule="auto"/>
        <w:tabs>
          <w:tab w:leader="none" w:pos="8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20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820" w:right="20" w:hanging="488"/>
        <w:spacing w:after="0" w:line="282" w:lineRule="auto"/>
        <w:tabs>
          <w:tab w:leader="none" w:pos="78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820" w:hanging="488"/>
        <w:spacing w:after="0" w:line="282" w:lineRule="auto"/>
        <w:tabs>
          <w:tab w:leader="none" w:pos="78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Date: August 12, 2024</w:t>
            </w:r>
          </w:p>
        </w:tc>
        <w:tc>
          <w:tcPr>
            <w:tcW w:w="3080" w:type="dxa"/>
            <w:vAlign w:val="bottom"/>
          </w:tcPr>
          <w:p>
            <w:pPr>
              <w:ind w:left="2240"/>
              <w:spacing w:after="0"/>
              <w:rPr>
                <w:sz w:val="20"/>
                <w:szCs w:val="20"/>
                <w:color w:val="auto"/>
              </w:rPr>
            </w:pPr>
            <w:r>
              <w:rPr>
                <w:rFonts w:ascii="Times New Roman" w:cs="Times New Roman" w:eastAsia="Times New Roman" w:hAnsi="Times New Roman"/>
                <w:sz w:val="16"/>
                <w:szCs w:val="16"/>
                <w:color w:val="auto"/>
              </w:rPr>
              <w:t>By:</w:t>
            </w:r>
          </w:p>
        </w:tc>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Dino Xykis</w:t>
            </w:r>
          </w:p>
        </w:tc>
      </w:tr>
      <w:tr>
        <w:trPr>
          <w:trHeight w:val="212"/>
        </w:trPr>
        <w:tc>
          <w:tcPr>
            <w:tcW w:w="3720" w:type="dxa"/>
            <w:vAlign w:val="bottom"/>
          </w:tcPr>
          <w:p>
            <w:pPr>
              <w:spacing w:after="0"/>
              <w:rPr>
                <w:sz w:val="18"/>
                <w:szCs w:val="18"/>
                <w:color w:val="auto"/>
              </w:rPr>
            </w:pPr>
          </w:p>
        </w:tc>
        <w:tc>
          <w:tcPr>
            <w:tcW w:w="3080" w:type="dxa"/>
            <w:vAlign w:val="bottom"/>
          </w:tcPr>
          <w:p>
            <w:pPr>
              <w:ind w:left="2240"/>
              <w:spacing w:after="0"/>
              <w:rPr>
                <w:sz w:val="20"/>
                <w:szCs w:val="20"/>
                <w:color w:val="auto"/>
              </w:rPr>
            </w:pPr>
            <w:r>
              <w:rPr>
                <w:rFonts w:ascii="Times New Roman" w:cs="Times New Roman" w:eastAsia="Times New Roman" w:hAnsi="Times New Roman"/>
                <w:sz w:val="16"/>
                <w:szCs w:val="16"/>
                <w:color w:val="auto"/>
              </w:rPr>
              <w:t>Name:</w:t>
            </w:r>
          </w:p>
        </w:tc>
        <w:tc>
          <w:tcPr>
            <w:tcW w:w="4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Dino Xykis</w:t>
            </w:r>
          </w:p>
        </w:tc>
      </w:tr>
      <w:tr>
        <w:trPr>
          <w:trHeight w:val="214"/>
        </w:trPr>
        <w:tc>
          <w:tcPr>
            <w:tcW w:w="3720" w:type="dxa"/>
            <w:vAlign w:val="bottom"/>
          </w:tcPr>
          <w:p>
            <w:pPr>
              <w:spacing w:after="0"/>
              <w:rPr>
                <w:sz w:val="18"/>
                <w:szCs w:val="18"/>
                <w:color w:val="auto"/>
              </w:rPr>
            </w:pPr>
          </w:p>
        </w:tc>
        <w:tc>
          <w:tcPr>
            <w:tcW w:w="3080" w:type="dxa"/>
            <w:vAlign w:val="bottom"/>
          </w:tcPr>
          <w:p>
            <w:pPr>
              <w:ind w:left="2240"/>
              <w:spacing w:after="0"/>
              <w:rPr>
                <w:sz w:val="20"/>
                <w:szCs w:val="20"/>
                <w:color w:val="auto"/>
              </w:rPr>
            </w:pPr>
            <w:r>
              <w:rPr>
                <w:rFonts w:ascii="Times New Roman" w:cs="Times New Roman" w:eastAsia="Times New Roman" w:hAnsi="Times New Roman"/>
                <w:sz w:val="16"/>
                <w:szCs w:val="16"/>
                <w:color w:val="auto"/>
              </w:rPr>
              <w:t>Title:</w:t>
            </w:r>
          </w:p>
        </w:tc>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Executive Officer</w:t>
            </w:r>
          </w:p>
        </w:tc>
      </w:tr>
    </w:tbl>
    <w:p>
      <w:pPr>
        <w:sectPr>
          <w:pgSz w:w="11900" w:h="16838" w:orient="portrait"/>
          <w:cols w:equalWidth="0" w:num="1">
            <w:col w:w="11240"/>
          </w:cols>
          <w:pgMar w:left="320" w:top="995"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17 CFR 240.13a-14 PROMULGATED UNDER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Xun Li, certify that:</w:t>
      </w:r>
    </w:p>
    <w:p>
      <w:pPr>
        <w:spacing w:after="0" w:line="117" w:lineRule="exact"/>
        <w:rPr>
          <w:sz w:val="20"/>
          <w:szCs w:val="20"/>
          <w:color w:val="auto"/>
        </w:rPr>
      </w:pPr>
    </w:p>
    <w:p>
      <w:pPr>
        <w:ind w:left="360" w:hanging="352"/>
        <w:spacing w:after="0"/>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Power Solutions International, Inc.;</w:t>
      </w:r>
    </w:p>
    <w:p>
      <w:pPr>
        <w:spacing w:after="0" w:line="11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43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44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49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820" w:hanging="488"/>
        <w:spacing w:after="0" w:line="266" w:lineRule="auto"/>
        <w:tabs>
          <w:tab w:leader="none" w:pos="81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820" w:hanging="488"/>
        <w:spacing w:after="0" w:line="266" w:lineRule="auto"/>
        <w:tabs>
          <w:tab w:leader="none" w:pos="90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820" w:hanging="488"/>
        <w:spacing w:after="0" w:line="282" w:lineRule="auto"/>
        <w:tabs>
          <w:tab w:leader="none" w:pos="92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820" w:hanging="488"/>
        <w:spacing w:after="0" w:line="266" w:lineRule="auto"/>
        <w:tabs>
          <w:tab w:leader="none" w:pos="8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42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820" w:right="20" w:hanging="488"/>
        <w:spacing w:after="0" w:line="282" w:lineRule="auto"/>
        <w:tabs>
          <w:tab w:leader="none" w:pos="78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820" w:hanging="488"/>
        <w:spacing w:after="0" w:line="282" w:lineRule="auto"/>
        <w:tabs>
          <w:tab w:leader="none" w:pos="74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12, 2024</w:t>
            </w:r>
          </w:p>
        </w:tc>
        <w:tc>
          <w:tcPr>
            <w:tcW w:w="2940" w:type="dxa"/>
            <w:vAlign w:val="bottom"/>
          </w:tcPr>
          <w:p>
            <w:pPr>
              <w:ind w:left="2180"/>
              <w:spacing w:after="0"/>
              <w:rPr>
                <w:sz w:val="20"/>
                <w:szCs w:val="20"/>
                <w:color w:val="auto"/>
              </w:rPr>
            </w:pPr>
            <w:r>
              <w:rPr>
                <w:rFonts w:ascii="Times New Roman" w:cs="Times New Roman" w:eastAsia="Times New Roman" w:hAnsi="Times New Roman"/>
                <w:sz w:val="16"/>
                <w:szCs w:val="16"/>
                <w:color w:val="auto"/>
              </w:rPr>
              <w:t>By:</w:t>
            </w:r>
          </w:p>
        </w:tc>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Xun Li</w:t>
            </w:r>
          </w:p>
        </w:tc>
      </w:tr>
      <w:tr>
        <w:trPr>
          <w:trHeight w:val="206"/>
        </w:trPr>
        <w:tc>
          <w:tcPr>
            <w:tcW w:w="3800" w:type="dxa"/>
            <w:vAlign w:val="bottom"/>
          </w:tcPr>
          <w:p>
            <w:pPr>
              <w:spacing w:after="0"/>
              <w:rPr>
                <w:sz w:val="17"/>
                <w:szCs w:val="17"/>
                <w:color w:val="auto"/>
              </w:rPr>
            </w:pPr>
          </w:p>
        </w:tc>
        <w:tc>
          <w:tcPr>
            <w:tcW w:w="2940" w:type="dxa"/>
            <w:vAlign w:val="bottom"/>
          </w:tcPr>
          <w:p>
            <w:pPr>
              <w:ind w:left="2180"/>
              <w:spacing w:after="0"/>
              <w:rPr>
                <w:sz w:val="20"/>
                <w:szCs w:val="20"/>
                <w:color w:val="auto"/>
              </w:rPr>
            </w:pPr>
            <w:r>
              <w:rPr>
                <w:rFonts w:ascii="Times New Roman" w:cs="Times New Roman" w:eastAsia="Times New Roman" w:hAnsi="Times New Roman"/>
                <w:sz w:val="16"/>
                <w:szCs w:val="16"/>
                <w:color w:val="auto"/>
              </w:rPr>
              <w:t>Name:</w:t>
            </w:r>
          </w:p>
        </w:tc>
        <w:tc>
          <w:tcPr>
            <w:tcW w:w="4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Xun Li</w:t>
            </w:r>
          </w:p>
        </w:tc>
      </w:tr>
      <w:tr>
        <w:trPr>
          <w:trHeight w:val="214"/>
        </w:trPr>
        <w:tc>
          <w:tcPr>
            <w:tcW w:w="3800" w:type="dxa"/>
            <w:vAlign w:val="bottom"/>
          </w:tcPr>
          <w:p>
            <w:pPr>
              <w:spacing w:after="0"/>
              <w:rPr>
                <w:sz w:val="18"/>
                <w:szCs w:val="18"/>
                <w:color w:val="auto"/>
              </w:rPr>
            </w:pPr>
          </w:p>
        </w:tc>
        <w:tc>
          <w:tcPr>
            <w:tcW w:w="2940" w:type="dxa"/>
            <w:vAlign w:val="bottom"/>
          </w:tcPr>
          <w:p>
            <w:pPr>
              <w:ind w:left="2180"/>
              <w:spacing w:after="0"/>
              <w:rPr>
                <w:sz w:val="20"/>
                <w:szCs w:val="20"/>
                <w:color w:val="auto"/>
              </w:rPr>
            </w:pPr>
            <w:r>
              <w:rPr>
                <w:rFonts w:ascii="Times New Roman" w:cs="Times New Roman" w:eastAsia="Times New Roman" w:hAnsi="Times New Roman"/>
                <w:sz w:val="16"/>
                <w:szCs w:val="16"/>
                <w:color w:val="auto"/>
              </w:rPr>
              <w:t>Title:</w:t>
            </w:r>
          </w:p>
        </w:tc>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r>
    </w:tbl>
    <w:p>
      <w:pPr>
        <w:sectPr>
          <w:pgSz w:w="11900" w:h="16838" w:orient="portrait"/>
          <w:cols w:equalWidth="0" w:num="1">
            <w:col w:w="11240"/>
          </w:cols>
          <w:pgMar w:left="320" w:top="995"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17" w:lineRule="exact"/>
        <w:rPr>
          <w:sz w:val="20"/>
          <w:szCs w:val="20"/>
          <w:color w:val="auto"/>
        </w:rPr>
      </w:pPr>
    </w:p>
    <w:p>
      <w:pPr>
        <w:jc w:val="center"/>
        <w:ind w:left="340" w:right="236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THE PRINCIPAL EXECUTIVE OFFICER PURSUANT TO 18 U.S.C. SECTION 1350, AS ADOPTED PURSUANT TO SECTION 906 OF THE SARBANES-OXLEY ACT OF 2002</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Power Solutions International, Inc. (the “Company”) on Form 10-Q for the three months ended June 30, 2024, as filed with the Securities and Exchange Commission on the date hereof (the “Report”), I, Dino Xykis, Chief Executive Officer of the Company, certify, pursuant to 18 U.S.C. 1350, as adopted pursuant to 906 of the Sarbanes-Oxley Act of 2002, that:</w:t>
      </w:r>
    </w:p>
    <w:p>
      <w:pPr>
        <w:spacing w:after="0" w:line="176" w:lineRule="exact"/>
        <w:rPr>
          <w:sz w:val="20"/>
          <w:szCs w:val="20"/>
          <w:color w:val="auto"/>
        </w:rPr>
      </w:pPr>
    </w:p>
    <w:p>
      <w:pPr>
        <w:ind w:left="360" w:hanging="352"/>
        <w:spacing w:after="0"/>
        <w:tabs>
          <w:tab w:leader="none" w:pos="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Date: August 12, 2024</w:t>
            </w:r>
          </w:p>
        </w:tc>
        <w:tc>
          <w:tcPr>
            <w:tcW w:w="3180" w:type="dxa"/>
            <w:vAlign w:val="bottom"/>
          </w:tcPr>
          <w:p>
            <w:pPr>
              <w:ind w:left="2280"/>
              <w:spacing w:after="0"/>
              <w:rPr>
                <w:sz w:val="20"/>
                <w:szCs w:val="20"/>
                <w:color w:val="auto"/>
              </w:rPr>
            </w:pPr>
            <w:r>
              <w:rPr>
                <w:rFonts w:ascii="Times New Roman" w:cs="Times New Roman" w:eastAsia="Times New Roman" w:hAnsi="Times New Roman"/>
                <w:sz w:val="16"/>
                <w:szCs w:val="16"/>
                <w:color w:val="auto"/>
              </w:rPr>
              <w:t>By:</w:t>
            </w:r>
          </w:p>
        </w:tc>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Dino Xykis</w:t>
            </w:r>
          </w:p>
        </w:tc>
      </w:tr>
      <w:tr>
        <w:trPr>
          <w:trHeight w:val="212"/>
        </w:trPr>
        <w:tc>
          <w:tcPr>
            <w:tcW w:w="3740" w:type="dxa"/>
            <w:vAlign w:val="bottom"/>
          </w:tcPr>
          <w:p>
            <w:pPr>
              <w:spacing w:after="0"/>
              <w:rPr>
                <w:sz w:val="18"/>
                <w:szCs w:val="18"/>
                <w:color w:val="auto"/>
              </w:rPr>
            </w:pPr>
          </w:p>
        </w:tc>
        <w:tc>
          <w:tcPr>
            <w:tcW w:w="3180" w:type="dxa"/>
            <w:vAlign w:val="bottom"/>
          </w:tcPr>
          <w:p>
            <w:pPr>
              <w:ind w:left="2280"/>
              <w:spacing w:after="0"/>
              <w:rPr>
                <w:sz w:val="20"/>
                <w:szCs w:val="20"/>
                <w:color w:val="auto"/>
              </w:rPr>
            </w:pPr>
            <w:r>
              <w:rPr>
                <w:rFonts w:ascii="Times New Roman" w:cs="Times New Roman" w:eastAsia="Times New Roman" w:hAnsi="Times New Roman"/>
                <w:sz w:val="16"/>
                <w:szCs w:val="16"/>
                <w:color w:val="auto"/>
              </w:rPr>
              <w:t>Name:</w:t>
            </w:r>
          </w:p>
        </w:tc>
        <w:tc>
          <w:tcPr>
            <w:tcW w:w="4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Dino Xykis</w:t>
            </w:r>
          </w:p>
        </w:tc>
      </w:tr>
      <w:tr>
        <w:trPr>
          <w:trHeight w:val="214"/>
        </w:trPr>
        <w:tc>
          <w:tcPr>
            <w:tcW w:w="3740" w:type="dxa"/>
            <w:vAlign w:val="bottom"/>
          </w:tcPr>
          <w:p>
            <w:pPr>
              <w:spacing w:after="0"/>
              <w:rPr>
                <w:sz w:val="18"/>
                <w:szCs w:val="18"/>
                <w:color w:val="auto"/>
              </w:rPr>
            </w:pPr>
          </w:p>
        </w:tc>
        <w:tc>
          <w:tcPr>
            <w:tcW w:w="3180" w:type="dxa"/>
            <w:vAlign w:val="bottom"/>
          </w:tcPr>
          <w:p>
            <w:pPr>
              <w:ind w:left="2280"/>
              <w:spacing w:after="0"/>
              <w:rPr>
                <w:sz w:val="20"/>
                <w:szCs w:val="20"/>
                <w:color w:val="auto"/>
              </w:rPr>
            </w:pPr>
            <w:r>
              <w:rPr>
                <w:rFonts w:ascii="Times New Roman" w:cs="Times New Roman" w:eastAsia="Times New Roman" w:hAnsi="Times New Roman"/>
                <w:sz w:val="16"/>
                <w:szCs w:val="16"/>
                <w:color w:val="auto"/>
              </w:rPr>
              <w:t>Title:</w:t>
            </w:r>
          </w:p>
        </w:tc>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Executive Officer</w:t>
            </w:r>
          </w:p>
        </w:tc>
      </w:tr>
    </w:tbl>
    <w:p>
      <w:pPr>
        <w:spacing w:after="0" w:line="20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certification accompanies each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by the Company and will be retained by the Company and furnished to the Securities and Exchange Commission or its staff upon request.</w:t>
      </w:r>
    </w:p>
    <w:p>
      <w:pPr>
        <w:sectPr>
          <w:pgSz w:w="11900" w:h="16838" w:orient="portrait"/>
          <w:cols w:equalWidth="0" w:num="1">
            <w:col w:w="11240"/>
          </w:cols>
          <w:pgMar w:left="320" w:top="995"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17"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THE PRINCIPAL FINANCIAL OFFICER PURSUANT TO 18 U.S.C. SECTION 1350, AS ADOPTED PURSUANT TO SECTION 906 OF THE SARBANES-OXLEY ACT OF 2002</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Power Solutions International, Inc. (the “Company”) on Form 10-Q for the three months ended June 30, 2024, as filed with the Securities and Exchange Commission on the date hereof (the “Report”), I, Xun Li, Chief Financial Officer of the Company, certify, pursuant to 18 U.S.C. 1350, as adopted pursuant to 906 of the Sarbanes-Oxley Act of 2002, that:</w:t>
      </w:r>
    </w:p>
    <w:p>
      <w:pPr>
        <w:spacing w:after="0" w:line="176" w:lineRule="exact"/>
        <w:rPr>
          <w:sz w:val="20"/>
          <w:szCs w:val="20"/>
          <w:color w:val="auto"/>
        </w:rPr>
      </w:pPr>
    </w:p>
    <w:p>
      <w:pPr>
        <w:ind w:left="360" w:hanging="352"/>
        <w:spacing w:after="0"/>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3"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Date: August 12, 2024</w:t>
            </w:r>
          </w:p>
        </w:tc>
        <w:tc>
          <w:tcPr>
            <w:tcW w:w="3000" w:type="dxa"/>
            <w:vAlign w:val="bottom"/>
          </w:tcPr>
          <w:p>
            <w:pPr>
              <w:ind w:left="2260"/>
              <w:spacing w:after="0"/>
              <w:rPr>
                <w:sz w:val="20"/>
                <w:szCs w:val="20"/>
                <w:color w:val="auto"/>
              </w:rPr>
            </w:pPr>
            <w:r>
              <w:rPr>
                <w:rFonts w:ascii="Times New Roman" w:cs="Times New Roman" w:eastAsia="Times New Roman" w:hAnsi="Times New Roman"/>
                <w:sz w:val="16"/>
                <w:szCs w:val="16"/>
                <w:color w:val="auto"/>
              </w:rPr>
              <w:t>By:</w:t>
            </w:r>
          </w:p>
        </w:tc>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Xun Li</w:t>
            </w:r>
          </w:p>
        </w:tc>
      </w:tr>
      <w:tr>
        <w:trPr>
          <w:trHeight w:val="212"/>
        </w:trPr>
        <w:tc>
          <w:tcPr>
            <w:tcW w:w="3720" w:type="dxa"/>
            <w:vAlign w:val="bottom"/>
          </w:tcPr>
          <w:p>
            <w:pPr>
              <w:spacing w:after="0"/>
              <w:rPr>
                <w:sz w:val="18"/>
                <w:szCs w:val="18"/>
                <w:color w:val="auto"/>
              </w:rPr>
            </w:pPr>
          </w:p>
        </w:tc>
        <w:tc>
          <w:tcPr>
            <w:tcW w:w="3000" w:type="dxa"/>
            <w:vAlign w:val="bottom"/>
          </w:tcPr>
          <w:p>
            <w:pPr>
              <w:ind w:left="2260"/>
              <w:spacing w:after="0"/>
              <w:rPr>
                <w:sz w:val="20"/>
                <w:szCs w:val="20"/>
                <w:color w:val="auto"/>
              </w:rPr>
            </w:pPr>
            <w:r>
              <w:rPr>
                <w:rFonts w:ascii="Times New Roman" w:cs="Times New Roman" w:eastAsia="Times New Roman" w:hAnsi="Times New Roman"/>
                <w:sz w:val="16"/>
                <w:szCs w:val="16"/>
                <w:color w:val="auto"/>
              </w:rPr>
              <w:t>Name:</w:t>
            </w:r>
          </w:p>
        </w:tc>
        <w:tc>
          <w:tcPr>
            <w:tcW w:w="4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Xun Li</w:t>
            </w:r>
          </w:p>
        </w:tc>
      </w:tr>
      <w:tr>
        <w:trPr>
          <w:trHeight w:val="214"/>
        </w:trPr>
        <w:tc>
          <w:tcPr>
            <w:tcW w:w="3720" w:type="dxa"/>
            <w:vAlign w:val="bottom"/>
          </w:tcPr>
          <w:p>
            <w:pPr>
              <w:spacing w:after="0"/>
              <w:rPr>
                <w:sz w:val="18"/>
                <w:szCs w:val="18"/>
                <w:color w:val="auto"/>
              </w:rPr>
            </w:pPr>
          </w:p>
        </w:tc>
        <w:tc>
          <w:tcPr>
            <w:tcW w:w="3000" w:type="dxa"/>
            <w:vAlign w:val="bottom"/>
          </w:tcPr>
          <w:p>
            <w:pPr>
              <w:ind w:left="2260"/>
              <w:spacing w:after="0"/>
              <w:rPr>
                <w:sz w:val="20"/>
                <w:szCs w:val="20"/>
                <w:color w:val="auto"/>
              </w:rPr>
            </w:pPr>
            <w:r>
              <w:rPr>
                <w:rFonts w:ascii="Times New Roman" w:cs="Times New Roman" w:eastAsia="Times New Roman" w:hAnsi="Times New Roman"/>
                <w:sz w:val="16"/>
                <w:szCs w:val="16"/>
                <w:color w:val="auto"/>
              </w:rPr>
              <w:t>Title:</w:t>
            </w:r>
          </w:p>
        </w:tc>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r>
    </w:tbl>
    <w:p>
      <w:pPr>
        <w:spacing w:after="0" w:line="17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This certification accompanies each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9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by the Company and will be retained by the Company and furnished to the Securities and Exchange Commission or its staff upon request.</w:t>
      </w:r>
    </w:p>
    <w:sectPr>
      <w:pgSz w:w="11900" w:h="16838" w:orient="portrait"/>
      <w:cols w:equalWidth="0" w:num="1">
        <w:col w:w="11240"/>
      </w:cols>
      <w:pgMar w:left="320" w:top="9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bullet"/>
      <w:start w:val="1"/>
    </w:lvl>
  </w:abstractNum>
  <w:abstractNum w:abstractNumId="5">
    <w:nsid w:val="3352255A"/>
    <w:multiLevelType w:val="hybridMultilevel"/>
    <w:lvl w:ilvl="0">
      <w:lvlJc w:val="left"/>
      <w:lvlText w:val="2"/>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lvl w:ilvl="1">
      <w:lvlJc w:val="left"/>
      <w:lvlText w:val="%2"/>
      <w:numFmt w:val="decimal"/>
      <w:start w:val="104"/>
    </w:lvl>
  </w:abstractNum>
  <w:abstractNum w:abstractNumId="15">
    <w:nsid w:val="431BD7B7"/>
    <w:multiLevelType w:val="hybridMultilevel"/>
    <w:lvl w:ilvl="0">
      <w:lvlJc w:val="left"/>
      <w:lvlText w:val="**"/>
      <w:numFmt w:val="bullet"/>
      <w:start w:val="1"/>
    </w:lvl>
    <w:lvl w:ilvl="1">
      <w:lvlJc w:val="left"/>
      <w:lvlText w:val="%2"/>
      <w:numFmt w:val="decimal"/>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hyperlink" Target="https://www.sec.gov/ix?doc=/Archives/edgar/data/1137091/000119312524143968/d775899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2024-08-12T16:28:43Z</dcterms:created>
  <dcterms:modified xsi:type="dcterms:W3CDTF">2024-08-12T16:28:43Z</dcterms:modified>
</cp:coreProperties>
</file>