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4597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97400"/>
                    </a:xfrm>
                    <a:prstGeom prst="rect">
                      <a:avLst/>
                    </a:prstGeom>
                    <a:noFill/>
                  </pic:spPr>
                </pic:pic>
              </a:graphicData>
            </a:graphic>
          </wp:anchor>
        </w:drawing>
      </w:r>
    </w:p>
    <w:p>
      <w:pPr>
        <w:spacing w:after="0" w:line="123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 Zhaoying</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201 MITTEL DR</w:t>
            </w: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WOOD DALE</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60191</w:t>
            </w:r>
          </w:p>
        </w:tc>
      </w:tr>
      <w:tr>
        <w:trPr>
          <w:trHeight w:val="149"/>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680" w:type="dxa"/>
            <w:vAlign w:val="bottom"/>
            <w:tcBorders>
              <w:bottom w:val="single" w:sz="8" w:color="0000EE"/>
            </w:tcBorders>
            <w:gridSpan w:val="2"/>
          </w:tcPr>
          <w:p>
            <w:pPr>
              <w:spacing w:after="0" w:line="206"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POWER SOLUTIONS INTERNATIONAL,</w:t>
              </w:r>
            </w:hyperlink>
          </w:p>
        </w:tc>
        <w:tc>
          <w:tcPr>
            <w:tcW w:w="80" w:type="dxa"/>
            <w:vAlign w:val="bottom"/>
          </w:tcPr>
          <w:p>
            <w:pPr>
              <w:spacing w:after="0"/>
              <w:rPr>
                <w:sz w:val="18"/>
                <w:szCs w:val="18"/>
                <w:color w:val="auto"/>
              </w:rPr>
            </w:pPr>
          </w:p>
        </w:tc>
        <w:tc>
          <w:tcPr>
            <w:tcW w:w="184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760" w:type="dxa"/>
            <w:vAlign w:val="bottom"/>
            <w:gridSpan w:val="3"/>
            <w:vMerge w:val="restart"/>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tcPr>
          <w:p>
            <w:pPr>
              <w:ind w:left="6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76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760" w:type="dxa"/>
            <w:vAlign w:val="bottom"/>
            <w:gridSpan w:val="3"/>
            <w:vMerge w:val="continue"/>
          </w:tcPr>
          <w:p>
            <w:pPr>
              <w:spacing w:after="0"/>
              <w:rPr>
                <w:sz w:val="11"/>
                <w:szCs w:val="11"/>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GC and Corp Secy</w:t>
            </w:r>
          </w:p>
        </w:tc>
        <w:tc>
          <w:tcPr>
            <w:tcW w:w="0" w:type="dxa"/>
            <w:vAlign w:val="bottom"/>
          </w:tcPr>
          <w:p>
            <w:pPr>
              <w:spacing w:after="0"/>
              <w:rPr>
                <w:sz w:val="1"/>
                <w:szCs w:val="1"/>
                <w:color w:val="auto"/>
              </w:rPr>
            </w:pPr>
          </w:p>
        </w:tc>
      </w:tr>
      <w:tr>
        <w:trPr>
          <w:trHeight w:val="114"/>
        </w:trPr>
        <w:tc>
          <w:tcPr>
            <w:tcW w:w="3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12/11/2025</w:t>
            </w:r>
          </w:p>
        </w:tc>
        <w:tc>
          <w:tcPr>
            <w:tcW w:w="8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1"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Appreciation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65.76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12/11/2025</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700</w:t>
            </w:r>
          </w:p>
        </w:tc>
        <w:tc>
          <w:tcPr>
            <w:tcW w:w="78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12/11/2035</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700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One-third of such stock appreciation rights vest on December 11 of each of 2026, 2027 and 2028 as long as the Reporting Person continues employment with the issuer on each such date.</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Zhaoying Du</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12/12/2025</w:t>
            </w:r>
          </w:p>
        </w:tc>
      </w:tr>
      <w:tr>
        <w:trPr>
          <w:trHeight w:val="20"/>
        </w:trPr>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7985" TargetMode="External"/><Relationship Id="rId14" Type="http://schemas.openxmlformats.org/officeDocument/2006/relationships/hyperlink" Target="http://www.sec.gov/cgi-bin/browse-edgar?action=getcompany&amp;CIK=0001137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2025-12-12T17:30:50Z</dcterms:created>
  <dcterms:modified xsi:type="dcterms:W3CDTF">2025-12-12T17:30:50Z</dcterms:modified>
</cp:coreProperties>
</file>