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Power Solutions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1,497,155.00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1,497,155.00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1,497,155.00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1,497,155.00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1,497,155.00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1,497,155.00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1,497,155.00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1,497,155.00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1,497,155.00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Power Solutions International,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Mittel Drive, Wood Dale, IL, 60191</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$0.001 per share ("Common Stock"), of Power Solutions International, Inc. held by Point72 Associates, LLC, an investment fund it manages ("Point72 Associates"); (ii) Point72 Capital Advisors, Inc. ("Point72 Capital Advisors Inc.") with respect to the shares of Common Stock held by Point72 Associates; and (iii) Steven A. Cohen ("Mr. Cohen") with respect to the shares of Common Stock beneficially owned by Point72 Asset Management and Point72 Capital Advisors Inc. Each of Cubist Systematic Strategies, LLC, Point72 Hong Kong Limited and Point72 (DIFC) Limited are relying advisers on the Form ADV of Point72 Asset Management and each acts as a sub-advisor with respect to a portion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June 30, 2026. Point72 Asset Management, Point72 Capital Advisors Inc., and Mr. Cohen own directly no shares of Common Stock.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Point72 Associates has the right to receive or the power to direct the receipt of dividends from, or the proceeds from the sale of, more than 5 percent of the outstanding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1599</Words>
  <Characters>8147</Characters>
  <CharactersWithSpaces>9696</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