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0"/>
          <w:szCs w:val="40"/>
          <w:b w:val="1"/>
          <w:bCs w:val="1"/>
          <w:color w:val="auto"/>
        </w:rPr>
        <w:t>Power Solutions International, Inc.</w:t>
      </w:r>
    </w:p>
    <w:p>
      <w:pPr>
        <w:spacing w:after="0" w:line="4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35"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001-35944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33-0963637</w:t>
      </w:r>
    </w:p>
    <w:p>
      <w:pPr>
        <w:spacing w:after="0" w:line="24" w:lineRule="exact"/>
        <w:rPr>
          <w:sz w:val="24"/>
          <w:szCs w:val="24"/>
          <w:color w:val="auto"/>
        </w:rPr>
      </w:pPr>
    </w:p>
    <w:p>
      <w:pPr>
        <w:sectPr>
          <w:pgSz w:w="11900" w:h="16838" w:orient="portrait"/>
          <w:cols w:equalWidth="0" w:num="3">
            <w:col w:w="4504" w:space="720"/>
            <w:col w:w="2880" w:space="720"/>
            <w:col w:w="1920"/>
          </w:cols>
          <w:pgMar w:left="436" w:top="335" w:right="7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335" w:right="719" w:bottom="1440" w:gutter="0" w:footer="0" w:header="0"/>
          <w:type w:val="continuous"/>
        </w:sectPr>
      </w:pPr>
    </w:p>
    <w:p>
      <w:pPr>
        <w:spacing w:after="0" w:line="1"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7"/>
          <w:szCs w:val="17"/>
          <w:b w:val="1"/>
          <w:bCs w:val="1"/>
          <w:color w:val="auto"/>
        </w:rPr>
        <w:t>201 Mittel Drive, Wood Dale, Illinois 60191</w:t>
      </w:r>
    </w:p>
    <w:p>
      <w:pPr>
        <w:spacing w:after="0" w:line="24"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(Zip code)</w:t>
      </w:r>
    </w:p>
    <w:p>
      <w:pPr>
        <w:sectPr>
          <w:pgSz w:w="11900" w:h="16838" w:orient="portrait"/>
          <w:cols w:equalWidth="0" w:num="1">
            <w:col w:w="10744"/>
          </w:cols>
          <w:pgMar w:left="436" w:top="335" w:right="719" w:bottom="1440" w:gutter="0" w:footer="0" w:header="0"/>
          <w:type w:val="continuous"/>
        </w:sectPr>
      </w:pP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Bill Shen, VP of Operations/Purchasing/Supply Chain (630) 350-9400</w:t>
      </w:r>
    </w:p>
    <w:p>
      <w:pPr>
        <w:spacing w:after="0" w:line="12"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w:t>
      </w: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 w:right="920" w:hanging="4"/>
        <w:spacing w:after="0" w:line="239" w:lineRule="exact"/>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fiscal year ended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35"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Power Solutions International, Inc. (the “Company”) is filing this Specialized Disclosure Report (“Form SD”), including the Conflict Minerals Report attached as Exhibit 1.01 hereto, for the calendar year ended December 31, 2024 to comply with Rule 13p-1 of the Securities and Exchange Act of 1934, as amended (the “Exchange Act”).</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 copy of this Form SD and the Conflict Minerals Report attached as an exhibit hereto are available on the investor relations section of the Company’s website at </w:t>
      </w:r>
      <w:r>
        <w:rPr>
          <w:rFonts w:ascii="Times New Roman" w:cs="Times New Roman" w:eastAsia="Times New Roman" w:hAnsi="Times New Roman"/>
          <w:sz w:val="18"/>
          <w:szCs w:val="18"/>
          <w:u w:val="single" w:color="auto"/>
          <w:color w:val="auto"/>
        </w:rPr>
        <w:t>www.psiengines.com</w:t>
      </w:r>
      <w:r>
        <w:rPr>
          <w:rFonts w:ascii="Times New Roman" w:cs="Times New Roman" w:eastAsia="Times New Roman" w:hAnsi="Times New Roman"/>
          <w:sz w:val="18"/>
          <w:szCs w:val="18"/>
          <w:color w:val="auto"/>
        </w:rPr>
        <w:t>. The Company’s website and information accessible through it are not incorporated into this Form SD and are not deemed filed with the Securities and Exchange Commission.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calendar year 2024 is included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3.01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Conflict Minerals Report includes information that constitutes forward-looking statements. These forward-looking statements are entitled to the safe-harbor provisions of Section 21E of the Exchange Act. The Company has tried to identify these forward-looking statements by using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the Company’s products, product sourcing and markets and conflict minerals due diligence and compliance and mitigation plans. These statements are subject to a number of risks, uncertainties, and assumptions that may cause actual results, performance or achievements to be materially different from those expressed in, or implied by, such statements.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cautions that the risks, uncertainties and other factors that could cause its actual results to differ materially from those expressed in, or implied by, the forward-looking statement, include, without limitation: management’s ability to obtain cooperation from suppliers and successfully carry out conflict minerals compliance and mitigation plans.</w:t>
      </w:r>
    </w:p>
    <w:p>
      <w:pPr>
        <w:spacing w:after="0" w:line="176"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Solutions International, Inc.</w:t>
            </w: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453"/>
        </w:trPr>
        <w:tc>
          <w:tcPr>
            <w:tcW w:w="2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Xun Li</w:t>
            </w:r>
          </w:p>
        </w:tc>
        <w:tc>
          <w:tcPr>
            <w:tcW w:w="2680" w:type="dxa"/>
            <w:vAlign w:val="bottom"/>
          </w:tcPr>
          <w:p>
            <w:pPr>
              <w:spacing w:after="0"/>
              <w:rPr>
                <w:sz w:val="24"/>
                <w:szCs w:val="24"/>
                <w:color w:val="auto"/>
              </w:rPr>
            </w:pPr>
          </w:p>
        </w:tc>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May 29, 2025</w:t>
            </w:r>
          </w:p>
        </w:tc>
      </w:tr>
      <w:tr>
        <w:trPr>
          <w:trHeight w:val="228"/>
        </w:trPr>
        <w:tc>
          <w:tcPr>
            <w:tcW w:w="5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Xun LI, Chief Financial Officer</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bl>
    <w:p>
      <w:pPr>
        <w:sectPr>
          <w:pgSz w:w="11900" w:h="16838" w:orient="portrait"/>
          <w:cols w:equalWidth="0" w:num="1">
            <w:col w:w="11020"/>
          </w:cols>
          <w:pgMar w:left="440" w:top="266"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report is provided by Power Solutions International, Inc. (herein referred to as “PSI” or the “Company”) for the calendar year ended December 31, 2024 and is presented to comply with Rule 13p-1 under the Securities Exchange Act of 1934, as amended (“Rule 13p-1”). Rule 13p-1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which are necessary to the functionality or production of their products. Conflict Minerals are defined as (a) columbite-tantalite, also known as coltan (the metal ore from which tantalum is extracted); cassiterite (the metal ore from which tin is extracted); gold; wolframite (the metal ore from which tungsten is extracted); or their derivatives, which are currently limited to tantalum, tin and tungsten (“3TG”) (collectively the “Covered Minerals,” or (b) any other mineral or its derivatives determined by the Secretary of State to be financing conflict in the Democratic Republic of the Congo or an adjoining country (the Republic of the Congo, the Central African Republic, South Sudan, Uganda, Rwanda, Burundi, Tanzania, Zambia and Angola) (“Covered Countries”). These requirements apply to registrants whatever the geographic origin of the conflict minerals and whether or not they fund armed conflict.</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 registrant can establish that the conflict minerals originated from sources other than the Covered Countries or from recycled and scrap sources, they must submit a Form SD which describes the reasonable country of origin inquiry completed.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issuer must exercise due diligence on the conflict minerals’ source and chain of custody. The registrant must annually submit a report, a Conflict Minerals Report (“CMR”), to the SEC that includes a description of those due diligence measures.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report presented herein is not audited as Rule 13p-1 provides that if a registrant’s products are “DRC conflict undeterminable” in 2024, the CMR is not subject to an independent private sector audit.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Overview</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report has been prepared by the management of PSI. The information includes the activities of all majority-owned subsidiaries and variable interest entities, if any, that are required to be consolidated as of December 31, 2024. It does not include the activities of variable interest entities, if any, that are not required to be consolidated.</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 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research and development (“R&amp;D”), sales and distribution facilities located in suburban Chicago, Illinois, Darien, Wisconsin and Beloit, Wisconsin. The Company manages the business as a single segment.</w:t>
      </w:r>
    </w:p>
    <w:p>
      <w:pPr>
        <w:spacing w:after="0" w:line="16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w:t>
      </w:r>
    </w:p>
    <w:p>
      <w:pPr>
        <w:sectPr>
          <w:pgSz w:w="11900" w:h="16838" w:orient="portrait"/>
          <w:cols w:equalWidth="0" w:num="1">
            <w:col w:w="11000"/>
          </w:cols>
          <w:pgMar w:left="440" w:top="121" w:right="459" w:bottom="1440" w:gutter="0" w:footer="0" w:header="0"/>
        </w:sectPr>
      </w:pPr>
    </w:p>
    <w:bookmarkStart w:id="4" w:name="page5"/>
    <w:bookmarkEnd w:id="4"/>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provides highly engineered, comprehensive solutions designed to meet specific customer application requirements and technical specifications, including those imposed by environmental regulatory bodies, such as the U.S. Environment Protection Agency (“EPA”) and the California Air Resource Board (“CARB”).</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Company’s products include both sourced and internally designed and manufactured engines that are engineered and integrated with associated components. These comprehensive power systems are tested and validated to meet quality, safety, durability and global environmental standards and regulations.</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Through advanced research and development (“R&amp;D”) and engineering capabilities, the Company is able to provide its customers with highly optimized, efficient, durable and emissions-compliant products that enhance their competitive position.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business is diversified across end markets and applications and also includes extensive aftermarket and service parts programs. These programs consist of (i) internal aftermarket service parts programs with worldwide sales and distribution capabilities and (ii) internal OEM-developed service parts programs for components and products supplied by the Company. Aftermarket components are simply resold and are not contracted by the Company to be remanufactured. Aftermarket components were not included in the Conflict Minerals Survey.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and Supply Chain Survey</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PSI procures engine components from global suppliers and integrates them into assemblies which it manufactures, tests, and sells at facilities in suburban Chicago, Illinois, Beloit and Darien, Wisconsin. These engine components can be stand-alone items or sub-assembled components of the engine depending on the part. Due to the variety of parts purchased from suppliers and the complexity of the manufacturing process for these subcomponents, PSI determined the best approach for surveying the supply base would be to contact every production supplier and ask them about the Conflict Minerals content of the component supplied to PSI.</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 identify recipients of the survey, PSI agreed upon the scope of the survey as is applicable to section 1502 of the Dodd-Frank Act. PSI created the following criteria for issuing its 2024 Conflict Minerals Survey: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Excluded from PSI 2024 Conflict Minerals Survey</w:t>
      </w:r>
    </w:p>
    <w:p>
      <w:pPr>
        <w:spacing w:after="0" w:line="131" w:lineRule="exact"/>
        <w:rPr>
          <w:sz w:val="20"/>
          <w:szCs w:val="20"/>
          <w:color w:val="auto"/>
        </w:rPr>
      </w:pPr>
    </w:p>
    <w:p>
      <w:pPr>
        <w:ind w:left="960" w:right="2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 Aftermarket Supply base: PSI is reselling every one of these components, and these components do not provide any value added to its end products. These components are not modified by PSI for sale and are therefore not subject to Conflict Minerals reporting.</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Materials (i.e., materials used in maintenance, repair, and operations).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Auto Part Retailer or Large Retailer which provided production parts to PSI, but PSI did not have direct contact.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Included in PSI 2024 Conflict Minerals Survey</w:t>
      </w:r>
    </w:p>
    <w:p>
      <w:pPr>
        <w:spacing w:after="0" w:line="131" w:lineRule="exact"/>
        <w:rPr>
          <w:sz w:val="20"/>
          <w:szCs w:val="20"/>
          <w:color w:val="auto"/>
        </w:rPr>
      </w:pPr>
    </w:p>
    <w:p>
      <w:pPr>
        <w:ind w:left="960" w:right="30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every production supplier that provided one or more production parts to PSI between the dates of January 1, 2024 and December 31, 2024.</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 did not exclude any commodity or subcomponent in its 2024 Conflict Minerals Survey.</w:t>
      </w:r>
    </w:p>
    <w:p>
      <w:pPr>
        <w:sectPr>
          <w:pgSz w:w="11900" w:h="16838" w:orient="portrait"/>
          <w:cols w:equalWidth="0" w:num="1">
            <w:col w:w="10940"/>
          </w:cols>
          <w:pgMar w:left="440" w:top="270" w:right="519" w:bottom="1440" w:gutter="0" w:footer="0" w:header="0"/>
        </w:sectPr>
      </w:pPr>
    </w:p>
    <w:bookmarkStart w:id="5" w:name="page6"/>
    <w:bookmarkEnd w:id="5"/>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February 21, 2025, PSI distributed its 2024 Conflict Minerals Survey to the Two Hundred Eighty-Two, (282) production suppliers for PSI that met the criteria identified above.</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 summary of the responses received is provided herein. Overall, a majority of suppliers responded to the survey. As part of the due diligence in complying with the Rule, PSI will continue to follow up with the suppliers that did not respond to try and improve the participation rate of this survey.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assessed its industry as well as others and confirmed that this risk-based approach is consistent</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how many peer companies are approaching Rule 13p-1. Given the response rate to the 2024 Conflict Minerals Survey, PSI is unable to determine at this time the origin of the 3TG in PSI’s products and therefore cannot exclude the possibility that some may have originated in the Covered Countries. For that reason, the Company is required under Rule 13p-1 to submit to the SEC a Conflict Minerals Report as an Exhibit to Form SD. This report must include:</w:t>
      </w:r>
    </w:p>
    <w:p>
      <w:pPr>
        <w:spacing w:after="0" w:line="94"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measures PSI took to exercise due diligence on the Conflict Minerals’ source and chain of custody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used to process the Conflict Minerals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country of origin of the Conflict Minerals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determine the mine or location of origin.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products that PSI manufactures that are subject to the reporting obligations of Rule 13p-1 are “DRC conflict undeterminable,” because PSI has been unable to determine the origin of the 3TG they contain or to determine whether they come from recycled or scrap sources; the facilities used to process them; their country of origin; or their mine or location of origin.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The Organization for Economic Co-operation and Development (“OECD”) Due Diligence Guidance for Responsible Supply Chains of Minerals from Conflict-Affected and High-Risk Areas (“OECD Guidance”) and Rule 13p-1, this report is available on the investor relations section of the Company’s website at </w:t>
      </w:r>
      <w:r>
        <w:rPr>
          <w:rFonts w:ascii="Times New Roman" w:cs="Times New Roman" w:eastAsia="Times New Roman" w:hAnsi="Times New Roman"/>
          <w:sz w:val="18"/>
          <w:szCs w:val="18"/>
          <w:u w:val="single" w:color="auto"/>
          <w:color w:val="auto"/>
        </w:rPr>
        <w:t>www.psiengines.com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Process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PSI’s due diligence framework has been designed based on the OECD’s Due Diligence Guidance recommendations.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Systems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PSI has established an internal cross-functional management system that is responsible for implementing PSI’s Conflict Minerals compliance strategy and is led by the Vice President of Operations and Purchasing who acts as the Executive Conflict Minerals Program Manager. Senior management is briefed about the results of the Company’s due diligence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Systems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The Company does not have a direct relationship with 3TG smelters and refiners. PSI refers to and utilizes information available at the website of the Responsible Minerals Initiative (“RMI”) </w:t>
      </w:r>
      <w:r>
        <w:rPr>
          <w:rFonts w:ascii="Times New Roman" w:cs="Times New Roman" w:eastAsia="Times New Roman" w:hAnsi="Times New Roman"/>
          <w:sz w:val="18"/>
          <w:szCs w:val="18"/>
          <w:u w:val="single" w:color="auto"/>
          <w:color w:val="auto"/>
        </w:rPr>
        <w:t>http://www.responsiblemineralsinitiative.org/</w:t>
      </w:r>
      <w:r>
        <w:rPr>
          <w:rFonts w:ascii="Times New Roman" w:cs="Times New Roman" w:eastAsia="Times New Roman" w:hAnsi="Times New Roman"/>
          <w:sz w:val="18"/>
          <w:szCs w:val="18"/>
          <w:color w:val="auto"/>
        </w:rPr>
        <w:t>, formerly known as the Conflict-Free Sourcing Initiative (“CFSI”), and utilizes the template developed by them (“the Template”) as a resource to identify and disclose upstream actors in the supply chain.</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Controls include, but are not limited to, PSI’s Code of Business Conduct and Ethics which outlines expected behaviors for all PSI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Grievance Mechanism</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PSI has multiple longstanding grievance mechanisms whereby employees and suppliers can report violations of PSI’s policies. As described in both the Company’s Code of Business Conduct and Ethics and Whistleblower Policy, PSI maintains a Whistleblower Hotline for any complaints from employees, suppliers, customers and shareholders who may have knowledge of a potential violation or other issues with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Maintain Records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adopted a policy to retain and maintain relevant corporate and business records and documents.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Identify and Assess Risk in the Supply Chain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Because of PSI’s size, the complexity of its products, and the depth, breadth, and constant evolution of its supply chain, it is difficult to identify actors upstream from the Company’s direct suppliers. Accordingly, the Company utilizes industry-wide resources as described above.</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PSI has identified Two Hundred Eighty-Two (282) direct suppliers. The Company relies on these suppliers to provide it with information about any Conflict Minerals contained in the components supplied to the company including their source. PSI’s direct suppliers are similarly reliant upon information provided by their suppliers. Many of the largest suppliers are also SEC registrants and subject to Rule 13p-1.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the Company utilizes resources on RMI’s website to identify and disclose upstream actors in the supply chain.</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communicated in the Company’s Conflict Minerals Survey process, PSI is committed to sourcing responsibly and considers mining activities that fuel conflict as unacceptable. As of the date of this report, PSI has found no instance where it was necessary to terminate a contract or find a replacement supplier.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of Smelter/Refiner Due Diligence Practices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does not typically have a direct relationship with 3TG smelters and refiners and does not perform or direct audits of these entities within PSI’s supply chain. PSI supports audits through its usage of resources on RMI’s website.</w:t>
      </w:r>
    </w:p>
    <w:p>
      <w:pPr>
        <w:sectPr>
          <w:pgSz w:w="11900" w:h="16838" w:orient="portrait"/>
          <w:cols w:equalWidth="0" w:num="1">
            <w:col w:w="10900"/>
          </w:cols>
          <w:pgMar w:left="440" w:top="270"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Request</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conducted a survey of those suppliers described above using an internally designed survey, in addition to RMI’s Template to facilitate disclosure and communication of information from PSI’s supply base.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Survey Responses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May 01, 2025 the Company has received responses from One Hundred Ninety-Eight (198) or 70% of the suppliers surveyed. PSI reviewed the responses against criteria developed by the Company to determine which responses required further engagement with PSI’s suppliers. These criteria included untimely or incomplete responses as well as inconsistencies within the data reported in the 2024 Conflict Minerals Report. The Company has worked directly with these suppliers to provide revised responses.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One Hundred Thirty-Six (136) suppliers responded indicating that they did not use any 3TGs in their products. Sixty-Two (62) suppliers identified that they use one or more of the 3TGs in their products. Of those Sixty-Two (62), Twelve (12) suppliers confirmed that they are not sourcing from the Covered Countries. Eleven (11) suppliers are unsure if their 3TGs are coming from the Covered Countries. Nine (9) suppliers responded that they are sourcing from the Covered Countries but were unable to determine if all of the smelters of their suppliers are conflict free.</w:t>
      </w:r>
    </w:p>
    <w:p>
      <w:pPr>
        <w:spacing w:after="0" w:line="180" w:lineRule="exact"/>
        <w:rPr>
          <w:sz w:val="20"/>
          <w:szCs w:val="20"/>
          <w:color w:val="auto"/>
        </w:rPr>
      </w:pPr>
    </w:p>
    <w:p>
      <w:pPr>
        <w:jc w:val="both"/>
        <w:ind w:right="580"/>
        <w:spacing w:after="0" w:line="282" w:lineRule="auto"/>
        <w:rPr>
          <w:sz w:val="20"/>
          <w:szCs w:val="20"/>
          <w:color w:val="auto"/>
        </w:rPr>
      </w:pPr>
      <w:r>
        <w:rPr>
          <w:rFonts w:ascii="Times New Roman" w:cs="Times New Roman" w:eastAsia="Times New Roman" w:hAnsi="Times New Roman"/>
          <w:sz w:val="18"/>
          <w:szCs w:val="18"/>
          <w:color w:val="auto"/>
        </w:rPr>
        <w:t>Of those surveyed, Eighty-Four (84) suppliers did not respond. PSI continues to revise its survey and response follow-up actions with the aim to continuously improve results and to receive timely and accurate responses.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Efforts to determine mine or location of origin</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Through PSI’s utilization of RMI’s resources, the OECD implementation programs and requesting PSI’s suppliers to complete the 2024 Conflict Minerals Survey, the Company has determined that seeking information about 3TG smelters and refiners in its supply chain represents the most reasonable effort PSI can make to determine the mines or locations of origin of the 3TG in its supply chain.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be taken to mitigate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taken or intends to take the following steps to improve the due diligence conducted to further mitigate any risk that the necessary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in the Company’s products could benefit armed groups in the Covered Countries:</w:t>
      </w:r>
    </w:p>
    <w:p>
      <w:pPr>
        <w:spacing w:after="0" w:line="112"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Conflict Minerals flow-down clause in new or renewed supplier contracts, which:</w:t>
      </w:r>
    </w:p>
    <w:p>
      <w:pPr>
        <w:spacing w:after="0" w:line="130"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annual participation in PSI’s conflict mineral survey, 2) discourages sourcing from Covered Countries, and 3) requires that the supply chain of custody is described and accounted for if the supplier uses materials from Covered Countries.</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and direct them to training resources to attempt to increase the response rate and improve the content of the supplier survey responses.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OECD and RMI websites to keep abreast of new developments and recommendations.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devising and developing a strategy for managing and mitigating Conflict Minerals risk in the Company’s supply chain.</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2025-05-29T16:20:45Z</dcterms:created>
  <dcterms:modified xsi:type="dcterms:W3CDTF">2025-05-29T16:20:45Z</dcterms:modified>
</cp:coreProperties>
</file>