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before="12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4859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3143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ind w:left="0" w:right="0" w:firstLine="450"/>
        <w:jc w:val="left"/>
        <w:rPr/>
      </w:pPr>
      <w:r>
        <w:rPr>
          <w:rFonts w:ascii="Times New Roman;serif" w:hAnsi="Times New Roman;serif"/>
          <w:b w:val="false"/>
          <w:color w:val="000000"/>
          <w:sz w:val="20"/>
        </w:rPr>
        <w:t>For the quarterly period ended June 30, 2026</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________to________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file number 001-35944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88" w:type="dxa"/>
        <w:jc w:val="center"/>
        <w:tblInd w:w="0" w:type="dxa"/>
        <w:tblLayout w:type="fixed"/>
        <w:tblCellMar>
          <w:top w:w="28" w:type="dxa"/>
          <w:left w:w="28" w:type="dxa"/>
          <w:bottom w:w="28" w:type="dxa"/>
          <w:right w:w="28" w:type="dxa"/>
        </w:tblCellMar>
      </w:tblPr>
      <w:tblGrid>
        <w:gridCol w:w="1607"/>
        <w:gridCol w:w="1418"/>
        <w:gridCol w:w="1430"/>
        <w:gridCol w:w="519"/>
        <w:gridCol w:w="519"/>
        <w:gridCol w:w="521"/>
        <w:gridCol w:w="1070"/>
        <w:gridCol w:w="1070"/>
        <w:gridCol w:w="1534"/>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33-0963637</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201 Mittel Drive, Wood Dale, IL</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60191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(630) 350-9400</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PSIX</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Stock Market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10"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July 30, 2026, there were 23,065,450 outstanding shares of the Common Stock of the registrant.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22" w:type="dxa"/>
        <w:jc w:val="center"/>
        <w:tblInd w:w="0" w:type="dxa"/>
        <w:tblLayout w:type="fixed"/>
        <w:tblCellMar>
          <w:top w:w="28" w:type="dxa"/>
          <w:left w:w="28" w:type="dxa"/>
          <w:bottom w:w="28" w:type="dxa"/>
          <w:right w:w="28" w:type="dxa"/>
        </w:tblCellMar>
      </w:tblPr>
      <w:tblGrid>
        <w:gridCol w:w="342"/>
        <w:gridCol w:w="302"/>
        <w:gridCol w:w="302"/>
        <w:gridCol w:w="2163"/>
        <w:gridCol w:w="2163"/>
        <w:gridCol w:w="2168"/>
        <w:gridCol w:w="402"/>
        <w:gridCol w:w="402"/>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8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 – FINANCIAL INFORMATION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Forward-Looking Statements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10">
              <w:r>
                <w:rPr>
                  <w:rStyle w:val="InternetLink"/>
                  <w:rFonts w:ascii="Times New Roman;serif" w:hAnsi="Times New Roman;serif"/>
                  <w:b w:val="false"/>
                  <w:color w:val="0000FF"/>
                  <w:sz w:val="18"/>
                  <w:u w:val="single"/>
                </w:rPr>
                <w:t>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Statements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16">
              <w:r>
                <w:rPr>
                  <w:rStyle w:val="InternetLink"/>
                  <w:rFonts w:ascii="Times New Roman;serif" w:hAnsi="Times New Roman;serif"/>
                  <w:b w:val="false"/>
                  <w:color w:val="0000FF"/>
                  <w:sz w:val="18"/>
                  <w:u w:val="single"/>
                </w:rPr>
                <w:t>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Consolidated Balance Sheets </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19">
              <w:r>
                <w:rPr>
                  <w:rStyle w:val="InternetLink"/>
                  <w:rFonts w:ascii="Times New Roman;serif" w:hAnsi="Times New Roman;serif"/>
                  <w:b w:val="false"/>
                  <w:color w:val="0000FF"/>
                  <w:sz w:val="18"/>
                  <w:u w:val="single"/>
                </w:rPr>
                <w:t>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Income</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5">
              <w:r>
                <w:rPr>
                  <w:rStyle w:val="InternetLink"/>
                  <w:rFonts w:ascii="Times New Roman;serif" w:hAnsi="Times New Roman;serif"/>
                  <w:b w:val="false"/>
                  <w:color w:val="0000FF"/>
                  <w:sz w:val="18"/>
                  <w:u w:val="singl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Consolidated Statements of Stockholders’ Equity </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31">
              <w:r>
                <w:rPr>
                  <w:rStyle w:val="InternetLink"/>
                  <w:rFonts w:ascii="Times New Roman;serif" w:hAnsi="Times New Roman;serif"/>
                  <w:b w:val="false"/>
                  <w:color w:val="0000FF"/>
                  <w:sz w:val="18"/>
                  <w:u w:val="single"/>
                </w:rPr>
                <w:t>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Cash Flows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34">
              <w:r>
                <w:rPr>
                  <w:rStyle w:val="InternetLink"/>
                  <w:rFonts w:ascii="Times New Roman;serif" w:hAnsi="Times New Roman;serif"/>
                  <w:b w:val="false"/>
                  <w:color w:val="0000FF"/>
                  <w:sz w:val="18"/>
                  <w:u w:val="single"/>
                </w:rPr>
                <w:t>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37">
              <w:r>
                <w:rPr>
                  <w:rStyle w:val="InternetLink"/>
                  <w:rFonts w:ascii="Times New Roman;serif" w:hAnsi="Times New Roman;serif"/>
                  <w:b w:val="false"/>
                  <w:color w:val="0000FF"/>
                  <w:sz w:val="18"/>
                  <w:u w:val="single"/>
                </w:rPr>
                <w:t>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Management’s Discussion and Analysis of Financial Condition and Results of Operations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124">
              <w:r>
                <w:rPr>
                  <w:rStyle w:val="InternetLink"/>
                  <w:rFonts w:ascii="Times New Roman;serif" w:hAnsi="Times New Roman;serif"/>
                  <w:b w:val="false"/>
                  <w:color w:val="0000FF"/>
                  <w:sz w:val="18"/>
                  <w:u w:val="single"/>
                </w:rPr>
                <w:t>28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Quantitative and Qualitative Disclosures About Market Risk</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02">
              <w:r>
                <w:rPr>
                  <w:rStyle w:val="InternetLink"/>
                  <w:rFonts w:ascii="Times New Roman;serif" w:hAnsi="Times New Roman;serif"/>
                  <w:b w:val="false"/>
                  <w:color w:val="0000FF"/>
                  <w:sz w:val="18"/>
                  <w:u w:val="single"/>
                </w:rPr>
                <w:t>37</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Controls and Procedures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05">
              <w:r>
                <w:rPr>
                  <w:rStyle w:val="InternetLink"/>
                  <w:rFonts w:ascii="Times New Roman;serif" w:hAnsi="Times New Roman;serif"/>
                  <w:b w:val="false"/>
                  <w:color w:val="0000FF"/>
                  <w:sz w:val="18"/>
                  <w:u w:val="single"/>
                </w:rPr>
                <w:t>37</w:t>
              </w:r>
            </w:hyperlink>
          </w:p>
        </w:tc>
      </w:tr>
      <w:tr>
        <w:trPr/>
        <w:tc>
          <w:tcPr>
            <w:tcW w:w="8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II – OTHER INFORMATION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Proceedings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11">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14">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Unregistered Sales of Equity Securities and Use of Proceeds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17">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Defaults Upon Senior Securities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20">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Mine Safety Disclosures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23">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26">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29">
              <w:r>
                <w:rPr>
                  <w:rStyle w:val="InternetLink"/>
                  <w:rFonts w:ascii="Times New Roman;serif" w:hAnsi="Times New Roman;serif"/>
                  <w:b w:val="false"/>
                  <w:color w:val="0000FF"/>
                  <w:sz w:val="18"/>
                  <w:u w:val="single"/>
                </w:rPr>
                <w:t>39</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e60d5a8248942d3917b30eeae4362c8_232">
              <w:r>
                <w:rPr>
                  <w:rStyle w:val="InternetLink"/>
                  <w:rFonts w:ascii="Times New Roman;serif" w:hAnsi="Times New Roman;serif"/>
                  <w:b w:val="false"/>
                  <w:color w:val="0000FF"/>
                  <w:sz w:val="18"/>
                  <w:u w:val="single"/>
                </w:rPr>
                <w:t>39</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Certain statements contained in this Quarterly Report on Form 10-Q for the three months ended June 30, 2026, (the “Quarterly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 cautions that the risks, uncertainties and other factors that could cause its actual results to differ materially from those expressed in, or implied by, the forward-looking statements include, without limitation: the timing and ultimate conversion of Power Systems orders into revenue, including data-center-related orders, and the volume and timing of related shipments; quarterly variability in product mix and the corresponding effect on gross profit and gross margin; the cost, pace, throughput and operational outcomes of capacity ramp-up activities at the Company’s Wisconsin operations, including the duration and magnitude of related production costs; Company’s ability to execute operational improvement initiatives on the anticipated timetable; the level and persistence of customer demand in the power systems, industrial and transportation end markets; volatility in oil and gas prices and corresponding demand for related products; supply-chain disruptions, component availability and supplier performance; macroeconomic, regulatory and trade conditions, including U.S. tariffs and trade restrictions; integration of recent and future acquisitions, including the acquisition of MTL Manufacturing and Equipment; the outcome of pending or threatened litigation and regulatory inquiries, including the previously disclosed putative federal securities class action; changes in management or other personnel, including the timing of any related disclosures; the ability to recruit and retain key employees; the impact of changes in our effective tax rate or applicable tax legislation; and the other risks and uncertainties described in the Company’s Annual Report on Form 10-K for the fiscal year ended December 31, 2025 and in the Company’s subsequent filings with the U.S. Securities and Exchange Commission (the “SEC”), all of which are incorporated by reference into this press release.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Company’s forward-looking statements speak only as of the date of this filing. Except as required by law, the Company expressly disclaims any intention or obligation to revise or update any forward-looking statement, whether as a result of new information, future events or otherwise. Investors are cautioned not to place undue reliance on any forward-looking statements.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 is subject to the reporting and information requirements of the Exchange Act, and as a result, it is obligated to file annual, quarterly and current reports,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Quarterly Report. In addition, the SEC maintains a website (http://www.sec.gov) that contains the annual, quarterly and current reports, proxy and information statements, and other information the Company electronically files with, or furnishes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700"/>
        <w:gridCol w:w="1914"/>
        <w:gridCol w:w="1921"/>
        <w:gridCol w:w="109"/>
        <w:gridCol w:w="109"/>
        <w:gridCol w:w="109"/>
        <w:gridCol w:w="298"/>
        <w:gridCol w:w="1122"/>
        <w:gridCol w:w="165"/>
        <w:gridCol w:w="109"/>
        <w:gridCol w:w="109"/>
        <w:gridCol w:w="109"/>
        <w:gridCol w:w="257"/>
        <w:gridCol w:w="967"/>
        <w:gridCol w:w="207"/>
      </w:tblGrid>
      <w:tr>
        <w:trPr/>
        <w:tc>
          <w:tcPr>
            <w:tcW w:w="2700"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par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$1,734 and $967 as of June 30, 2026 and December 31, 2025, respectively; (from related parties $200 and $415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90,446 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302,534 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290,920 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Customs-related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453,317 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424,745 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 $8,700 and $4,126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short-term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accrued liabilities (to related parties $53 and $60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117,585 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92,278 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line of credit,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250,249 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246,136 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$0.001 par value; 50,000 shares authorized; 23,117 shares issued; 23,050 and 23,041 shares outstanding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67 and 76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203,068 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178,609 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453,317 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424,745 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12"/>
        <w:gridCol w:w="1263"/>
        <w:gridCol w:w="1269"/>
        <w:gridCol w:w="109"/>
        <w:gridCol w:w="109"/>
        <w:gridCol w:w="109"/>
        <w:gridCol w:w="207"/>
        <w:gridCol w:w="780"/>
        <w:gridCol w:w="115"/>
        <w:gridCol w:w="115"/>
        <w:gridCol w:w="115"/>
        <w:gridCol w:w="115"/>
        <w:gridCol w:w="207"/>
        <w:gridCol w:w="780"/>
        <w:gridCol w:w="115"/>
        <w:gridCol w:w="109"/>
        <w:gridCol w:w="109"/>
        <w:gridCol w:w="109"/>
        <w:gridCol w:w="203"/>
        <w:gridCol w:w="765"/>
        <w:gridCol w:w="113"/>
        <w:gridCol w:w="113"/>
        <w:gridCol w:w="113"/>
        <w:gridCol w:w="113"/>
        <w:gridCol w:w="203"/>
        <w:gridCol w:w="765"/>
        <w:gridCol w:w="170"/>
      </w:tblGrid>
      <w:tr>
        <w:trPr/>
        <w:tc>
          <w:tcPr>
            <w:tcW w:w="191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w:t>
            </w:r>
          </w:p>
          <w:p>
            <w:pPr>
              <w:pStyle w:val="TableContents"/>
              <w:bidi w:val="0"/>
              <w:spacing w:lineRule="auto" w:line="240" w:before="0" w:after="0"/>
              <w:jc w:val="left"/>
              <w:rPr/>
            </w:pPr>
            <w:r>
              <w:rPr>
                <w:rFonts w:ascii="Times New Roman;serif" w:hAnsi="Times New Roman;serif"/>
                <w:b w:val="false"/>
                <w:color w:val="000000"/>
                <w:sz w:val="18"/>
              </w:rPr>
              <w:t>(to related parties $10 and $402 for the three months ended June 30, 2026 and 2025, respectively, $19 and $865 for the six months ended June 30, 2026 and 2025</w:t>
            </w:r>
            <w:r>
              <w:rPr>
                <w:rFonts w:ascii="Times New Roman;serif" w:hAnsi="Times New Roman;serif"/>
                <w:b/>
                <w:color w:val="000000"/>
                <w:sz w:val="18"/>
              </w:rPr>
              <w:t xml:space="preserve">, </w:t>
            </w:r>
            <w:r>
              <w:rPr>
                <w:rFonts w:ascii="Times New Roman;serif" w:hAnsi="Times New Roman;serif"/>
                <w:b w:val="false"/>
                <w:color w:val="000000"/>
                <w:sz w:val="18"/>
              </w:rPr>
              <w:t>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327,353 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sales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(derived from related party net sales $3 and $271 for the three months ended June 30, 2026 and 2025, respectively, and $8 and $587 for the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(from related parties of $0 and $219 for the three months ended June 30, 2026 and 2025, respectively, and $0 and $634 for the six months ended June 30,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STOCKHOLDERS’ EQUITY</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948"/>
        <w:gridCol w:w="660"/>
        <w:gridCol w:w="663"/>
        <w:gridCol w:w="109"/>
        <w:gridCol w:w="109"/>
        <w:gridCol w:w="109"/>
        <w:gridCol w:w="287"/>
        <w:gridCol w:w="485"/>
        <w:gridCol w:w="161"/>
        <w:gridCol w:w="109"/>
        <w:gridCol w:w="109"/>
        <w:gridCol w:w="109"/>
        <w:gridCol w:w="243"/>
        <w:gridCol w:w="912"/>
        <w:gridCol w:w="134"/>
        <w:gridCol w:w="109"/>
        <w:gridCol w:w="109"/>
        <w:gridCol w:w="109"/>
        <w:gridCol w:w="335"/>
        <w:gridCol w:w="1133"/>
        <w:gridCol w:w="188"/>
        <w:gridCol w:w="109"/>
        <w:gridCol w:w="109"/>
        <w:gridCol w:w="109"/>
        <w:gridCol w:w="212"/>
        <w:gridCol w:w="638"/>
        <w:gridCol w:w="118"/>
        <w:gridCol w:w="109"/>
        <w:gridCol w:w="109"/>
        <w:gridCol w:w="109"/>
        <w:gridCol w:w="260"/>
        <w:gridCol w:w="980"/>
        <w:gridCol w:w="213"/>
      </w:tblGrid>
      <w:tr>
        <w:trPr/>
        <w:tc>
          <w:tcPr>
            <w:tcW w:w="94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157,878 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185,777 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158,308 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203,068 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(72,429)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157,775 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7"/>
        <w:gridCol w:w="661"/>
        <w:gridCol w:w="663"/>
        <w:gridCol w:w="109"/>
        <w:gridCol w:w="109"/>
        <w:gridCol w:w="109"/>
        <w:gridCol w:w="287"/>
        <w:gridCol w:w="485"/>
        <w:gridCol w:w="161"/>
        <w:gridCol w:w="109"/>
        <w:gridCol w:w="109"/>
        <w:gridCol w:w="109"/>
        <w:gridCol w:w="243"/>
        <w:gridCol w:w="912"/>
        <w:gridCol w:w="134"/>
        <w:gridCol w:w="109"/>
        <w:gridCol w:w="109"/>
        <w:gridCol w:w="109"/>
        <w:gridCol w:w="335"/>
        <w:gridCol w:w="1133"/>
        <w:gridCol w:w="188"/>
        <w:gridCol w:w="109"/>
        <w:gridCol w:w="109"/>
        <w:gridCol w:w="109"/>
        <w:gridCol w:w="212"/>
        <w:gridCol w:w="638"/>
        <w:gridCol w:w="118"/>
        <w:gridCol w:w="109"/>
        <w:gridCol w:w="109"/>
        <w:gridCol w:w="109"/>
        <w:gridCol w:w="260"/>
        <w:gridCol w:w="980"/>
        <w:gridCol w:w="213"/>
      </w:tblGrid>
      <w:tr>
        <w:trPr/>
        <w:tc>
          <w:tcPr>
            <w:tcW w:w="94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178,609 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158,308 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203,068 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157,775 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9506" w:type="dxa"/>
        <w:jc w:val="center"/>
        <w:tblInd w:w="0" w:type="dxa"/>
        <w:tblLayout w:type="fixed"/>
        <w:tblCellMar>
          <w:top w:w="28" w:type="dxa"/>
          <w:left w:w="28" w:type="dxa"/>
          <w:bottom w:w="28" w:type="dxa"/>
          <w:right w:w="28" w:type="dxa"/>
        </w:tblCellMar>
      </w:tblPr>
      <w:tblGrid>
        <w:gridCol w:w="2275"/>
        <w:gridCol w:w="2005"/>
        <w:gridCol w:w="2020"/>
        <w:gridCol w:w="109"/>
        <w:gridCol w:w="109"/>
        <w:gridCol w:w="109"/>
        <w:gridCol w:w="248"/>
        <w:gridCol w:w="818"/>
        <w:gridCol w:w="138"/>
        <w:gridCol w:w="138"/>
        <w:gridCol w:w="138"/>
        <w:gridCol w:w="138"/>
        <w:gridCol w:w="248"/>
        <w:gridCol w:w="818"/>
        <w:gridCol w:w="195"/>
      </w:tblGrid>
      <w:tr>
        <w:trPr/>
        <w:tc>
          <w:tcPr>
            <w:tcW w:w="2275"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(credit) for losses in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allowance for inventory obsolescence,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(49,527)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75,724 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INVESTING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FROM FINANCING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and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short-term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74,523 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11" w:type="dxa"/>
        <w:jc w:val="center"/>
        <w:tblInd w:w="0" w:type="dxa"/>
        <w:tblLayout w:type="fixed"/>
        <w:tblCellMar>
          <w:top w:w="28" w:type="dxa"/>
          <w:left w:w="28" w:type="dxa"/>
          <w:bottom w:w="28" w:type="dxa"/>
          <w:right w:w="28" w:type="dxa"/>
        </w:tblCellMar>
      </w:tblPr>
      <w:tblGrid>
        <w:gridCol w:w="2678"/>
        <w:gridCol w:w="2357"/>
        <w:gridCol w:w="2375"/>
        <w:gridCol w:w="109"/>
        <w:gridCol w:w="109"/>
        <w:gridCol w:w="109"/>
        <w:gridCol w:w="196"/>
        <w:gridCol w:w="646"/>
        <w:gridCol w:w="109"/>
        <w:gridCol w:w="109"/>
        <w:gridCol w:w="109"/>
        <w:gridCol w:w="109"/>
        <w:gridCol w:w="196"/>
        <w:gridCol w:w="646"/>
        <w:gridCol w:w="154"/>
      </w:tblGrid>
      <w:tr>
        <w:trPr/>
        <w:tc>
          <w:tcPr>
            <w:tcW w:w="267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1.    Summary of Significant Accounting Policies and Other Information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Nature of Business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large custom-engineered integrated electrical power generation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customers’ technical specifications and requirements imposed by environmental regulatory bodies.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 market components.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acquired MTL Manufacturing &amp; Equipment, Inc. (“MTL”), which engages in the welding, fabrication, painting, and assembly of steel components. The acquisition expands the Company’s manufacturing capabilities and vertical integration.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Stock Ownership and Control</w:t>
      </w:r>
    </w:p>
    <w:p>
      <w:pPr>
        <w:pStyle w:val="TextBody"/>
        <w:bidi w:val="0"/>
        <w:spacing w:lineRule="auto" w:line="288" w:before="120" w:after="120"/>
        <w:jc w:val="both"/>
        <w:rPr/>
      </w:pPr>
      <w:r>
        <w:rPr>
          <w:rFonts w:ascii="Times New Roman;serif" w:hAnsi="Times New Roman;serif"/>
          <w:b w:val="false"/>
          <w:color w:val="000000"/>
          <w:sz w:val="20"/>
        </w:rPr>
        <w:t xml:space="preserve">Weichai America Corp., a wholly-owned subsidiary of Weichai Power Co., Ltd. (HK2338, SZ000338) (herein collectively referred to as “Weichai”), </w:t>
      </w:r>
      <w:r>
        <w:rPr>
          <w:rFonts w:ascii="Times New Roman;serif" w:hAnsi="Times New Roman;serif"/>
          <w:b w:val="false"/>
          <w:color w:val="000000"/>
          <w:sz w:val="20"/>
          <w:shd w:fill="FFFFFF" w:val="clear"/>
        </w:rPr>
        <w:t xml:space="preserve">owns approximately 46.0% of the outstanding shares of the Company’s Common Stock as of June 30, 2026. </w:t>
      </w:r>
      <w:r>
        <w:rPr>
          <w:rFonts w:ascii="Times New Roman;serif" w:hAnsi="Times New Roman;serif"/>
          <w:b w:val="false"/>
          <w:color w:val="000000"/>
          <w:sz w:val="20"/>
        </w:rPr>
        <w:t xml:space="preserve">Weichai has entered into an Investor Rights Agreement (the “Rights Agreement”) with the Company. The Rights Agreement provides Weichai with representation on the Company’s Board of Directors (the “Board”) and management representation rights. Weichai currently has four representatives on the Board, which constitutes the majority of the directors serving on the Board. In addition, the Company and Weichai have entered into a Shareholders Agreement with the Company’s founders (the “Founders”), </w:t>
      </w:r>
      <w:r>
        <w:rPr>
          <w:rFonts w:ascii="Times New Roman;serif" w:hAnsi="Times New Roman;serif"/>
          <w:b w:val="false"/>
          <w:color w:val="000000"/>
          <w:sz w:val="20"/>
          <w:shd w:fill="FFFFFF" w:val="clear"/>
        </w:rPr>
        <w:t xml:space="preserve">pursuant to which the Founders have agreed to vote in favor of Weichai’s designees to the Board and for certain other matters. The Founders currently own between 5% - 10% of the Company’s Common Stock as of June 30, 2026. As a result, Weichai is able to exercise control over </w:t>
      </w:r>
      <w:r>
        <w:rPr>
          <w:rFonts w:ascii="Times New Roman;serif" w:hAnsi="Times New Roman;serif"/>
          <w:b w:val="false"/>
          <w:color w:val="000000"/>
          <w:sz w:val="20"/>
        </w:rPr>
        <w:t>matters requiring stockholders’ approval, including the election of directors, amendment of the Company’s Certificate of Incorporation (the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According to the Rights Agreement, during any period when the Company is a “controlled company” within the meaning of the Nasdaq Listing Rules, it will take such measures as to avail itself of the “controlled company” exemptions available under Rule 5615 of the Nasdaq Listing Rules from Rules 5605(b), (d) and (e) to the extent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filing this Form 10-Q for the quarterly period ended June 30, 2026, which contains unaudited condensed consolidated financial statements as of June 30, 2026 and for the three and six months ended June 30,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Power Solutions International, Inc. and its wholly-owned subsidiaries and majority-owned subsidiaries in which the Company exercises control. The consolidated financial statements were prepared in accordance with generally accepted accounting principles in the United States (“U.S. GAAP”) and rules and regulations of the SEC for interim financial reporting. All intercompany balances and transactions have been eliminated in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normally included in the Company’s annual financial statements prepared in accordance with U.S. GAAP have been condensed or omitted. The accompanying unaudited Consolidated Financial Statements have been prepared in accordance with the instructions to Form 10-Q and include all of the information and disclosures required by U.S GAAP for interim financial reporting. These unaudited Consolidated Financial Statements should be read in conjunction with the Consolidated Financial Statements of the Company and related footnotes for the year ended December 31, 2025, included in the 2025 Annual Report on Form 10-K, filed with the SEC on March 2, 2026 (the “2025 Annual Report”). There have been no material changes in the Company’s significant accounting policies as compared to the significant accounting policies described in the Company’s 2025 Annual Report. The accompanying interim financial information is unaudited; however, the Company believes the financial information reflects all adjustments (consisting of items of a normal recurring nature) necessary for a fair presentation of its financial position, results of operations and cash flows in conformity with U.S. GAAP. Operating results for interim periods are not necessarily indicative of annual operating results.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business and geographic operating segment. Operating segments are defined as components of a business that can earn revenues and incur expenses for which discrete financial information is available that is evaluated on a regular basis by the chief operating decision maker (“CODM”). The Company’s CODM is its principal executive officer, who decides how to allocate resources and assess performance. A single management team reports to the CODM, who manages the entire business. The Company’s CODM reviews consolidated statements of income to make decisions, allocate resources and assess performance, and the CODM does not evaluate the profit or loss from any separate geography or product line.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customers individually accounting for more than 10% of the Company’s net sales:</w:t>
      </w:r>
    </w:p>
    <w:tbl>
      <w:tblPr>
        <w:tblW w:w="7543"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260"/>
        <w:gridCol w:w="260"/>
        <w:gridCol w:w="611"/>
        <w:gridCol w:w="260"/>
        <w:gridCol w:w="260"/>
        <w:gridCol w:w="260"/>
        <w:gridCol w:w="260"/>
        <w:gridCol w:w="260"/>
        <w:gridCol w:w="611"/>
        <w:gridCol w:w="109"/>
        <w:gridCol w:w="109"/>
        <w:gridCol w:w="109"/>
        <w:gridCol w:w="237"/>
        <w:gridCol w:w="237"/>
        <w:gridCol w:w="558"/>
        <w:gridCol w:w="237"/>
        <w:gridCol w:w="237"/>
        <w:gridCol w:w="237"/>
        <w:gridCol w:w="237"/>
        <w:gridCol w:w="237"/>
        <w:gridCol w:w="656"/>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customers individually accounting for more than 10% of the Company’s trade accounts receivable:</w:t>
      </w:r>
    </w:p>
    <w:tbl>
      <w:tblPr>
        <w:tblW w:w="5288"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367"/>
        <w:gridCol w:w="367"/>
        <w:gridCol w:w="871"/>
        <w:gridCol w:w="109"/>
        <w:gridCol w:w="109"/>
        <w:gridCol w:w="109"/>
        <w:gridCol w:w="427"/>
        <w:gridCol w:w="427"/>
        <w:gridCol w:w="118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suppliers individually accounting for more than 10% of the Company’s purchases:</w:t>
      </w:r>
    </w:p>
    <w:tbl>
      <w:tblPr>
        <w:tblW w:w="7472" w:type="dxa"/>
        <w:jc w:val="left"/>
        <w:tblInd w:w="0" w:type="dxa"/>
        <w:tblLayout w:type="fixed"/>
        <w:tblCellMar>
          <w:top w:w="28" w:type="dxa"/>
          <w:left w:w="28" w:type="dxa"/>
          <w:bottom w:w="28" w:type="dxa"/>
          <w:right w:w="28" w:type="dxa"/>
        </w:tblCellMar>
      </w:tblPr>
      <w:tblGrid>
        <w:gridCol w:w="326"/>
        <w:gridCol w:w="286"/>
        <w:gridCol w:w="288"/>
        <w:gridCol w:w="109"/>
        <w:gridCol w:w="109"/>
        <w:gridCol w:w="109"/>
        <w:gridCol w:w="294"/>
        <w:gridCol w:w="294"/>
        <w:gridCol w:w="294"/>
        <w:gridCol w:w="294"/>
        <w:gridCol w:w="294"/>
        <w:gridCol w:w="294"/>
        <w:gridCol w:w="294"/>
        <w:gridCol w:w="294"/>
        <w:gridCol w:w="691"/>
        <w:gridCol w:w="109"/>
        <w:gridCol w:w="109"/>
        <w:gridCol w:w="109"/>
        <w:gridCol w:w="267"/>
        <w:gridCol w:w="267"/>
        <w:gridCol w:w="267"/>
        <w:gridCol w:w="267"/>
        <w:gridCol w:w="267"/>
        <w:gridCol w:w="267"/>
        <w:gridCol w:w="267"/>
        <w:gridCol w:w="267"/>
        <w:gridCol w:w="739"/>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**Less than 10% of the total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uncollectible receivables,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120"/>
        <w:jc w:val="both"/>
        <w:rPr/>
      </w:pPr>
      <w:r>
        <w:rPr>
          <w:rFonts w:ascii="Times New Roman;serif" w:hAnsi="Times New Roman;serif"/>
          <w:b w:val="false"/>
          <w:color w:val="000000"/>
          <w:sz w:val="20"/>
        </w:rPr>
        <w:t xml:space="preserve">Restricted cash consists of funds that are contractually restricted as to usage or withdrawal due to required minimum levels of cash collateral for letters of credits and contractual agreements with customers.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the Company had restricted cash of </w:t>
      </w:r>
      <w:r>
        <w:rPr>
          <w:rFonts w:ascii="Times New Roman;serif" w:hAnsi="Times New Roman;serif"/>
          <w:b w:val="false"/>
          <w:color w:val="000000"/>
          <w:sz w:val="20"/>
        </w:rPr>
        <w:t>$4.5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$3.7 million</w:t>
      </w:r>
      <w:r>
        <w:rPr>
          <w:rFonts w:ascii="Times New Roman;serif" w:hAnsi="Times New Roman;serif"/>
          <w:b w:val="false"/>
          <w:color w:val="000000"/>
          <w:sz w:val="20"/>
          <w:shd w:fill="FFFFFF" w:val="clear"/>
        </w:rPr>
        <w:t xml:space="preserve">, respectively, which includes $1.4 million restricted cash held in escrow which could be required to be refunded to the customer if conditions occur as defined in the agreement with the customer. The Company has not recognized revenue associated with the restricted cash. The liability is included within </w:t>
      </w:r>
      <w:r>
        <w:rPr>
          <w:rFonts w:ascii="Times New Roman;serif" w:hAnsi="Times New Roman;serif"/>
          <w:b w:val="false"/>
          <w:i/>
          <w:color w:val="000000"/>
          <w:sz w:val="20"/>
          <w:shd w:fill="FFFFFF" w:val="clear"/>
        </w:rPr>
        <w:t>Noncurrent Contract Liabilities</w:t>
      </w:r>
      <w:r>
        <w:rPr>
          <w:color w:val="000000"/>
          <w:shd w:fill="FFFFFF" w:val="clear"/>
        </w:rPr>
        <w:t xml:space="preserve"> </w:t>
      </w:r>
      <w:r>
        <w:rPr>
          <w:rFonts w:ascii="Times New Roman;serif" w:hAnsi="Times New Roman;serif"/>
          <w:b w:val="false"/>
          <w:color w:val="000000"/>
          <w:sz w:val="20"/>
          <w:shd w:fill="FFFFFF" w:val="clear"/>
        </w:rPr>
        <w:t>on the Consolidated Balance Sheet.</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inventories consist primarily of engines and parts. Engines are valued at the lower of cost, including estimated freight-in or net realizable value. Parts are valued at the lower of cost or net realizable value, except for integral parts provided by customers for installation on custom ordered engines. Such parts are accounted for as noncash consideration which is valued at fair value. Net realizable value approximates replacement cost. Cost is principally determined using the first-in, first-out or average-cost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which the reduced valuation is determined. Inventory reserves are established based on quantities on hand, usage and sales history, customer orders, projected demand and utilization within a current or future power system. Specific analysis of individual items or groups of items is performed based on these same criteria, as well as on changes in market conditions or any other identified conditions.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Inventories consist of the following:</w:t>
      </w:r>
    </w:p>
    <w:tbl>
      <w:tblPr>
        <w:tblW w:w="5859" w:type="dxa"/>
        <w:jc w:val="left"/>
        <w:tblInd w:w="0" w:type="dxa"/>
        <w:tblLayout w:type="fixed"/>
        <w:tblCellMar>
          <w:top w:w="28" w:type="dxa"/>
          <w:left w:w="28" w:type="dxa"/>
          <w:bottom w:w="28" w:type="dxa"/>
          <w:right w:w="28" w:type="dxa"/>
        </w:tblCellMar>
      </w:tblPr>
      <w:tblGrid>
        <w:gridCol w:w="566"/>
        <w:gridCol w:w="496"/>
        <w:gridCol w:w="498"/>
        <w:gridCol w:w="109"/>
        <w:gridCol w:w="109"/>
        <w:gridCol w:w="109"/>
        <w:gridCol w:w="302"/>
        <w:gridCol w:w="1135"/>
        <w:gridCol w:w="168"/>
        <w:gridCol w:w="109"/>
        <w:gridCol w:w="109"/>
        <w:gridCol w:w="109"/>
        <w:gridCol w:w="368"/>
        <w:gridCol w:w="1383"/>
        <w:gridCol w:w="289"/>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Raw materials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105,225 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136,818 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135,616 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127,582 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127,363 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in the Company’s inventory allowance was as follows:</w:t>
      </w:r>
    </w:p>
    <w:tbl>
      <w:tblPr>
        <w:tblW w:w="5660"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269"/>
        <w:gridCol w:w="764"/>
        <w:gridCol w:w="149"/>
        <w:gridCol w:w="149"/>
        <w:gridCol w:w="149"/>
        <w:gridCol w:w="149"/>
        <w:gridCol w:w="269"/>
        <w:gridCol w:w="764"/>
        <w:gridCol w:w="211"/>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Inventory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9,236 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8,210 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 Company’s inventory included </w:t>
      </w:r>
      <w:r>
        <w:rPr>
          <w:rFonts w:ascii="Times New Roman;serif" w:hAnsi="Times New Roman;serif"/>
          <w:b w:val="false"/>
          <w:color w:val="000000"/>
          <w:sz w:val="20"/>
          <w:shd w:fill="FFFFFF" w:val="clear"/>
        </w:rPr>
        <w:t>$2.9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$0.2 million, respectively,</w:t>
      </w:r>
      <w:r>
        <w:rPr>
          <w:color w:val="000000"/>
        </w:rPr>
        <w:t xml:space="preserve"> </w:t>
      </w:r>
      <w:r>
        <w:rPr>
          <w:rFonts w:ascii="Times New Roman;serif" w:hAnsi="Times New Roman;serif"/>
          <w:b w:val="false"/>
          <w:color w:val="000000"/>
          <w:sz w:val="20"/>
        </w:rPr>
        <w:t xml:space="preserve">of raw materials provided by its customers for installation in the fulfillment of its performance obligations to these customers and recorded an associated contract liability. See </w:t>
      </w:r>
      <w:r>
        <w:rPr>
          <w:rFonts w:ascii="Times New Roman;serif" w:hAnsi="Times New Roman;serif"/>
          <w:b w:val="false"/>
          <w:color w:val="000000"/>
          <w:sz w:val="20"/>
          <w:shd w:fill="FFFFFF" w:val="clear"/>
        </w:rPr>
        <w:t>Note 3.</w:t>
      </w:r>
      <w:r>
        <w:rPr>
          <w:color w:val="000000"/>
        </w:rPr>
        <w:t xml:space="preserve"> </w:t>
      </w:r>
      <w:r>
        <w:rPr>
          <w:rFonts w:ascii="Times New Roman;serif" w:hAnsi="Times New Roman;serif"/>
          <w:b w:val="false"/>
          <w:i/>
          <w:color w:val="000000"/>
          <w:sz w:val="20"/>
          <w:shd w:fill="FFFFFF" w:val="clear"/>
        </w:rPr>
        <w:t>Revenue</w:t>
      </w:r>
      <w:r>
        <w:rPr>
          <w:color w:val="000000"/>
        </w:rPr>
        <w:t xml:space="preserve"> </w:t>
      </w:r>
      <w:r>
        <w:rPr>
          <w:rFonts w:ascii="Times New Roman;serif" w:hAnsi="Times New Roman;serif"/>
          <w:b w:val="false"/>
          <w:color w:val="000000"/>
          <w:sz w:val="20"/>
        </w:rPr>
        <w:t>for further information regarding contract assets and contract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Accrued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consisted of the following:</w:t>
      </w:r>
    </w:p>
    <w:tbl>
      <w:tblPr>
        <w:tblW w:w="6937" w:type="dxa"/>
        <w:jc w:val="left"/>
        <w:tblInd w:w="0" w:type="dxa"/>
        <w:tblLayout w:type="fixed"/>
        <w:tblCellMar>
          <w:top w:w="28" w:type="dxa"/>
          <w:left w:w="28" w:type="dxa"/>
          <w:bottom w:w="28" w:type="dxa"/>
          <w:right w:w="28" w:type="dxa"/>
        </w:tblCellMar>
      </w:tblPr>
      <w:tblGrid>
        <w:gridCol w:w="955"/>
        <w:gridCol w:w="839"/>
        <w:gridCol w:w="846"/>
        <w:gridCol w:w="109"/>
        <w:gridCol w:w="109"/>
        <w:gridCol w:w="109"/>
        <w:gridCol w:w="330"/>
        <w:gridCol w:w="1090"/>
        <w:gridCol w:w="184"/>
        <w:gridCol w:w="109"/>
        <w:gridCol w:w="109"/>
        <w:gridCol w:w="109"/>
        <w:gridCol w:w="401"/>
        <w:gridCol w:w="1323"/>
        <w:gridCol w:w="315"/>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6,634 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Accrued litigation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 appreciation rights liability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bearing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Customs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36,247 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June 30, 2026 and December 31, 2025</w:t>
      </w:r>
      <w:r>
        <w:rPr>
          <w:color w:val="000000"/>
          <w:shd w:fill="FFFFFF" w:val="clear"/>
        </w:rPr>
        <w:t xml:space="preserve"> </w:t>
      </w:r>
      <w:r>
        <w:rPr>
          <w:rFonts w:ascii="Times New Roman;serif" w:hAnsi="Times New Roman;serif"/>
          <w:b w:val="false"/>
          <w:color w:val="000000"/>
          <w:sz w:val="16"/>
          <w:shd w:fill="FFFFFF" w:val="clear"/>
        </w:rPr>
        <w:t xml:space="preserve">accrued </w:t>
      </w:r>
      <w:r>
        <w:rPr>
          <w:rFonts w:ascii="Times New Roman;serif" w:hAnsi="Times New Roman;serif"/>
          <w:b w:val="false"/>
          <w:color w:val="000000"/>
          <w:sz w:val="16"/>
        </w:rPr>
        <w:t xml:space="preserve">litigation includes accruals related to various ongoing legal matters including associated legal fees. See </w:t>
      </w:r>
      <w:r>
        <w:rPr>
          <w:rFonts w:ascii="Times New Roman;serif" w:hAnsi="Times New Roman;serif"/>
          <w:b w:val="false"/>
          <w:color w:val="000000"/>
          <w:sz w:val="16"/>
          <w:shd w:fill="FFFFFF" w:val="clear"/>
        </w:rPr>
        <w:t>Note 11.</w:t>
      </w:r>
      <w:r>
        <w:rPr>
          <w:color w:val="000000"/>
        </w:rPr>
        <w:t xml:space="preserve"> </w:t>
      </w:r>
      <w:r>
        <w:rPr>
          <w:rFonts w:ascii="Times New Roman;serif" w:hAnsi="Times New Roman;serif"/>
          <w:b w:val="false"/>
          <w:i/>
          <w:color w:val="000000"/>
          <w:sz w:val="16"/>
          <w:shd w:fill="FFFFFF" w:val="clear"/>
        </w:rPr>
        <w:t>Commitments and Contingencies</w:t>
      </w:r>
      <w:r>
        <w:rPr>
          <w:color w:val="000000"/>
        </w:rPr>
        <w:t xml:space="preserve"> </w:t>
      </w:r>
      <w:r>
        <w:rPr>
          <w:rFonts w:ascii="Times New Roman;serif" w:hAnsi="Times New Roman;serif"/>
          <w:b w:val="false"/>
          <w:color w:val="000000"/>
          <w:sz w:val="16"/>
        </w:rPr>
        <w:t>for further information regarding the various ongoing legal matters.</w:t>
      </w:r>
    </w:p>
    <w:p>
      <w:pPr>
        <w:pStyle w:val="TextBody"/>
        <w:bidi w:val="0"/>
        <w:spacing w:lineRule="auto" w:line="288" w:before="120" w:after="12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Company has an incentive compensation plan, which authorizes the granting of a variety of different types of awards including, but not limited to, non-qualified stock options, incentive stock options, Stock Appreciation Rights (“SARs”), Restricted Stock Awards (“RSAs”)</w:t>
      </w:r>
      <w:r>
        <w:rPr>
          <w:rFonts w:ascii="Times New Roman;serif" w:hAnsi="Times New Roman;serif"/>
          <w:b w:val="false"/>
          <w:color w:val="000000"/>
          <w:sz w:val="20"/>
        </w:rPr>
        <w:t xml:space="preserve">, </w:t>
      </w:r>
      <w:r>
        <w:rPr>
          <w:rFonts w:ascii="Times New Roman;serif" w:hAnsi="Times New Roman;serif"/>
          <w:b w:val="false"/>
          <w:color w:val="000000"/>
          <w:sz w:val="16"/>
        </w:rPr>
        <w:t>deferred stock and performance units to its executive officers, employees, consultants and Directors. The liability classified SAR awards were exercised and paid during the quarter ended June 30, 2026</w:t>
      </w:r>
      <w:r>
        <w:rPr>
          <w:rFonts w:ascii="Times New Roman;serif" w:hAnsi="Times New Roman;serif"/>
          <w:b w:val="false"/>
          <w:color w:val="000000"/>
          <w:sz w:val="16"/>
          <w:shd w:fill="FFFFFF" w:val="clear"/>
        </w:rPr>
        <w:t xml:space="preserve">. </w:t>
      </w:r>
      <w:r>
        <w:rPr>
          <w:rFonts w:ascii="Times New Roman;serif" w:hAnsi="Times New Roman;serif"/>
          <w:b w:val="false"/>
          <w:color w:val="000000"/>
          <w:sz w:val="16"/>
        </w:rPr>
        <w:t xml:space="preserve">See Note 14. </w:t>
      </w:r>
      <w:r>
        <w:rPr>
          <w:rFonts w:ascii="Times New Roman;serif" w:hAnsi="Times New Roman;serif"/>
          <w:b w:val="false"/>
          <w:i/>
          <w:color w:val="000000"/>
          <w:sz w:val="16"/>
        </w:rPr>
        <w:t>Stock-Based Compensation</w:t>
      </w:r>
      <w:r>
        <w:rPr>
          <w:color w:val="000000"/>
        </w:rPr>
        <w:t xml:space="preserve"> </w:t>
      </w:r>
      <w:r>
        <w:rPr>
          <w:rFonts w:ascii="Times New Roman;serif" w:hAnsi="Times New Roman;serif"/>
          <w:b w:val="false"/>
          <w:color w:val="000000"/>
          <w:sz w:val="16"/>
        </w:rPr>
        <w:t>in the Company’s 2025 Annual Report for additional information on the SARs and RSAs.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Warranty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offers a standard limited warranty on the workmanship of its products that in most cases covers defects for a defined period. Warranties for certified emission products are mandated by the U.S. Environmental Protection Agency (the “EPA”) and/or the California Air Resources Board (the “CARB”) and are longer than the Company’s standard warranty on certain emission-related products. The Company’s products also carry limited warranties from suppliers. The Company’s warranties generally apply to engines fully manufactured by the Company and to the modifications the Company makes to supplier base products. Costs related to supplier warranty claims are generally borne by the supplier and passed through to the end customer.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pStyle w:val="TextBody"/>
        <w:bidi w:val="0"/>
        <w:spacing w:lineRule="auto" w:line="288" w:before="120" w:after="120"/>
        <w:jc w:val="both"/>
        <w:rPr/>
      </w:pPr>
      <w:r>
        <w:rPr>
          <w:rFonts w:ascii="Times New Roman;serif" w:hAnsi="Times New Roman;serif"/>
          <w:b w:val="false"/>
          <w:color w:val="000000"/>
          <w:sz w:val="20"/>
          <w:shd w:fill="FFFFFF" w:val="clear"/>
        </w:rPr>
        <w:t>Accrued product warranty activities i</w:t>
      </w:r>
      <w:r>
        <w:rPr>
          <w:rFonts w:ascii="Times New Roman;serif" w:hAnsi="Times New Roman;serif"/>
          <w:b w:val="false"/>
          <w:color w:val="000000"/>
          <w:sz w:val="20"/>
        </w:rPr>
        <w:t xml:space="preserve">ncluded in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on the Consolidated Balance Sheet</w:t>
      </w:r>
      <w:r>
        <w:rPr>
          <w:color w:val="000000"/>
          <w:shd w:fill="FFFFFF" w:val="clear"/>
        </w:rPr>
        <w:t xml:space="preserve"> </w:t>
      </w:r>
      <w:r>
        <w:rPr>
          <w:rFonts w:ascii="Times New Roman;serif" w:hAnsi="Times New Roman;serif"/>
          <w:b w:val="false"/>
          <w:color w:val="000000"/>
          <w:sz w:val="20"/>
          <w:shd w:fill="FFFFFF" w:val="clear"/>
        </w:rPr>
        <w:t>are presented below:</w:t>
      </w:r>
    </w:p>
    <w:tbl>
      <w:tblPr>
        <w:tblW w:w="6833" w:type="dxa"/>
        <w:jc w:val="left"/>
        <w:tblInd w:w="0" w:type="dxa"/>
        <w:tblLayout w:type="fixed"/>
        <w:tblCellMar>
          <w:top w:w="28" w:type="dxa"/>
          <w:left w:w="28" w:type="dxa"/>
          <w:bottom w:w="28" w:type="dxa"/>
          <w:right w:w="28" w:type="dxa"/>
        </w:tblCellMar>
      </w:tblPr>
      <w:tblGrid>
        <w:gridCol w:w="1313"/>
        <w:gridCol w:w="1157"/>
        <w:gridCol w:w="1160"/>
        <w:gridCol w:w="109"/>
        <w:gridCol w:w="109"/>
        <w:gridCol w:w="109"/>
        <w:gridCol w:w="258"/>
        <w:gridCol w:w="733"/>
        <w:gridCol w:w="143"/>
        <w:gridCol w:w="143"/>
        <w:gridCol w:w="143"/>
        <w:gridCol w:w="143"/>
        <w:gridCol w:w="258"/>
        <w:gridCol w:w="852"/>
        <w:gridCol w:w="203"/>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Accrued Product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period provision </w:t>
            </w: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Changes in estimates for preexisting warranties </w:t>
            </w: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made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Noncurrent accrued product warranty </w:t>
              <w:br/>
              <w:t>(included with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720"/>
        <w:jc w:val="both"/>
        <w:rPr/>
      </w:pPr>
      <w:r>
        <w:rPr>
          <w:rFonts w:ascii="Times New Roman;serif" w:hAnsi="Times New Roman;serif"/>
          <w:b w:val="false"/>
          <w:color w:val="000000"/>
          <w:sz w:val="16"/>
          <w:shd w:fill="FFFFFF" w:val="clear"/>
        </w:rPr>
        <w:t>*Warranty costs, net of supplier recoveries and other adjustments, were $2.1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16"/>
          <w:shd w:fill="FFFFFF" w:val="clear"/>
        </w:rPr>
        <w:t>$2.5 million</w:t>
      </w:r>
      <w:r>
        <w:rPr>
          <w:color w:val="000000"/>
          <w:shd w:fill="FFFFFF" w:val="clear"/>
        </w:rPr>
        <w:t xml:space="preserve"> </w:t>
      </w:r>
      <w:r>
        <w:rPr>
          <w:rFonts w:ascii="Times New Roman;serif" w:hAnsi="Times New Roman;serif"/>
          <w:b w:val="false"/>
          <w:color w:val="000000"/>
          <w:sz w:val="16"/>
          <w:shd w:fill="FFFFFF" w:val="clear"/>
        </w:rPr>
        <w:t>for the six months ended June 30, 2026 and 2025, respectively. There were no supplier recoveries for both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ind w:left="0" w:right="0" w:hanging="720"/>
        <w:jc w:val="both"/>
        <w:rPr/>
      </w:pPr>
      <w:r>
        <w:rPr>
          <w:rFonts w:ascii="Times New Roman;serif" w:hAnsi="Times New Roman;serif"/>
          <w:b w:val="false"/>
          <w:color w:val="000000"/>
          <w:sz w:val="16"/>
          <w:shd w:fill="FFFFFF" w:val="clear"/>
        </w:rPr>
        <w:t xml:space="preserve">**Changes in estimates for preexisting warranties reflect changes in the Company’s estimate of warranty costs for products sold in prior periods. Such adjustments typically occur when claims experience deviates from historical and expected trends. During the </w:t>
      </w:r>
      <w:r>
        <w:rPr>
          <w:rFonts w:ascii="Times New Roman;serif" w:hAnsi="Times New Roman;serif"/>
          <w:b w:val="false"/>
          <w:color w:val="000000"/>
          <w:sz w:val="16"/>
        </w:rPr>
        <w:t>six</w:t>
      </w:r>
      <w:r>
        <w:rPr>
          <w:color w:val="000000"/>
          <w:shd w:fill="FFFFFF" w:val="clear"/>
        </w:rPr>
        <w:t xml:space="preserve"> </w:t>
      </w:r>
      <w:r>
        <w:rPr>
          <w:rFonts w:ascii="Times New Roman;serif" w:hAnsi="Times New Roman;serif"/>
          <w:b w:val="false"/>
          <w:color w:val="000000"/>
          <w:sz w:val="16"/>
          <w:shd w:fill="FFFFFF" w:val="clear"/>
        </w:rPr>
        <w:t xml:space="preserve">months ended June 30, 2026, the Company recorded a cost for changes in estimates of preexisting warranties of $0.9 million, or $0.04 per diluted share. During the </w:t>
      </w:r>
      <w:r>
        <w:rPr>
          <w:rFonts w:ascii="Times New Roman;serif" w:hAnsi="Times New Roman;serif"/>
          <w:b w:val="false"/>
          <w:color w:val="000000"/>
          <w:sz w:val="16"/>
        </w:rPr>
        <w:t>six</w:t>
      </w:r>
      <w:r>
        <w:rPr>
          <w:color w:val="000000"/>
          <w:shd w:fill="FFFFFF" w:val="clear"/>
        </w:rPr>
        <w:t xml:space="preserve"> </w:t>
      </w:r>
      <w:r>
        <w:rPr>
          <w:rFonts w:ascii="Times New Roman;serif" w:hAnsi="Times New Roman;serif"/>
          <w:b w:val="false"/>
          <w:color w:val="000000"/>
          <w:sz w:val="16"/>
          <w:shd w:fill="FFFFFF" w:val="clear"/>
        </w:rPr>
        <w:t>months ended June 30, 2025, the Company recorded a cost for changes in estimates of preexisting warranties $0.1 million, or $0.00 per diluted</w:t>
      </w:r>
      <w:r>
        <w:rPr>
          <w:color w:val="000000"/>
        </w:rPr>
        <w:t xml:space="preserve"> </w:t>
      </w:r>
      <w:r>
        <w:rPr>
          <w:rFonts w:ascii="Times New Roman;serif" w:hAnsi="Times New Roman;serif"/>
          <w:b w:val="false"/>
          <w:color w:val="000000"/>
          <w:sz w:val="16"/>
        </w:rPr>
        <w:t xml:space="preserve">share.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Tariff Refunds</w:t>
      </w:r>
    </w:p>
    <w:p>
      <w:pPr>
        <w:pStyle w:val="TextBody"/>
        <w:bidi w:val="0"/>
        <w:spacing w:lineRule="auto" w:line="288" w:before="120" w:after="120"/>
        <w:jc w:val="both"/>
        <w:rPr/>
      </w:pPr>
      <w:r>
        <w:rPr>
          <w:rFonts w:ascii="Times New Roman;serif" w:hAnsi="Times New Roman;serif"/>
          <w:b w:val="false"/>
          <w:color w:val="000000"/>
          <w:sz w:val="20"/>
        </w:rPr>
        <w:t xml:space="preserve">The Company accounts for tariff refunds under Accounting Standards Codification Topic 450-30, </w:t>
      </w:r>
      <w:r>
        <w:rPr>
          <w:rFonts w:ascii="Times New Roman;serif" w:hAnsi="Times New Roman;serif"/>
          <w:b w:val="false"/>
          <w:i/>
          <w:color w:val="000000"/>
          <w:sz w:val="20"/>
        </w:rPr>
        <w:t>Gain Contingencies</w:t>
      </w:r>
      <w:r>
        <w:rPr>
          <w:rFonts w:ascii="Times New Roman;serif" w:hAnsi="Times New Roman;serif"/>
          <w:b w:val="false"/>
          <w:color w:val="000000"/>
          <w:sz w:val="20"/>
        </w:rPr>
        <w:t>. Tariff refunds are recognized when all contingencies are resolved and the gain is realized or realizable. Tariff refunds received prior to meeting the criteria for recognition are recorded as a liability within tariff refund liability.</w:t>
      </w:r>
    </w:p>
    <w:p>
      <w:pPr>
        <w:pStyle w:val="TextBody"/>
        <w:bidi w:val="0"/>
        <w:spacing w:lineRule="auto" w:line="288" w:before="120" w:after="120"/>
        <w:jc w:val="both"/>
        <w:rPr/>
      </w:pPr>
      <w:r>
        <w:rPr>
          <w:rFonts w:ascii="Times New Roman;serif" w:hAnsi="Times New Roman;serif"/>
          <w:b w:val="false"/>
          <w:color w:val="000000"/>
          <w:sz w:val="20"/>
        </w:rPr>
        <w:t xml:space="preserve">During the second quarter of 2026, the Company received tariff refunds totaling $22.7 million relating to the International Emergency Economic Powers Act (“IEEPA”) ruling. The refunds received may be subject to potential customer refund obligations. The final methodology for calculating individual customer paybacks has not yet been determined, and the final amounts to be refunded to customers or retained by the Company is unknown as the of the issuance of these consolidated financial statements. Accordingly, the full $22.7 million has been recorded as a customer refund liability within </w:t>
      </w:r>
      <w:r>
        <w:rPr>
          <w:rFonts w:ascii="Times New Roman;serif" w:hAnsi="Times New Roman;serif"/>
          <w:b w:val="false"/>
          <w:i/>
          <w:color w:val="000000"/>
          <w:sz w:val="20"/>
        </w:rPr>
        <w:t>Tariff Refund Liability</w:t>
      </w:r>
      <w:r>
        <w:rPr>
          <w:color w:val="000000"/>
        </w:rPr>
        <w:t xml:space="preserve"> </w:t>
      </w:r>
      <w:r>
        <w:rPr>
          <w:rFonts w:ascii="Times New Roman;serif" w:hAnsi="Times New Roman;serif"/>
          <w:b w:val="false"/>
          <w:color w:val="000000"/>
          <w:sz w:val="20"/>
        </w:rPr>
        <w:t>on the Consolidated Balance Sheets, and no gain has been recognized as of June 30, 2026. The Company expects to finalize the refund allocation by the end of 2026.</w:t>
      </w:r>
    </w:p>
    <w:p>
      <w:pPr>
        <w:pStyle w:val="TextBody"/>
        <w:bidi w:val="0"/>
        <w:spacing w:lineRule="auto" w:line="288" w:before="120" w:after="120"/>
        <w:jc w:val="both"/>
        <w:rPr/>
      </w:pPr>
      <w:r>
        <w:rPr>
          <w:rFonts w:ascii="Times New Roman;serif" w:hAnsi="Times New Roman;serif"/>
          <w:b/>
          <w:i/>
          <w:color w:val="000000"/>
          <w:sz w:val="20"/>
          <w:shd w:fill="FFFFFF" w:val="clear"/>
        </w:rPr>
        <w:t xml:space="preserve">Recently Issued Accounting Pronouncements </w:t>
      </w:r>
      <w:r>
        <w:rPr>
          <w:color w:val="000000"/>
          <w:shd w:fill="FFFFFF" w:val="clear"/>
        </w:rPr>
        <w:t xml:space="preserve">– </w:t>
      </w:r>
      <w:r>
        <w:rPr>
          <w:rFonts w:ascii="Times New Roman;serif" w:hAnsi="Times New Roman;serif"/>
          <w:b/>
          <w:i/>
          <w:color w:val="000000"/>
          <w:sz w:val="20"/>
          <w:shd w:fill="FFFFFF" w:val="clear"/>
        </w:rPr>
        <w:t>Adopted</w:t>
      </w:r>
    </w:p>
    <w:p>
      <w:pPr>
        <w:pStyle w:val="TextBody"/>
        <w:bidi w:val="0"/>
        <w:spacing w:lineRule="auto" w:line="288" w:before="120" w:after="120"/>
        <w:jc w:val="both"/>
        <w:rPr/>
      </w:pPr>
      <w:r>
        <w:rPr>
          <w:rFonts w:ascii="Times New Roman;serif" w:hAnsi="Times New Roman;serif"/>
          <w:b w:val="false"/>
          <w:color w:val="000000"/>
          <w:sz w:val="20"/>
        </w:rPr>
        <w:t>In July 2025, the FASB issued ASU 2025</w:t>
        <w:noBreakHyphen/>
        <w:t xml:space="preserve">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xml:space="preserve">. The ASU provides a practical expedient that permits entities to assume that current economic conditions as of the balance sheet date will remain unchanged for the remaining life of current accounts receivable and current contract assets arising from transactions accounted for under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when estimating expected credit losses. The Company adopted ASU 2025</w:t>
        <w:noBreakHyphen/>
        <w:t>05 effective January 1, 2026 and elected the practical expedient for its current accounts receivable and current contract assets. The adoption of this guidance did not have a material impact on the Company’s consolidated financial statements or related disclosures.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 – Not Yet Adopted</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Expense Disaggregation Disclosures (Subtopic 220-40). </w:t>
      </w:r>
      <w:r>
        <w:rPr>
          <w:rFonts w:ascii="Times New Roman;serif" w:hAnsi="Times New Roman;serif"/>
          <w:b w:val="false"/>
          <w:color w:val="000000"/>
          <w:sz w:val="20"/>
        </w:rPr>
        <w:t>This update requires entities to provide more detailed disclosures about the components of significant expense categories, enhancing the transparency and decision usefulness of financial statements. The amendments in this update are intended to provide investors with additional information about specific expense categories in the notes to the financial statements at interim and annual reporting periods. The updated standard is effective for annual periods beginning after December 15, 2026, and interim reporting periods thereafter, although early adoption is permitted. While we anticipate that the adoption of this standard will require additional disclosures, the Company is currently assessing the impact of the amendment to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color w:val="000000"/>
          <w:sz w:val="20"/>
        </w:rPr>
        <w:t>Note 2.</w:t>
      </w:r>
      <w:r>
        <w:rPr>
          <w:color w:val="000000"/>
        </w:rPr>
        <w:t xml:space="preserve">     </w:t>
      </w:r>
      <w:r>
        <w:rPr>
          <w:rFonts w:ascii="Times New Roman;serif" w:hAnsi="Times New Roman;serif"/>
          <w:b/>
          <w:color w:val="000000"/>
          <w:sz w:val="20"/>
        </w:rPr>
        <w:t xml:space="preserve">Business Combination </w:t>
      </w:r>
    </w:p>
    <w:p>
      <w:pPr>
        <w:pStyle w:val="TextBody"/>
        <w:bidi w:val="0"/>
        <w:spacing w:lineRule="auto" w:line="288" w:before="120" w:after="120"/>
        <w:jc w:val="both"/>
        <w:rPr/>
      </w:pPr>
      <w:r>
        <w:rPr>
          <w:rFonts w:ascii="Times New Roman;serif" w:hAnsi="Times New Roman;serif"/>
          <w:b w:val="false"/>
          <w:color w:val="000000"/>
          <w:sz w:val="20"/>
        </w:rPr>
        <w:t xml:space="preserve">On January 9, 2026, the Company acquired 100% of the issued and outstanding equity interest of MTL, for a total purchase price of </w:t>
      </w:r>
      <w:r>
        <w:rPr>
          <w:rFonts w:ascii="Times New Roman;serif" w:hAnsi="Times New Roman;serif"/>
          <w:b w:val="false"/>
          <w:color w:val="000000"/>
          <w:sz w:val="20"/>
          <w:shd w:fill="FFFFFF" w:val="clear"/>
        </w:rPr>
        <w:t>$11.1 million</w:t>
      </w:r>
      <w:r>
        <w:rPr>
          <w:color w:val="000000"/>
        </w:rPr>
        <w:t xml:space="preserve"> </w:t>
      </w:r>
      <w:r>
        <w:rPr>
          <w:rFonts w:ascii="Times New Roman;serif" w:hAnsi="Times New Roman;serif"/>
          <w:b w:val="false"/>
          <w:color w:val="000000"/>
          <w:sz w:val="20"/>
        </w:rPr>
        <w:t>subject to customary working capital and other post-closing adjustments (the “Acquisition”). MTL is engaged in the welding, fabrication, painting, and assembly of steel components. The acquisition expands the Company’s manufacturing capabilities and vertical integration, and it is expected to support future growth and operational efficiencies. The transaction was accounted for as a business combination under ASC 805, Business Combinations (“ASC 805”), using the acquisition method of accounting. Accordingly, the Company recognized the assets acquired and liabilities assumed at their estimated fair values as of the acquisition date.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Preliminary Purchase Price Consideration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aggregate purchase price consisted of $10.0 million in cash and a $1.1 million promissory note issued to the seller which bears interest at 8.0% per annum, and matures on January 9, 2031, with annual principal payments beginning in 2027. The note is secured by the acquired shares of MTL. Cash consideration paid at closing was subject to adjustment for estimated closing working capital and other items pursuant to the Stock Purchase Agreement. Any changes resulting from the final determination of these adjustments will be reflected as measurement period adjustments. The preliminary purchase price of MTL consists of the following:</w:t>
      </w:r>
    </w:p>
    <w:tbl>
      <w:tblPr>
        <w:tblW w:w="3846" w:type="dxa"/>
        <w:jc w:val="left"/>
        <w:tblInd w:w="0" w:type="dxa"/>
        <w:tblLayout w:type="fixed"/>
        <w:tblCellMar>
          <w:top w:w="28" w:type="dxa"/>
          <w:left w:w="28" w:type="dxa"/>
          <w:bottom w:w="28" w:type="dxa"/>
          <w:right w:w="28" w:type="dxa"/>
        </w:tblCellMar>
      </w:tblPr>
      <w:tblGrid>
        <w:gridCol w:w="1026"/>
        <w:gridCol w:w="903"/>
        <w:gridCol w:w="906"/>
        <w:gridCol w:w="196"/>
        <w:gridCol w:w="661"/>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Cash paid at closing</w:t>
            </w:r>
          </w:p>
        </w:tc>
        <w:tc>
          <w:tcPr>
            <w:tcW w:w="19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Promissory note to seller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Working capital and other adjustments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Total consideration transferred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pPr>
            <w:r>
              <w:rPr>
                <w:rFonts w:ascii="Times New Roman;serif" w:hAnsi="Times New Roman;serif"/>
                <w:b/>
                <w:color w:val="000000"/>
                <w:sz w:val="18"/>
              </w:rPr>
              <w:t>13,193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Preliminary Purchase Price Allocation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ASC 805, the identifiable assets acquired and liabilities assumed were recorded at their estimated fair values as of January 9, 2026. The components of the preliminary allocation of the purchase price are summarized below:</w:t>
      </w:r>
    </w:p>
    <w:tbl>
      <w:tblPr>
        <w:tblW w:w="4415" w:type="dxa"/>
        <w:jc w:val="left"/>
        <w:tblInd w:w="0" w:type="dxa"/>
        <w:tblLayout w:type="fixed"/>
        <w:tblCellMar>
          <w:top w:w="28" w:type="dxa"/>
          <w:left w:w="28" w:type="dxa"/>
          <w:bottom w:w="28" w:type="dxa"/>
          <w:right w:w="28" w:type="dxa"/>
        </w:tblCellMar>
      </w:tblPr>
      <w:tblGrid>
        <w:gridCol w:w="1237"/>
        <w:gridCol w:w="1089"/>
        <w:gridCol w:w="1093"/>
        <w:gridCol w:w="196"/>
        <w:gridCol w:w="64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Purchase Price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13,193 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plant &amp;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Intangible - Trade name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Accounts payables and other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Notes payable and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(5,921)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Total identifiable net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Goodwill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purchase price over the net assets acquired and primarily represents the future economic benefits expected from expected synergies, assembled workforce, and expansion into new markets, and is not deductible for U.S. federal income tax purposes. Identifiable intangible assets acquired in the transaction include trade names. For indefinite lived intangible assets, the Company applied the income approach through a relief from royalty method to fair value the trade name using Level 3 inputs. The Company amortizes trade names over 10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values of assets acquired and liabilities assumed are based on the information that was available to management at the time of the unaudited financial statements were prepared. The Company may record measurement period adjustments in the period they are identified, with such adjustments reflected as if they had been recognized as of the acquisition date. The measurement period may extend up to 12 months after the acquisition date. The finalization of the Company’s purchase accounting assessment could result in change in the valuation of assets acquired and liabilities assumed.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Consolidated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MTL’s results of operations have been included in the Company’s consolidated financial statements from the acquisition date of January 9, 2026 through the end of the reporting period. Revenue and net income attributable to MTL for the periods presented were not material to the Company’s consolidated results. Pro forma financial information has not been presented because the impact of this acquisition was immaterial to our consolidated financial statements.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Transaction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$0.3 million of acquisition</w:t>
        <w:noBreakHyphen/>
        <w:t>related costs during the six months ended June 30, 2026 and $0.2 million in 2025, primarily consisting of legal, advisory, valuation, and integration expenses. These expenses are included in selling, general and administrative expenses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3.    Revenue </w:t>
      </w:r>
    </w:p>
    <w:p>
      <w:pPr>
        <w:pStyle w:val="TextBody"/>
        <w:bidi w:val="0"/>
        <w:spacing w:lineRule="auto" w:line="288" w:before="120" w:after="120"/>
        <w:jc w:val="both"/>
        <w:rPr/>
      </w:pPr>
      <w:r>
        <w:rPr>
          <w:rFonts w:ascii="Times New Roman;serif" w:hAnsi="Times New Roman;serif"/>
          <w:b/>
          <w:color w:val="000000"/>
          <w:sz w:val="20"/>
          <w:shd w:fill="FFFFFF" w:val="clear"/>
        </w:rPr>
        <w:t>Disaggregation of Revenu</w:t>
      </w:r>
      <w:r>
        <w:rPr>
          <w:rFonts w:ascii="Times New Roman;serif" w:hAnsi="Times New Roman;serif"/>
          <w:b/>
          <w:color w:val="000000"/>
          <w:sz w:val="20"/>
        </w:rPr>
        <w:t>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net sales by end market:</w:t>
      </w:r>
    </w:p>
    <w:tbl>
      <w:tblPr>
        <w:tblW w:w="7799"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247"/>
        <w:gridCol w:w="930"/>
        <w:gridCol w:w="137"/>
        <w:gridCol w:w="137"/>
        <w:gridCol w:w="137"/>
        <w:gridCol w:w="137"/>
        <w:gridCol w:w="247"/>
        <w:gridCol w:w="930"/>
        <w:gridCol w:w="137"/>
        <w:gridCol w:w="109"/>
        <w:gridCol w:w="109"/>
        <w:gridCol w:w="109"/>
        <w:gridCol w:w="230"/>
        <w:gridCol w:w="864"/>
        <w:gridCol w:w="127"/>
        <w:gridCol w:w="127"/>
        <w:gridCol w:w="127"/>
        <w:gridCol w:w="127"/>
        <w:gridCol w:w="230"/>
        <w:gridCol w:w="864"/>
        <w:gridCol w:w="180"/>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122,348 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156,963 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218,839 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263,610 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152,544 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191,907 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281,136 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327,353 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net sales by geographic area:</w:t>
      </w:r>
    </w:p>
    <w:tbl>
      <w:tblPr>
        <w:tblW w:w="9614" w:type="dxa"/>
        <w:jc w:val="left"/>
        <w:tblInd w:w="0" w:type="dxa"/>
        <w:tblLayout w:type="fixed"/>
        <w:tblCellMar>
          <w:top w:w="28" w:type="dxa"/>
          <w:left w:w="28" w:type="dxa"/>
          <w:bottom w:w="28" w:type="dxa"/>
          <w:right w:w="28" w:type="dxa"/>
        </w:tblCellMar>
      </w:tblPr>
      <w:tblGrid>
        <w:gridCol w:w="1101"/>
        <w:gridCol w:w="971"/>
        <w:gridCol w:w="973"/>
        <w:gridCol w:w="109"/>
        <w:gridCol w:w="109"/>
        <w:gridCol w:w="109"/>
        <w:gridCol w:w="247"/>
        <w:gridCol w:w="930"/>
        <w:gridCol w:w="137"/>
        <w:gridCol w:w="137"/>
        <w:gridCol w:w="137"/>
        <w:gridCol w:w="137"/>
        <w:gridCol w:w="247"/>
        <w:gridCol w:w="930"/>
        <w:gridCol w:w="137"/>
        <w:gridCol w:w="109"/>
        <w:gridCol w:w="109"/>
        <w:gridCol w:w="109"/>
        <w:gridCol w:w="230"/>
        <w:gridCol w:w="864"/>
        <w:gridCol w:w="127"/>
        <w:gridCol w:w="127"/>
        <w:gridCol w:w="127"/>
        <w:gridCol w:w="127"/>
        <w:gridCol w:w="230"/>
        <w:gridCol w:w="864"/>
        <w:gridCol w:w="180"/>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178,944 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259,662 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152,544 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281,136 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327,353 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Sheets. Contract assets include amounts related to the contractual right to consideration for completed performance when the right to consideration is conditional. The Company records contract liabilities when cash payments are received or due in advance of performance. The fair value of noncash consideration of parts provided by customers is recorded in contract liabilities. Contract assets and contract liabilities are recognized at the contract level.</w:t>
      </w:r>
    </w:p>
    <w:tbl>
      <w:tblPr>
        <w:tblW w:w="10205" w:type="dxa"/>
        <w:jc w:val="left"/>
        <w:tblInd w:w="0" w:type="dxa"/>
        <w:tblLayout w:type="fixed"/>
        <w:tblCellMar>
          <w:top w:w="28" w:type="dxa"/>
          <w:left w:w="28" w:type="dxa"/>
          <w:bottom w:w="28" w:type="dxa"/>
          <w:right w:w="28" w:type="dxa"/>
        </w:tblCellMar>
      </w:tblPr>
      <w:tblGrid>
        <w:gridCol w:w="1550"/>
        <w:gridCol w:w="1344"/>
        <w:gridCol w:w="1347"/>
        <w:gridCol w:w="109"/>
        <w:gridCol w:w="109"/>
        <w:gridCol w:w="109"/>
        <w:gridCol w:w="297"/>
        <w:gridCol w:w="983"/>
        <w:gridCol w:w="166"/>
        <w:gridCol w:w="109"/>
        <w:gridCol w:w="109"/>
        <w:gridCol w:w="109"/>
        <w:gridCol w:w="359"/>
        <w:gridCol w:w="1185"/>
        <w:gridCol w:w="199"/>
        <w:gridCol w:w="109"/>
        <w:gridCol w:w="109"/>
        <w:gridCol w:w="109"/>
        <w:gridCol w:w="351"/>
        <w:gridCol w:w="1160"/>
        <w:gridCol w:w="283"/>
      </w:tblGrid>
      <w:tr>
        <w:trPr/>
        <w:tc>
          <w:tcPr>
            <w:tcW w:w="155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assets (included in </w:t>
            </w:r>
            <w:r>
              <w:rPr>
                <w:rFonts w:ascii="Times New Roman;serif" w:hAnsi="Times New Roman;serif"/>
                <w:b w:val="false"/>
                <w:i/>
                <w:color w:val="000000"/>
                <w:sz w:val="18"/>
              </w:rPr>
              <w:t>Contract assets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4"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liabilities (included in </w:t>
            </w:r>
            <w:r>
              <w:rPr>
                <w:rFonts w:ascii="Times New Roman;serif" w:hAnsi="Times New Roman;serif"/>
                <w:b w:val="false"/>
                <w:i/>
                <w:color w:val="000000"/>
                <w:sz w:val="18"/>
              </w:rPr>
              <w:t>Other accrued liabilities</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Long-term contract liabilities (included in </w:t>
            </w:r>
            <w:r>
              <w:rPr>
                <w:rFonts w:ascii="Times New Roman;serif" w:hAnsi="Times New Roman;serif"/>
                <w:b w:val="false"/>
                <w:i/>
                <w:color w:val="000000"/>
                <w:sz w:val="18"/>
              </w:rPr>
              <w:t>Noncurrent contract liabilities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contract assets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9,401 </w:t>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20"/>
          <w:shd w:fill="FFFFFF" w:val="clear"/>
        </w:rPr>
        <w:t>During the six months ended June 30, 2026 and 2025, the Company recognized $1.6 million and $8.9 million, respectively, of revenue upon satisfaction of performance obligations related to amounts that were included in the net contract liabilities balan</w:t>
      </w:r>
      <w:r>
        <w:rPr>
          <w:rFonts w:ascii="Times New Roman;serif" w:hAnsi="Times New Roman;serif"/>
          <w:b w:val="false"/>
          <w:color w:val="000000"/>
          <w:sz w:val="20"/>
        </w:rPr>
        <w:t xml:space="preserve">ce as of December 31, 2025 and 2024, respectively.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June 30, 2026 and 2025, the Company recognized $0.3 million and $2.1 million, respectively, of revenue upon satisfaction of performance obligations related to amounts that were included in the net contract liabilities balan</w:t>
      </w:r>
      <w:r>
        <w:rPr>
          <w:rFonts w:ascii="Times New Roman;serif" w:hAnsi="Times New Roman;serif"/>
          <w:b w:val="false"/>
          <w:color w:val="000000"/>
          <w:sz w:val="20"/>
        </w:rPr>
        <w:t xml:space="preserve">ce as of March 31, 2026 and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120"/>
        <w:jc w:val="both"/>
        <w:rPr/>
      </w:pPr>
      <w:r>
        <w:rPr>
          <w:rFonts w:ascii="Times New Roman;serif" w:hAnsi="Times New Roman;serif"/>
          <w:b w:val="false"/>
          <w:color w:val="000000"/>
          <w:sz w:val="20"/>
        </w:rPr>
        <w:t xml:space="preserve">The Company has elected the practical expedient to not disclose remaining performance obligations that have expected original durations of one year or less. For performance obligations that extend beyond one year, the Company had </w:t>
      </w:r>
      <w:r>
        <w:rPr>
          <w:rFonts w:ascii="Times New Roman;serif" w:hAnsi="Times New Roman;serif"/>
          <w:b w:val="false"/>
          <w:color w:val="000000"/>
          <w:sz w:val="20"/>
          <w:shd w:fill="FFFFFF" w:val="clear"/>
        </w:rPr>
        <w:t>$2.1 million</w:t>
      </w:r>
      <w:r>
        <w:rPr>
          <w:color w:val="000000"/>
        </w:rPr>
        <w:t xml:space="preserve"> </w:t>
      </w:r>
      <w:r>
        <w:rPr>
          <w:rFonts w:ascii="Times New Roman;serif" w:hAnsi="Times New Roman;serif"/>
          <w:b w:val="false"/>
          <w:color w:val="000000"/>
          <w:sz w:val="20"/>
        </w:rPr>
        <w:t>of remaining performance obligations as of June 30, 2026, primarily related to extended warranties. The Company expects to recognize revenue related to these remaining performance obligations of approximately $0.3 million in the remainder of 2026, $1.6 million in 2027, and $0.2 million in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ind w:left="0" w:right="0" w:hanging="1080"/>
        <w:jc w:val="both"/>
        <w:rPr/>
      </w:pPr>
      <w:r>
        <w:rPr>
          <w:rFonts w:ascii="Times New Roman;serif" w:hAnsi="Times New Roman;serif"/>
          <w:b/>
          <w:color w:val="000000"/>
          <w:sz w:val="20"/>
        </w:rPr>
        <w:t>Note 4.    </w:t>
      </w:r>
      <w:r>
        <w:rPr>
          <w:rFonts w:ascii="Times New Roman;serif" w:hAnsi="Times New Roman;serif"/>
          <w:b/>
          <w:color w:val="000000"/>
          <w:sz w:val="20"/>
          <w:shd w:fill="FFFFFF" w:val="clear"/>
        </w:rPr>
        <w:t>Weichai Transactions</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Weichai Collaboration Arrangement and Related Party Transactions</w:t>
      </w:r>
    </w:p>
    <w:p>
      <w:pPr>
        <w:pStyle w:val="TextBody"/>
        <w:bidi w:val="0"/>
        <w:spacing w:lineRule="auto" w:line="288" w:before="120" w:after="120"/>
        <w:jc w:val="both"/>
        <w:rPr/>
      </w:pPr>
      <w:r>
        <w:rPr>
          <w:rFonts w:ascii="Times New Roman;serif" w:hAnsi="Times New Roman;serif"/>
          <w:b w:val="false"/>
          <w:color w:val="000000"/>
          <w:sz w:val="20"/>
        </w:rPr>
        <w:t>The Company and Weichai executed a strategic collaboration agreement (the “Collaboration Agreement”) on March 20, 2017, in order to achieve their respective strategic objectives and enhance the strategic cooperation alliance to share experience, expertise and resources</w:t>
      </w:r>
      <w:r>
        <w:rPr>
          <w:rFonts w:ascii="Times New Roman;serif" w:hAnsi="Times New Roman;serif"/>
          <w:b w:val="false"/>
          <w:color w:val="000000"/>
          <w:sz w:val="20"/>
          <w:shd w:fill="FFFFFF" w:val="clear"/>
        </w:rPr>
        <w:t>. On March 22, 2023, the Collaboration Agreement was extended for an additional term of three years, through March 20, 2026. The Collaboration Agreement expired in accordance with its terms on March 20, 2026. The Company has received a renewal notice from Weichai and is in the process of negotiating the renewal of the Collaboration Agreement; however, no formal extension has been executed as of the date of this filing.</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evaluates whether an arrangement is a collaborative arrangement at its inception ba</w:t>
      </w:r>
      <w:r>
        <w:rPr>
          <w:rFonts w:ascii="Times New Roman;serif" w:hAnsi="Times New Roman;serif"/>
          <w:b w:val="false"/>
          <w:color w:val="000000"/>
          <w:sz w:val="20"/>
        </w:rPr>
        <w:t xml:space="preserve">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statements. Purchases of inventory from Weichai were </w:t>
      </w:r>
      <w:r>
        <w:rPr>
          <w:rFonts w:ascii="Times New Roman;serif" w:hAnsi="Times New Roman;serif"/>
          <w:b w:val="false"/>
          <w:color w:val="000000"/>
          <w:sz w:val="20"/>
          <w:shd w:fill="FFFFFF" w:val="clear"/>
        </w:rPr>
        <w:t>$9.2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$13.1 million for the three and six months ended </w:t>
      </w:r>
      <w:r>
        <w:rPr>
          <w:rFonts w:ascii="Times New Roman;serif" w:hAnsi="Times New Roman;serif"/>
          <w:b w:val="false"/>
          <w:color w:val="000000"/>
          <w:sz w:val="20"/>
        </w:rPr>
        <w:t xml:space="preserve">June 30, 2026, respectively. Purchases of inventory from Weichai were </w:t>
      </w:r>
      <w:r>
        <w:rPr>
          <w:rFonts w:ascii="Times New Roman;serif" w:hAnsi="Times New Roman;serif"/>
          <w:b w:val="false"/>
          <w:color w:val="000000"/>
          <w:sz w:val="20"/>
          <w:shd w:fill="FFFFFF" w:val="clear"/>
        </w:rPr>
        <w:t>$21.0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$32.5 million for the three and six months ended </w:t>
      </w:r>
      <w:r>
        <w:rPr>
          <w:rFonts w:ascii="Times New Roman;serif" w:hAnsi="Times New Roman;serif"/>
          <w:b w:val="false"/>
          <w:color w:val="000000"/>
          <w:sz w:val="20"/>
        </w:rPr>
        <w:t>June 30, 2025, respectively.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January 2022, PSI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Societe</w:t>
      </w:r>
      <w:r>
        <w:rPr>
          <w:color w:val="000000"/>
        </w:rPr>
        <w:t xml:space="preserve"> </w:t>
      </w:r>
      <w:r>
        <w:rPr>
          <w:rFonts w:ascii="Times New Roman;serif" w:hAnsi="Times New Roman;serif"/>
          <w:b w:val="false"/>
          <w:color w:val="000000"/>
          <w:sz w:val="20"/>
        </w:rPr>
        <w:t xml:space="preserve">Internationale des Moteurs Baudouin (“Baudouin”), a subsidiary of Weichai, </w:t>
      </w:r>
      <w:r>
        <w:rPr>
          <w:rFonts w:ascii="Times New Roman;serif" w:hAnsi="Times New Roman;serif"/>
          <w:b w:val="false"/>
          <w:color w:val="000000"/>
          <w:sz w:val="20"/>
          <w:shd w:fill="FFFFFF" w:val="clear"/>
        </w:rPr>
        <w:t>entered</w:t>
      </w:r>
      <w:r>
        <w:rPr>
          <w:color w:val="000000"/>
        </w:rPr>
        <w:t xml:space="preserve"> </w:t>
      </w:r>
      <w:r>
        <w:rPr>
          <w:rFonts w:ascii="Times New Roman;serif" w:hAnsi="Times New Roman;serif"/>
          <w:b w:val="false"/>
          <w:color w:val="000000"/>
          <w:sz w:val="20"/>
        </w:rPr>
        <w:t>into an international distribution and sales agreement which enables Baudouin to bring PSI’s power systems line of products into the European, Middle Eastern, and African markets. In addition to sales, Baudouin will manage service, support, warranty claims, and technical requests. Refer to the Consolidated Balance Sheets and Statements of Income for detailed related party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and KION North America Corporation ("KNA"), a subsidiary of Weichai, entered into an agreement to settle development costs incurred by the Company related to a 2.4L dual-fuel engine intended for use by KNA in the production of materials handling equipment. </w:t>
      </w:r>
    </w:p>
    <w:p>
      <w:pPr>
        <w:pStyle w:val="TextBody"/>
        <w:bidi w:val="0"/>
        <w:spacing w:lineRule="auto" w:line="288" w:before="120" w:after="120"/>
        <w:jc w:val="both"/>
        <w:rPr/>
      </w:pPr>
      <w:r>
        <w:rPr>
          <w:rFonts w:ascii="Times New Roman;serif" w:hAnsi="Times New Roman;serif"/>
          <w:b w:val="false"/>
          <w:color w:val="000000"/>
          <w:sz w:val="20"/>
        </w:rPr>
        <w:t>See Note 16.</w:t>
      </w:r>
      <w:r>
        <w:rPr>
          <w:color w:val="000000"/>
        </w:rPr>
        <w:t xml:space="preserve"> </w:t>
      </w:r>
      <w:r>
        <w:rPr>
          <w:rFonts w:ascii="Times New Roman;serif" w:hAnsi="Times New Roman;serif"/>
          <w:b w:val="false"/>
          <w:i/>
          <w:color w:val="000000"/>
          <w:sz w:val="20"/>
        </w:rPr>
        <w:t xml:space="preserve">Related Party Transactions </w:t>
      </w:r>
      <w:r>
        <w:rPr>
          <w:rFonts w:ascii="Times New Roman;serif" w:hAnsi="Times New Roman;serif"/>
          <w:b w:val="false"/>
          <w:color w:val="000000"/>
          <w:sz w:val="20"/>
        </w:rPr>
        <w:t>for information regarding the purchase agreement with Shandong Weichai Import &amp; Export Corporation (“SWIEC”), an affiliate of Weichai, KNA, and manufacture of record (“MOR”) agreement with Weichai.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5.    Property, Plant and Equipment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by type were as follows:</w:t>
      </w:r>
    </w:p>
    <w:tbl>
      <w:tblPr>
        <w:tblW w:w="7836" w:type="dxa"/>
        <w:jc w:val="left"/>
        <w:tblInd w:w="0" w:type="dxa"/>
        <w:tblLayout w:type="fixed"/>
        <w:tblCellMar>
          <w:top w:w="28" w:type="dxa"/>
          <w:left w:w="28" w:type="dxa"/>
          <w:bottom w:w="28" w:type="dxa"/>
          <w:right w:w="28" w:type="dxa"/>
        </w:tblCellMar>
      </w:tblPr>
      <w:tblGrid>
        <w:gridCol w:w="1280"/>
        <w:gridCol w:w="1128"/>
        <w:gridCol w:w="1131"/>
        <w:gridCol w:w="109"/>
        <w:gridCol w:w="109"/>
        <w:gridCol w:w="109"/>
        <w:gridCol w:w="330"/>
        <w:gridCol w:w="1090"/>
        <w:gridCol w:w="184"/>
        <w:gridCol w:w="109"/>
        <w:gridCol w:w="109"/>
        <w:gridCol w:w="109"/>
        <w:gridCol w:w="401"/>
        <w:gridCol w:w="1323"/>
        <w:gridCol w:w="315"/>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11,268 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61,348 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property, plant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81,404 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67,725 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(49,496)</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31,908 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400" w:after="120"/>
        <w:jc w:val="both"/>
        <w:rPr>
          <w:rFonts w:ascii="Times New Roman;serif" w:hAnsi="Times New Roman;serif"/>
          <w:b/>
          <w:color w:val="000000"/>
          <w:sz w:val="20"/>
        </w:rPr>
      </w:pPr>
      <w:r>
        <w:rPr>
          <w:rFonts w:ascii="Times New Roman;serif" w:hAnsi="Times New Roman;serif"/>
          <w:b/>
          <w:color w:val="000000"/>
          <w:sz w:val="20"/>
        </w:rPr>
        <w:t>Note 6.    Goodwill and Other Intangibles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 of goodwill at June 30, 2026 and December 31, 2025 was as follows: </w:t>
      </w:r>
    </w:p>
    <w:tbl>
      <w:tblPr>
        <w:tblW w:w="3395" w:type="dxa"/>
        <w:jc w:val="left"/>
        <w:tblInd w:w="0" w:type="dxa"/>
        <w:tblLayout w:type="fixed"/>
        <w:tblCellMar>
          <w:top w:w="28" w:type="dxa"/>
          <w:left w:w="28" w:type="dxa"/>
          <w:bottom w:w="28" w:type="dxa"/>
          <w:right w:w="28" w:type="dxa"/>
        </w:tblCellMar>
      </w:tblPr>
      <w:tblGrid>
        <w:gridCol w:w="869"/>
        <w:gridCol w:w="764"/>
        <w:gridCol w:w="766"/>
        <w:gridCol w:w="196"/>
        <w:gridCol w:w="64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acquired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Accumulated impairment losses at both June 30, 2026 and December 31, 2025 were $11.6 million.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Components of intangible assets are as follows:</w:t>
      </w:r>
    </w:p>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(34,226)</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(36,633)</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(36,104)</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7.    Debt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outstanding debt consisted of the following:</w:t>
      </w:r>
    </w:p>
    <w:tbl>
      <w:tblPr>
        <w:tblW w:w="10205" w:type="dxa"/>
        <w:jc w:val="left"/>
        <w:tblInd w:w="0" w:type="dxa"/>
        <w:tblLayout w:type="fixed"/>
        <w:tblCellMar>
          <w:top w:w="28" w:type="dxa"/>
          <w:left w:w="28" w:type="dxa"/>
          <w:bottom w:w="28" w:type="dxa"/>
          <w:right w:w="28" w:type="dxa"/>
        </w:tblCellMar>
      </w:tblPr>
      <w:tblGrid>
        <w:gridCol w:w="1538"/>
        <w:gridCol w:w="1349"/>
        <w:gridCol w:w="1355"/>
        <w:gridCol w:w="109"/>
        <w:gridCol w:w="109"/>
        <w:gridCol w:w="109"/>
        <w:gridCol w:w="243"/>
        <w:gridCol w:w="803"/>
        <w:gridCol w:w="134"/>
        <w:gridCol w:w="215"/>
        <w:gridCol w:w="215"/>
        <w:gridCol w:w="217"/>
        <w:gridCol w:w="109"/>
        <w:gridCol w:w="109"/>
        <w:gridCol w:w="109"/>
        <w:gridCol w:w="300"/>
        <w:gridCol w:w="990"/>
        <w:gridCol w:w="167"/>
        <w:gridCol w:w="217"/>
        <w:gridCol w:w="217"/>
        <w:gridCol w:w="215"/>
        <w:gridCol w:w="399"/>
        <w:gridCol w:w="399"/>
        <w:gridCol w:w="578"/>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shd w:fill="CCEEFF" w:val="clear"/>
              </w:rPr>
            </w:pPr>
            <w:r>
              <w:rPr>
                <w:rFonts w:ascii="Times New Roman;serif" w:hAnsi="Times New Roman;serif"/>
                <w:b/>
                <w:color w:val="000000"/>
                <w:sz w:val="18"/>
                <w:shd w:fill="CCEEFF" w:val="clear"/>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shd w:fill="FFFFFF" w:val="clear"/>
              </w:rPr>
              <w:t xml:space="preserve">Revolving Credit Agreement </w:t>
            </w:r>
            <w:r>
              <w:rPr>
                <w:rFonts w:ascii="Times New Roman;serif" w:hAnsi="Times New Roman;serif"/>
                <w:b w:val="false"/>
                <w:color w:val="000000"/>
                <w:sz w:val="12"/>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65,000 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95,000 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6.35%</w:t>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July 30, 2027</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1,125 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shd w:fill="CCEEFF" w:val="clear"/>
              </w:rPr>
            </w:pPr>
            <w:r>
              <w:rPr>
                <w:color w:val="000000"/>
                <w:shd w:fill="CCEEFF" w:val="clear"/>
              </w:rPr>
              <w:t>—</w:t>
            </w:r>
            <w:r>
              <w:rPr>
                <w:rFonts w:ascii="Times New Roman;serif" w:hAnsi="Times New Roman;serif"/>
                <w:b w:val="false"/>
                <w:color w:val="000000"/>
                <w:sz w:val="18"/>
                <w:shd w:fill="CCEEFF" w:val="clear"/>
              </w:rPr>
              <w:t>%</w:t>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January 9, 2031</w:t>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First Master Loan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3,057 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r>
              <w:rPr>
                <w:rFonts w:ascii="Times New Roman;serif" w:hAnsi="Times New Roman;serif"/>
                <w:b w:val="false"/>
                <w:color w:val="000000"/>
                <w:sz w:val="18"/>
                <w:shd w:fill="FFFFFF" w:val="clear"/>
              </w:rPr>
              <w:t>%</w:t>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August 14, 2031</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Second Master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1,831 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shd w:fill="CCEEFF" w:val="clear"/>
              </w:rPr>
            </w:pPr>
            <w:r>
              <w:rPr>
                <w:color w:val="000000"/>
                <w:shd w:fill="CCEEFF" w:val="clear"/>
              </w:rPr>
              <w:t>—</w:t>
            </w:r>
            <w:r>
              <w:rPr>
                <w:rFonts w:ascii="Times New Roman;serif" w:hAnsi="Times New Roman;serif"/>
                <w:b w:val="false"/>
                <w:color w:val="000000"/>
                <w:sz w:val="18"/>
                <w:shd w:fill="CCEEFF" w:val="clear"/>
              </w:rPr>
              <w:t>%</w:t>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October 23, 2031</w:t>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SBA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r>
              <w:rPr>
                <w:rFonts w:ascii="Times New Roman;serif" w:hAnsi="Times New Roman;serif"/>
                <w:b w:val="false"/>
                <w:color w:val="000000"/>
                <w:sz w:val="18"/>
                <w:shd w:fill="FFFFFF" w:val="clear"/>
              </w:rPr>
              <w:t>%</w:t>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July 27, 2032</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Finance leases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1,636 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1,617 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w:t>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Various</w:t>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Total long-term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72,649 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96,617 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Less: Current maturities of long-term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1,582 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383 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71,067 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96,234 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 xml:space="preserve">Unamortized financing costs and deferred fees on the amended Revolving Credit Agreement are not presented in the above table as they are classified in </w:t>
            </w:r>
            <w:r>
              <w:rPr>
                <w:rFonts w:ascii="Times New Roman;serif" w:hAnsi="Times New Roman;serif"/>
                <w:b w:val="false"/>
                <w:i/>
                <w:color w:val="000000"/>
                <w:sz w:val="16"/>
              </w:rPr>
              <w:t>Prepaid expenses</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other current assets</w:t>
            </w:r>
            <w:r>
              <w:rPr>
                <w:color w:val="000000"/>
              </w:rPr>
              <w:t xml:space="preserve"> </w:t>
            </w:r>
            <w:r>
              <w:rPr>
                <w:rFonts w:ascii="Times New Roman;serif" w:hAnsi="Times New Roman;serif"/>
                <w:b w:val="false"/>
                <w:color w:val="000000"/>
                <w:sz w:val="16"/>
              </w:rPr>
              <w:t xml:space="preserve">on the Consolidated Balance Sheets. Unamortized debt issuance costs, were </w:t>
            </w:r>
            <w:r>
              <w:rPr>
                <w:rFonts w:ascii="Times New Roman;serif" w:hAnsi="Times New Roman;serif"/>
                <w:b w:val="false"/>
                <w:color w:val="000000"/>
                <w:sz w:val="16"/>
                <w:shd w:fill="FFFFFF" w:val="clear"/>
              </w:rPr>
              <w:t>$0.7 million</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color w:val="000000"/>
                <w:sz w:val="16"/>
                <w:shd w:fill="FFFFFF" w:val="clear"/>
              </w:rPr>
              <w:t>$1.0 million</w:t>
            </w:r>
            <w:r>
              <w:rPr>
                <w:color w:val="000000"/>
              </w:rPr>
              <w:t xml:space="preserve"> </w:t>
            </w:r>
            <w:r>
              <w:rPr>
                <w:rFonts w:ascii="Times New Roman;serif" w:hAnsi="Times New Roman;serif"/>
                <w:b w:val="false"/>
                <w:color w:val="000000"/>
                <w:sz w:val="16"/>
              </w:rPr>
              <w:t>as of June 30, 2026 and December 31, 2025, respectively.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0"/>
              </w:rPr>
            </w:pPr>
            <w:r>
              <w:rPr>
                <w:rFonts w:ascii="Times New Roman;serif" w:hAnsi="Times New Roman;serif"/>
                <w:b w:val="false"/>
                <w:color w:val="000000"/>
                <w:sz w:val="1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Includes the weighted average interest rate.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Finance lease obligations are a non-cash financing activity. See </w:t>
            </w:r>
            <w:r>
              <w:rPr>
                <w:rFonts w:ascii="Times New Roman;serif" w:hAnsi="Times New Roman;serif"/>
                <w:b w:val="false"/>
                <w:color w:val="000000"/>
                <w:sz w:val="16"/>
                <w:shd w:fill="FFFFFF" w:val="clear"/>
              </w:rPr>
              <w:t>Note 9.</w:t>
            </w:r>
            <w:r>
              <w:rPr>
                <w:color w:val="000000"/>
              </w:rPr>
              <w:t xml:space="preserve"> </w:t>
            </w:r>
            <w:r>
              <w:rPr>
                <w:rFonts w:ascii="Times New Roman;serif" w:hAnsi="Times New Roman;serif"/>
                <w:b w:val="false"/>
                <w:color w:val="000000"/>
                <w:sz w:val="16"/>
              </w:rPr>
              <w:t xml:space="preserve">Leases. </w:t>
            </w:r>
          </w:p>
        </w:tc>
      </w:tr>
    </w:tbl>
    <w:p>
      <w:pPr>
        <w:pStyle w:val="TextBody"/>
        <w:bidi w:val="0"/>
        <w:spacing w:lineRule="auto" w:line="288" w:before="180" w:after="120"/>
        <w:ind w:left="0" w:right="0" w:hanging="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Revolving Credit Agreement and Shareholder’s Loan Agreement</w:t>
      </w:r>
    </w:p>
    <w:p>
      <w:pPr>
        <w:pStyle w:val="TextBody"/>
        <w:bidi w:val="0"/>
        <w:spacing w:lineRule="auto" w:line="288" w:before="120" w:after="120"/>
        <w:jc w:val="both"/>
        <w:rPr/>
      </w:pPr>
      <w:r>
        <w:rPr>
          <w:rFonts w:ascii="Times New Roman;serif" w:hAnsi="Times New Roman;serif"/>
          <w:b w:val="false"/>
          <w:color w:val="000000"/>
          <w:sz w:val="20"/>
          <w:shd w:fill="FFFFFF" w:val="clear"/>
        </w:rPr>
        <w:t>On August 30, 2024, the Company closed on the Revolving Credit Agreement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with Standard Chartered Bank (“Standard Chartered”) and two other lenders. The </w:t>
      </w:r>
      <w:r>
        <w:rPr>
          <w:rFonts w:ascii="Times New Roman;serif" w:hAnsi="Times New Roman;serif"/>
          <w:b w:val="false"/>
          <w:color w:val="000000"/>
          <w:sz w:val="20"/>
        </w:rPr>
        <w:t xml:space="preserve">Revolving Credit Agreement </w:t>
      </w:r>
      <w:r>
        <w:rPr>
          <w:rFonts w:ascii="Times New Roman;serif" w:hAnsi="Times New Roman;serif"/>
          <w:b w:val="false"/>
          <w:color w:val="000000"/>
          <w:sz w:val="20"/>
          <w:shd w:fill="FFFFFF" w:val="clear"/>
        </w:rPr>
        <w:t xml:space="preserve">allowed the Company to borrow up to </w:t>
      </w:r>
      <w:r>
        <w:rPr>
          <w:rFonts w:ascii="Times New Roman;serif" w:hAnsi="Times New Roman;serif"/>
          <w:b w:val="false"/>
          <w:color w:val="000000"/>
          <w:sz w:val="20"/>
        </w:rPr>
        <w:t>$120.0 million</w:t>
      </w:r>
      <w:r>
        <w:rPr>
          <w:color w:val="000000"/>
          <w:shd w:fill="FFFFFF" w:val="clear"/>
        </w:rPr>
        <w:t xml:space="preserve"> </w:t>
      </w:r>
      <w:r>
        <w:rPr>
          <w:rFonts w:ascii="Times New Roman;serif" w:hAnsi="Times New Roman;serif"/>
          <w:b w:val="false"/>
          <w:color w:val="000000"/>
          <w:sz w:val="20"/>
          <w:shd w:fill="FFFFFF" w:val="clear"/>
        </w:rPr>
        <w:t xml:space="preserve">and had a maturity date of </w:t>
      </w:r>
      <w:r>
        <w:rPr>
          <w:rFonts w:ascii="Times New Roman;serif" w:hAnsi="Times New Roman;serif"/>
          <w:b w:val="false"/>
          <w:color w:val="000000"/>
          <w:sz w:val="20"/>
        </w:rPr>
        <w:t>August 30,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was subject to customary events of default and covenants, including minimum consolidated EBITDA and Consolidated Interest Coverage Ratio covenants for the third and fourth quarters of 2024 and the first and second quarters of 2025. Borrowings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incurred interest at the applicable </w:t>
      </w:r>
      <w:r>
        <w:rPr>
          <w:rFonts w:ascii="Times New Roman;serif" w:hAnsi="Times New Roman;serif"/>
          <w:b w:val="false"/>
          <w:color w:val="000000"/>
          <w:sz w:val="20"/>
        </w:rPr>
        <w:t>Secured Overnight Financing Rate (“SOFR”)</w:t>
      </w:r>
      <w:r>
        <w:rPr>
          <w:color w:val="000000"/>
          <w:shd w:fill="FFFFFF" w:val="clear"/>
        </w:rPr>
        <w:t xml:space="preserve"> </w:t>
      </w:r>
      <w:r>
        <w:rPr>
          <w:rFonts w:ascii="Times New Roman;serif" w:hAnsi="Times New Roman;serif"/>
          <w:b w:val="false"/>
          <w:color w:val="000000"/>
          <w:sz w:val="20"/>
          <w:shd w:fill="FFFFFF" w:val="clear"/>
        </w:rPr>
        <w:t xml:space="preserve">plus </w:t>
      </w:r>
      <w:r>
        <w:rPr>
          <w:rFonts w:ascii="Times New Roman;serif" w:hAnsi="Times New Roman;serif"/>
          <w:b w:val="false"/>
          <w:color w:val="000000"/>
          <w:sz w:val="20"/>
        </w:rPr>
        <w:t>2.00%</w:t>
      </w:r>
      <w:r>
        <w:rPr>
          <w:color w:val="000000"/>
          <w:shd w:fill="FFFFFF" w:val="clear"/>
        </w:rPr>
        <w:t xml:space="preserve"> </w:t>
      </w:r>
      <w:r>
        <w:rPr>
          <w:rFonts w:ascii="Times New Roman;serif" w:hAnsi="Times New Roman;serif"/>
          <w:b w:val="false"/>
          <w:color w:val="000000"/>
          <w:sz w:val="20"/>
          <w:shd w:fill="FFFFFF" w:val="clear"/>
        </w:rPr>
        <w:t xml:space="preserve">per annum.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were unconditionally guaranteed, on a joint and several basis, by certain wholly-owned, existing and subsequently acquired or formed direct and indirect subsidiaries of the Company, subject to customary exceptions.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were secured by substantially all assets of the Company and the Company’s wholly-owned subsidiaries. In addition, the Company paid fees of $0.6 million related to the Revolving Credit Agreement which were deferred and amortized over the term of the Revolving Credit Agreement. As part of the closing of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the Company made an initial draw in the amount of </w:t>
      </w:r>
      <w:r>
        <w:rPr>
          <w:rFonts w:ascii="Times New Roman;serif" w:hAnsi="Times New Roman;serif"/>
          <w:b w:val="false"/>
          <w:color w:val="000000"/>
          <w:sz w:val="20"/>
        </w:rPr>
        <w:t>$100.0 million</w:t>
      </w:r>
      <w:r>
        <w:rPr>
          <w:rFonts w:ascii="Times New Roman;serif" w:hAnsi="Times New Roman;serif"/>
          <w:b w:val="false"/>
          <w:color w:val="000000"/>
          <w:sz w:val="20"/>
          <w:shd w:fill="FFFFFF" w:val="clear"/>
        </w:rPr>
        <w:t xml:space="preserve">. The Company utilized the amount drawn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 to repay the outstanding balance of approximately $40.0 million under the Company’s Fourth Amended and Restated Uncommitted Revolving Credit Agreement, dated March 22, 2024, by and among the Company and Standard Chartered; and (ii) to prepay approximately $60.0 million under previous shareholder loan agreements between PSI and Weichai.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connection with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on August 30, 2024, the Company also entered into a new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with Weichai, which allowed the Company to borrow up to </w:t>
      </w:r>
      <w:r>
        <w:rPr>
          <w:rFonts w:ascii="Times New Roman;serif" w:hAnsi="Times New Roman;serif"/>
          <w:b w:val="false"/>
          <w:color w:val="000000"/>
          <w:sz w:val="20"/>
        </w:rPr>
        <w:t>$105.0 million</w:t>
      </w:r>
      <w:r>
        <w:rPr>
          <w:color w:val="000000"/>
          <w:shd w:fill="FFFFFF" w:val="clear"/>
        </w:rPr>
        <w:t xml:space="preserve"> </w:t>
      </w:r>
      <w:r>
        <w:rPr>
          <w:rFonts w:ascii="Times New Roman;serif" w:hAnsi="Times New Roman;serif"/>
          <w:b w:val="false"/>
          <w:color w:val="000000"/>
          <w:sz w:val="20"/>
          <w:shd w:fill="FFFFFF" w:val="clear"/>
        </w:rPr>
        <w:t xml:space="preserve">and expired August 31, 2025. Borrowings under the </w:t>
      </w:r>
      <w:r>
        <w:rPr>
          <w:rFonts w:ascii="Times New Roman;serif" w:hAnsi="Times New Roman;serif"/>
          <w:b w:val="false"/>
          <w:color w:val="000000"/>
          <w:sz w:val="20"/>
        </w:rPr>
        <w:t xml:space="preserve">SLA </w:t>
      </w:r>
      <w:r>
        <w:rPr>
          <w:rFonts w:ascii="Times New Roman;serif" w:hAnsi="Times New Roman;serif"/>
          <w:b w:val="false"/>
          <w:color w:val="000000"/>
          <w:sz w:val="20"/>
          <w:shd w:fill="FFFFFF" w:val="clear"/>
        </w:rPr>
        <w:t xml:space="preserve">incurred interest at the applicable SOFR, plus </w:t>
      </w:r>
      <w:r>
        <w:rPr>
          <w:rFonts w:ascii="Times New Roman;serif" w:hAnsi="Times New Roman;serif"/>
          <w:b w:val="false"/>
          <w:color w:val="000000"/>
          <w:sz w:val="20"/>
        </w:rPr>
        <w:t>4.05% per annum. If the interest rate for any loan was lower than Weichai’s borrowing cost, the interest rate for such loan would be equal to Weichai’s borrowing cost plus 1.0%</w:t>
      </w:r>
      <w:r>
        <w:rPr>
          <w:rFonts w:ascii="Times New Roman;serif" w:hAnsi="Times New Roman;serif"/>
          <w:b w:val="false"/>
          <w:color w:val="000000"/>
          <w:sz w:val="20"/>
          <w:shd w:fill="FFFFFF" w:val="clear"/>
        </w:rPr>
        <w:t xml:space="preserve">. The borrowing requests made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were subject to Weichai’s discretionary approval. The payment of the borrowings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was subordinated in all respects to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with the exception that the Company was allowed to make a single payment of $10.0 million to Weichai. The $60.0 million portion of the initial advance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was applied to pay all principal, interest, and other amounts outstanding under the Shareholder’s Loan Agreements that the Company was previously party to with Weichai except for $25.0 million. In January 2025, the Company amended the Revolving Credit Agreement. After the amendment date, the Company was able to repay the outstanding balance under the SLA in principal and interest provided there are no new borrowings under the </w:t>
      </w:r>
      <w:r>
        <w:rPr>
          <w:rFonts w:ascii="Times New Roman;serif" w:hAnsi="Times New Roman;serif"/>
          <w:b w:val="false"/>
          <w:color w:val="000000"/>
          <w:sz w:val="20"/>
        </w:rPr>
        <w:t>SLA</w:t>
      </w:r>
      <w:r>
        <w:rPr>
          <w:rFonts w:ascii="Times New Roman;serif" w:hAnsi="Times New Roman;serif"/>
          <w:b w:val="false"/>
          <w:color w:val="000000"/>
          <w:sz w:val="20"/>
          <w:shd w:fill="FFFFFF" w:val="clear"/>
        </w:rPr>
        <w:t xml:space="preserve">. In June 2025, the Company made the final payment of outstanding balances and fully repaid the </w:t>
      </w:r>
      <w:r>
        <w:rPr>
          <w:rFonts w:ascii="Times New Roman;serif" w:hAnsi="Times New Roman;serif"/>
          <w:b w:val="false"/>
          <w:color w:val="000000"/>
          <w:sz w:val="20"/>
        </w:rPr>
        <w:t>SLA.</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30, 2025, the Company closed on the Second Amendment (the “Amendment”) to the Revolving Credit Agreement with Standard Chartered and three other lenders. The Amendment continues to enable the Company to borrow under a revolving line of credit secured by substantially all the Company’s tangible and intangible assets. The Amendment extended the maturity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July 30, 2027, and increased the borrowing capacity of the revolving line of credit to a maximum of </w:t>
      </w:r>
      <w:r>
        <w:rPr>
          <w:rFonts w:ascii="Times New Roman;serif" w:hAnsi="Times New Roman;serif"/>
          <w:b w:val="false"/>
          <w:color w:val="000000"/>
          <w:sz w:val="20"/>
        </w:rPr>
        <w:t>$135.0 million</w:t>
      </w:r>
      <w:r>
        <w:rPr>
          <w:rFonts w:ascii="Times New Roman;serif" w:hAnsi="Times New Roman;serif"/>
          <w:b w:val="false"/>
          <w:color w:val="000000"/>
          <w:sz w:val="20"/>
          <w:shd w:fill="FFFFFF" w:val="clear"/>
        </w:rPr>
        <w:t xml:space="preserve">. The Amendment is subject to customary events of default and quarterly covenants, including minimum consolidated EBITDA, consolidated interest coverage ratio, and consolidated leverage ratio covenants for each fiscal quarter ending hereafter. Borrowings under the Amendment will incur interest at the applicable Secured Overnight Financing Rate (“SOFR”) plus 2.10%. In the event the Company’s majority shareholder, Weichai, holds less than fifty percent (50%) of the common equity of the Company, the interest rate under the Amendment will increase to the applicable SOFR plus 2.60% per annum. The obligations under the Amendment remain unconditionally guaranteed, on a joint and several basis, by certain wholly-owned, existing and subsequently acquired or formed direct and indirect subsidiaries of the Company, subject to customary exceptions. In addition, the Company paid fees of $1.2 million related to the Amendment which are deferred and amortized over the term of the Amendment.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had $65.0 million outstanding under the amended Revolving Credit Agreement.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January 9, 2026, the Company acquired the equity interests of MTL for $11.1 million dollars which included a $1.1 million promissory note issued to the seller (the “Promissory Note”). The Promissory Note bears interest at 8% per annum and matures on January 9, 2031. The Promissory Note is secured by the acquired shares of MTL.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had $1.1 million outstanding on the Promissory Note. As part of the acquisition, the Company also assumed the outstanding debt of MTL as described below.</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MTL entered into a financing arrangement under </w:t>
      </w:r>
      <w:r>
        <w:rPr>
          <w:rFonts w:ascii="Times New Roman;serif" w:hAnsi="Times New Roman;serif"/>
          <w:b w:val="false"/>
          <w:color w:val="000000"/>
          <w:sz w:val="20"/>
        </w:rPr>
        <w:t>the Master Loan Agreement (“First Master Loan Agreement”)</w:t>
      </w:r>
      <w:r>
        <w:rPr>
          <w:color w:val="000000"/>
          <w:shd w:fill="FFFFFF" w:val="clear"/>
        </w:rPr>
        <w:t xml:space="preserve"> </w:t>
      </w:r>
      <w:r>
        <w:rPr>
          <w:rFonts w:ascii="Times New Roman;serif" w:hAnsi="Times New Roman;serif"/>
          <w:b w:val="false"/>
          <w:color w:val="000000"/>
          <w:sz w:val="20"/>
          <w:shd w:fill="FFFFFF" w:val="clear"/>
        </w:rPr>
        <w:t xml:space="preserve">dated August 14, 2025 with U.S. Bank Equipment Finance, a division of U.S. Bank National Association. The </w:t>
      </w:r>
      <w:r>
        <w:rPr>
          <w:rFonts w:ascii="Times New Roman;serif" w:hAnsi="Times New Roman;serif"/>
          <w:b w:val="false"/>
          <w:color w:val="000000"/>
          <w:sz w:val="20"/>
        </w:rPr>
        <w:t>First Master Loan Agreement</w:t>
      </w:r>
      <w:r>
        <w:rPr>
          <w:color w:val="000000"/>
          <w:shd w:fill="FFFFFF" w:val="clear"/>
        </w:rPr>
        <w:t xml:space="preserve"> </w:t>
      </w:r>
      <w:r>
        <w:rPr>
          <w:rFonts w:ascii="Times New Roman;serif" w:hAnsi="Times New Roman;serif"/>
          <w:b w:val="false"/>
          <w:color w:val="000000"/>
          <w:sz w:val="20"/>
          <w:shd w:fill="FFFFFF" w:val="clear"/>
        </w:rPr>
        <w:t xml:space="preserve">provides for an original principal balance of $3.5 million, bearing interest at a fixed annual rate of 6.25% and matures in August 2031. The loan is secured by substantially all equipment financed under the arrangement. The </w:t>
      </w:r>
      <w:r>
        <w:rPr>
          <w:rFonts w:ascii="Times New Roman;serif" w:hAnsi="Times New Roman;serif"/>
          <w:b w:val="false"/>
          <w:color w:val="000000"/>
          <w:sz w:val="20"/>
        </w:rPr>
        <w:t>First Master Loan Agreement</w:t>
      </w:r>
      <w:r>
        <w:rPr>
          <w:color w:val="000000"/>
          <w:shd w:fill="FFFFFF" w:val="clear"/>
        </w:rPr>
        <w:t xml:space="preserve"> </w:t>
      </w:r>
      <w:r>
        <w:rPr>
          <w:rFonts w:ascii="Times New Roman;serif" w:hAnsi="Times New Roman;serif"/>
          <w:b w:val="false"/>
          <w:color w:val="000000"/>
          <w:sz w:val="20"/>
          <w:shd w:fill="FFFFFF" w:val="clear"/>
        </w:rPr>
        <w:t xml:space="preserve">permits prepayment subject to a prepayment fee stated as a percentage of the prepaid balance or a make-whole amount. Such prepayment provisions apply to both voluntary prepayments and amounts accelerated following events of default. The loan bears interest at a stated fixed rate. The Company is required to comply with customary representations, warranties, and covenants associated with the financing arrangement.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was in compliance with all such provisions.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had $3.1 million outstanding.</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MTL entered into a financing arrangement under </w:t>
      </w:r>
      <w:r>
        <w:rPr>
          <w:rFonts w:ascii="Times New Roman;serif" w:hAnsi="Times New Roman;serif"/>
          <w:b w:val="false"/>
          <w:color w:val="000000"/>
          <w:sz w:val="20"/>
        </w:rPr>
        <w:t>the Master Loan Agreement (“Second Master Loan Agreement”)</w:t>
      </w:r>
      <w:r>
        <w:rPr>
          <w:color w:val="000000"/>
          <w:shd w:fill="FFFFFF" w:val="clear"/>
        </w:rPr>
        <w:t xml:space="preserve"> </w:t>
      </w:r>
      <w:r>
        <w:rPr>
          <w:rFonts w:ascii="Times New Roman;serif" w:hAnsi="Times New Roman;serif"/>
          <w:b w:val="false"/>
          <w:color w:val="000000"/>
          <w:sz w:val="20"/>
          <w:shd w:fill="FFFFFF" w:val="clear"/>
        </w:rPr>
        <w:t xml:space="preserve">dated October 23, 2025 with U.S. Bank Equipment Finance, a division of U.S. Bank National Association. The </w:t>
      </w:r>
      <w:r>
        <w:rPr>
          <w:rFonts w:ascii="Times New Roman;serif" w:hAnsi="Times New Roman;serif"/>
          <w:b w:val="false"/>
          <w:color w:val="000000"/>
          <w:sz w:val="20"/>
        </w:rPr>
        <w:t>Second Master Loan Agreement</w:t>
      </w:r>
      <w:r>
        <w:rPr>
          <w:color w:val="000000"/>
          <w:shd w:fill="FFFFFF" w:val="clear"/>
        </w:rPr>
        <w:t xml:space="preserve"> </w:t>
      </w:r>
      <w:r>
        <w:rPr>
          <w:rFonts w:ascii="Times New Roman;serif" w:hAnsi="Times New Roman;serif"/>
          <w:b w:val="false"/>
          <w:color w:val="000000"/>
          <w:sz w:val="20"/>
          <w:shd w:fill="FFFFFF" w:val="clear"/>
        </w:rPr>
        <w:t xml:space="preserve">provides for an original principal balance of $2.0 million, bearing interest at a fixed annual rate of 6.20% and matures in October 2031. The loan is secured by substantially all equipment financed under the arrangement. The </w:t>
      </w:r>
      <w:r>
        <w:rPr>
          <w:rFonts w:ascii="Times New Roman;serif" w:hAnsi="Times New Roman;serif"/>
          <w:b w:val="false"/>
          <w:color w:val="000000"/>
          <w:sz w:val="20"/>
        </w:rPr>
        <w:t>Second Master Loan Agreement</w:t>
      </w:r>
      <w:r>
        <w:rPr>
          <w:color w:val="000000"/>
          <w:shd w:fill="FFFFFF" w:val="clear"/>
        </w:rPr>
        <w:t xml:space="preserve"> </w:t>
      </w:r>
      <w:r>
        <w:rPr>
          <w:rFonts w:ascii="Times New Roman;serif" w:hAnsi="Times New Roman;serif"/>
          <w:b w:val="false"/>
          <w:color w:val="000000"/>
          <w:sz w:val="20"/>
          <w:shd w:fill="FFFFFF" w:val="clear"/>
        </w:rPr>
        <w:t xml:space="preserve">permits prepayment subject to a prepayment fee stated as a percentage of the prepaid balance or a make-whole amount. Such prepayment provisions apply to both voluntary prepayments and amounts accelerated following events of default. The loan bears interest at a stated fixed rate. The Company is required to comply with customary representations, warranties, and covenants associated with the financing arrangement.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was in compliance with all such provisions.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the Company had $1.8 million outstanding.</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July 27, 2022, MTL entered into a loan agreement with JPMorgan Chase Bank, N.A. under </w:t>
      </w:r>
      <w:r>
        <w:rPr>
          <w:rFonts w:ascii="Times New Roman;serif" w:hAnsi="Times New Roman;serif"/>
          <w:b w:val="false"/>
          <w:color w:val="000000"/>
          <w:sz w:val="20"/>
        </w:rPr>
        <w:t>the U.S. Small Business Administration 7(a) loan program (“SBA Loan”)</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SBA Loan</w:t>
      </w:r>
      <w:r>
        <w:rPr>
          <w:color w:val="000000"/>
          <w:shd w:fill="FFFFFF" w:val="clear"/>
        </w:rPr>
        <w:t xml:space="preserve"> </w:t>
      </w:r>
      <w:r>
        <w:rPr>
          <w:rFonts w:ascii="Times New Roman;serif" w:hAnsi="Times New Roman;serif"/>
          <w:b w:val="false"/>
          <w:color w:val="000000"/>
          <w:sz w:val="20"/>
          <w:shd w:fill="FFFFFF" w:val="clear"/>
        </w:rPr>
        <w:t xml:space="preserve">provides for an original principal balance of $0.9 million, bearing interest at a fixed annual rate of 5.03% and matures on July 27, 2032. The loan is secured by substantially all equipment financed under the arrangement. The loan may be prepaid without penalty for amounts up to 20% of the outstanding principal balance. The Company may prepay outstanding balances exceeding the 20% with proper notices and pay specified additional interest amounts. The Company is required to comply with customary representations, warranties, covenants associated with the financing arrangement, and certain new indebtedness restrictions. </w:t>
      </w:r>
      <w:r>
        <w:rPr>
          <w:rFonts w:ascii="Times New Roman;serif" w:hAnsi="Times New Roman;serif"/>
          <w:b w:val="false"/>
          <w:color w:val="000000"/>
          <w:sz w:val="20"/>
        </w:rPr>
        <w:t>The outstanding balance of $0.6 million was paid off as of June 30, 2026.</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Company’s total outstanding debt obligations under the </w:t>
      </w:r>
      <w:r>
        <w:rPr>
          <w:rFonts w:ascii="Times New Roman;serif" w:hAnsi="Times New Roman;serif"/>
          <w:b w:val="false"/>
          <w:color w:val="000000"/>
          <w:sz w:val="20"/>
        </w:rPr>
        <w:t xml:space="preserve">Revolving Credit Agreement </w:t>
      </w:r>
      <w:r>
        <w:rPr>
          <w:rFonts w:ascii="Times New Roman;serif" w:hAnsi="Times New Roman;serif"/>
          <w:b w:val="false"/>
          <w:color w:val="000000"/>
          <w:sz w:val="20"/>
          <w:shd w:fill="FFFFFF" w:val="clear"/>
        </w:rPr>
        <w:t xml:space="preserve">and for finance leases and other debt were $72.6 million in the aggregate. The Company's total accrued interest for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was $0.2 million and $0.3 million</w:t>
      </w:r>
      <w:r>
        <w:rPr>
          <w:color w:val="00000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and December 31, 2025, respectively</w:t>
      </w:r>
      <w:r>
        <w:rPr>
          <w:rFonts w:ascii="Times New Roman;serif" w:hAnsi="Times New Roman;serif"/>
          <w:b w:val="false"/>
          <w:color w:val="000000"/>
          <w:sz w:val="20"/>
          <w:shd w:fill="FFFFFF" w:val="clear"/>
        </w:rPr>
        <w:t>. Accrued interest is included within Other Accrued Liabilities on the Consolidated Balance Sheet.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8. Other Non-Current Liabilities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June 14, 2024, the Company executed a non-interest bearing note payable of $4.5 million upon settlement of a legal matter (the “Note Payable”). The Note Payable is due May 2028 and is discounted based on an imputed interest rate of </w:t>
      </w:r>
      <w:r>
        <w:rPr>
          <w:rFonts w:ascii="Times New Roman;serif" w:hAnsi="Times New Roman;serif"/>
          <w:b w:val="false"/>
          <w:color w:val="000000"/>
          <w:sz w:val="20"/>
        </w:rPr>
        <w:t>6.66%</w:t>
      </w:r>
      <w:r>
        <w:rPr>
          <w:rFonts w:ascii="Times New Roman;serif" w:hAnsi="Times New Roman;serif"/>
          <w:b w:val="false"/>
          <w:color w:val="000000"/>
          <w:sz w:val="20"/>
          <w:shd w:fill="FFFFFF" w:val="clear"/>
        </w:rPr>
        <w:t xml:space="preserve">. The Note Payable includes an option for the Company to extend maturity of the note to September 2029 upon written notice before the thirty-seventh payment and, if such option is exercised, the maximum payment amount of the Note Payable increases to $4.8 million.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June 30, 2026 and </w:t>
      </w:r>
      <w:r>
        <w:rPr>
          <w:rFonts w:ascii="Times New Roman;serif" w:hAnsi="Times New Roman;serif"/>
          <w:b w:val="false"/>
          <w:color w:val="000000"/>
          <w:sz w:val="20"/>
        </w:rPr>
        <w:t>December 31, 2025 t</w:t>
      </w:r>
      <w:r>
        <w:rPr>
          <w:rFonts w:ascii="Times New Roman;serif" w:hAnsi="Times New Roman;serif"/>
          <w:b w:val="false"/>
          <w:color w:val="000000"/>
          <w:sz w:val="20"/>
          <w:shd w:fill="FFFFFF" w:val="clear"/>
        </w:rPr>
        <w:t>he current portion of the Note Payable of $0.8 million and $0.7 million, respectively,</w:t>
      </w:r>
      <w:r>
        <w:rPr>
          <w:color w:val="000000"/>
        </w:rPr>
        <w:t xml:space="preserve"> </w:t>
      </w:r>
      <w:r>
        <w:rPr>
          <w:rFonts w:ascii="Times New Roman;serif" w:hAnsi="Times New Roman;serif"/>
          <w:b w:val="false"/>
          <w:color w:val="000000"/>
          <w:sz w:val="20"/>
          <w:shd w:fill="FFFFFF" w:val="clear"/>
        </w:rPr>
        <w:t xml:space="preserve">is included in </w:t>
      </w:r>
      <w:r>
        <w:rPr>
          <w:rFonts w:ascii="Times New Roman;serif" w:hAnsi="Times New Roman;serif"/>
          <w:b w:val="false"/>
          <w:i/>
          <w:color w:val="000000"/>
          <w:sz w:val="20"/>
          <w:shd w:fill="FFFFFF" w:val="clear"/>
        </w:rPr>
        <w:t>Other accrued liabilities</w:t>
      </w:r>
      <w:r>
        <w:rPr>
          <w:color w:val="000000"/>
          <w:shd w:fill="FFFFFF" w:val="clear"/>
        </w:rPr>
        <w:t xml:space="preserve"> </w:t>
      </w:r>
      <w:r>
        <w:rPr>
          <w:rFonts w:ascii="Times New Roman;serif" w:hAnsi="Times New Roman;serif"/>
          <w:b w:val="false"/>
          <w:color w:val="000000"/>
          <w:sz w:val="20"/>
          <w:shd w:fill="FFFFFF" w:val="clear"/>
        </w:rPr>
        <w:t>in the Company’s Consolidated Balance Sheet.</w:t>
      </w:r>
    </w:p>
    <w:tbl>
      <w:tblPr>
        <w:tblW w:w="6549"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396"/>
        <w:gridCol w:w="1124"/>
        <w:gridCol w:w="220"/>
        <w:gridCol w:w="109"/>
        <w:gridCol w:w="109"/>
        <w:gridCol w:w="109"/>
        <w:gridCol w:w="482"/>
        <w:gridCol w:w="1371"/>
        <w:gridCol w:w="382"/>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remaining maturities for the note payable as of June 30, 2026:</w:t>
      </w:r>
    </w:p>
    <w:p>
      <w:pPr>
        <w:pStyle w:val="TextBody"/>
        <w:bidi w:val="0"/>
        <w:spacing w:before="120" w:after="120"/>
        <w:jc w:val="left"/>
        <w:rPr/>
      </w:pPr>
      <w:r>
        <w:rPr/>
      </w:r>
    </w:p>
    <w:tbl>
      <w:tblPr>
        <w:tblW w:w="6609" w:type="dxa"/>
        <w:jc w:val="left"/>
        <w:tblInd w:w="0" w:type="dxa"/>
        <w:tblLayout w:type="fixed"/>
        <w:tblCellMar>
          <w:top w:w="28" w:type="dxa"/>
          <w:left w:w="28" w:type="dxa"/>
          <w:bottom w:w="28" w:type="dxa"/>
          <w:right w:w="28" w:type="dxa"/>
        </w:tblCellMar>
      </w:tblPr>
      <w:tblGrid>
        <w:gridCol w:w="1047"/>
        <w:gridCol w:w="922"/>
        <w:gridCol w:w="925"/>
        <w:gridCol w:w="109"/>
        <w:gridCol w:w="109"/>
        <w:gridCol w:w="109"/>
        <w:gridCol w:w="225"/>
        <w:gridCol w:w="639"/>
        <w:gridCol w:w="127"/>
        <w:gridCol w:w="109"/>
        <w:gridCol w:w="109"/>
        <w:gridCol w:w="109"/>
        <w:gridCol w:w="526"/>
        <w:gridCol w:w="1129"/>
        <w:gridCol w:w="415"/>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Amortization</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recorded less than $0.1 million discount amortization as interest expense for both the three months ended June 30, 2026 and </w:t>
      </w:r>
      <w:r>
        <w:rPr>
          <w:rFonts w:ascii="Times New Roman;serif" w:hAnsi="Times New Roman;serif"/>
          <w:b w:val="false"/>
          <w:color w:val="000000"/>
          <w:sz w:val="20"/>
        </w:rPr>
        <w:t>2025, respectively</w:t>
      </w:r>
      <w:r>
        <w:rPr>
          <w:rFonts w:ascii="Times New Roman;serif" w:hAnsi="Times New Roman;serif"/>
          <w:b w:val="false"/>
          <w:color w:val="000000"/>
          <w:sz w:val="20"/>
          <w:shd w:fill="FFFFFF" w:val="clear"/>
        </w:rPr>
        <w:t xml:space="preserve">. The Company recorded $0.1 million discount amortization as interest expense for both the six months ended June 30, 2026 and </w:t>
      </w:r>
      <w:r>
        <w:rPr>
          <w:rFonts w:ascii="Times New Roman;serif" w:hAnsi="Times New Roman;serif"/>
          <w:b w:val="false"/>
          <w:color w:val="000000"/>
          <w:sz w:val="20"/>
        </w:rPr>
        <w:t>2025, respectively.</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pPr>
      <w:r>
        <w:rPr>
          <w:rFonts w:ascii="Times New Roman;serif" w:hAnsi="Times New Roman;serif"/>
          <w:b/>
          <w:color w:val="000000"/>
          <w:sz w:val="20"/>
          <w:shd w:fill="FFFFFF" w:val="clear"/>
        </w:rPr>
        <w:t>Note 9.</w:t>
      </w:r>
      <w:r>
        <w:rPr>
          <w:color w:val="000000"/>
        </w:rPr>
        <w:t>    </w:t>
      </w:r>
      <w:r>
        <w:rPr>
          <w:rFonts w:ascii="Times New Roman;serif" w:hAnsi="Times New Roman;serif"/>
          <w:b/>
          <w:color w:val="000000"/>
          <w:sz w:val="20"/>
          <w:shd w:fill="FFFFFF" w:val="clear"/>
        </w:rPr>
        <w:t>Leases</w:t>
      </w:r>
      <w:r>
        <w:rPr>
          <w:color w:val="000000"/>
        </w:rPr>
        <w:t xml:space="preserve"> </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120"/>
        <w:jc w:val="both"/>
        <w:rPr/>
      </w:pPr>
      <w:r>
        <w:rPr>
          <w:rFonts w:ascii="Times New Roman;serif" w:hAnsi="Times New Roman;serif"/>
          <w:b w:val="false"/>
          <w:color w:val="000000"/>
          <w:sz w:val="20"/>
        </w:rPr>
        <w:t>The Company has obligations under lease arrangements primarily for facilities, equipment and vehicles. These leases have original lease periods expiring bet</w:t>
      </w:r>
      <w:r>
        <w:rPr>
          <w:rFonts w:ascii="Times New Roman;serif" w:hAnsi="Times New Roman;serif"/>
          <w:b w:val="false"/>
          <w:color w:val="000000"/>
          <w:sz w:val="20"/>
          <w:shd w:fill="FFFFFF" w:val="clear"/>
        </w:rPr>
        <w:t>ween December 2026 and March 2036. The following table summarizes the lease expense by category in the Consolidated Statements of Income:</w:t>
      </w:r>
    </w:p>
    <w:tbl>
      <w:tblPr>
        <w:tblW w:w="9810"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291"/>
        <w:gridCol w:w="826"/>
        <w:gridCol w:w="162"/>
        <w:gridCol w:w="162"/>
        <w:gridCol w:w="162"/>
        <w:gridCol w:w="162"/>
        <w:gridCol w:w="291"/>
        <w:gridCol w:w="826"/>
        <w:gridCol w:w="162"/>
        <w:gridCol w:w="109"/>
        <w:gridCol w:w="109"/>
        <w:gridCol w:w="109"/>
        <w:gridCol w:w="269"/>
        <w:gridCol w:w="764"/>
        <w:gridCol w:w="149"/>
        <w:gridCol w:w="149"/>
        <w:gridCol w:w="149"/>
        <w:gridCol w:w="149"/>
        <w:gridCol w:w="269"/>
        <w:gridCol w:w="764"/>
        <w:gridCol w:w="211"/>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lease expense:</w:t>
      </w:r>
    </w:p>
    <w:tbl>
      <w:tblPr>
        <w:tblW w:w="9796" w:type="dxa"/>
        <w:jc w:val="left"/>
        <w:tblInd w:w="0" w:type="dxa"/>
        <w:tblLayout w:type="fixed"/>
        <w:tblCellMar>
          <w:top w:w="28" w:type="dxa"/>
          <w:left w:w="28" w:type="dxa"/>
          <w:bottom w:w="28" w:type="dxa"/>
          <w:right w:w="28" w:type="dxa"/>
        </w:tblCellMar>
      </w:tblPr>
      <w:tblGrid>
        <w:gridCol w:w="1167"/>
        <w:gridCol w:w="1027"/>
        <w:gridCol w:w="1031"/>
        <w:gridCol w:w="109"/>
        <w:gridCol w:w="109"/>
        <w:gridCol w:w="109"/>
        <w:gridCol w:w="291"/>
        <w:gridCol w:w="826"/>
        <w:gridCol w:w="162"/>
        <w:gridCol w:w="162"/>
        <w:gridCol w:w="162"/>
        <w:gridCol w:w="162"/>
        <w:gridCol w:w="291"/>
        <w:gridCol w:w="826"/>
        <w:gridCol w:w="162"/>
        <w:gridCol w:w="109"/>
        <w:gridCol w:w="109"/>
        <w:gridCol w:w="109"/>
        <w:gridCol w:w="269"/>
        <w:gridCol w:w="764"/>
        <w:gridCol w:w="149"/>
        <w:gridCol w:w="149"/>
        <w:gridCol w:w="149"/>
        <w:gridCol w:w="149"/>
        <w:gridCol w:w="269"/>
        <w:gridCol w:w="764"/>
        <w:gridCol w:w="211"/>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lease cost,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supplemental cash flow information related to leases:</w:t>
      </w:r>
    </w:p>
    <w:tbl>
      <w:tblPr>
        <w:tblW w:w="8239" w:type="dxa"/>
        <w:jc w:val="left"/>
        <w:tblInd w:w="0" w:type="dxa"/>
        <w:tblLayout w:type="fixed"/>
        <w:tblCellMar>
          <w:top w:w="28" w:type="dxa"/>
          <w:left w:w="28" w:type="dxa"/>
          <w:bottom w:w="28" w:type="dxa"/>
          <w:right w:w="28" w:type="dxa"/>
        </w:tblCellMar>
      </w:tblPr>
      <w:tblGrid>
        <w:gridCol w:w="1823"/>
        <w:gridCol w:w="1606"/>
        <w:gridCol w:w="1610"/>
        <w:gridCol w:w="109"/>
        <w:gridCol w:w="109"/>
        <w:gridCol w:w="109"/>
        <w:gridCol w:w="269"/>
        <w:gridCol w:w="764"/>
        <w:gridCol w:w="149"/>
        <w:gridCol w:w="149"/>
        <w:gridCol w:w="149"/>
        <w:gridCol w:w="149"/>
        <w:gridCol w:w="269"/>
        <w:gridCol w:w="764"/>
        <w:gridCol w:w="211"/>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interest portion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paid for principal portion of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the weighted-average remaining lease term was 7.8 years and 8.0 years for operating leases, respectively, and 3.7 years and 4.2 years for finance leases, respectively. As of June 30, 2026 and December 31, 2025, the weighted-average discount rate was 7.1% for operating leases and 6.9% for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supplemental balance sheet information related to leases:</w:t>
      </w:r>
    </w:p>
    <w:tbl>
      <w:tblPr>
        <w:tblW w:w="6248" w:type="dxa"/>
        <w:jc w:val="left"/>
        <w:tblInd w:w="0" w:type="dxa"/>
        <w:tblLayout w:type="fixed"/>
        <w:tblCellMar>
          <w:top w:w="28" w:type="dxa"/>
          <w:left w:w="28" w:type="dxa"/>
          <w:bottom w:w="28" w:type="dxa"/>
          <w:right w:w="28" w:type="dxa"/>
        </w:tblCellMar>
      </w:tblPr>
      <w:tblGrid>
        <w:gridCol w:w="1031"/>
        <w:gridCol w:w="908"/>
        <w:gridCol w:w="911"/>
        <w:gridCol w:w="109"/>
        <w:gridCol w:w="109"/>
        <w:gridCol w:w="109"/>
        <w:gridCol w:w="238"/>
        <w:gridCol w:w="785"/>
        <w:gridCol w:w="132"/>
        <w:gridCol w:w="109"/>
        <w:gridCol w:w="109"/>
        <w:gridCol w:w="109"/>
        <w:gridCol w:w="313"/>
        <w:gridCol w:w="1031"/>
        <w:gridCol w:w="245"/>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 xml:space="preserve">Operating lease ROU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53,676 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18"/>
              </w:rPr>
              <w:t xml:space="preserve">Finance lease ROU assets, net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6"/>
        </w:rPr>
        <w:t xml:space="preserve">1.Included in </w:t>
      </w:r>
      <w:r>
        <w:rPr>
          <w:rFonts w:ascii="Times New Roman;serif" w:hAnsi="Times New Roman;serif"/>
          <w:b w:val="false"/>
          <w:i/>
          <w:color w:val="000000"/>
          <w:sz w:val="16"/>
        </w:rPr>
        <w:t>Property, plant and equipment, net</w:t>
      </w:r>
      <w:r>
        <w:rPr>
          <w:color w:val="000000"/>
        </w:rPr>
        <w:t xml:space="preserve"> </w:t>
      </w:r>
      <w:r>
        <w:rPr>
          <w:rFonts w:ascii="Times New Roman;serif" w:hAnsi="Times New Roman;serif"/>
          <w:b w:val="false"/>
          <w:color w:val="000000"/>
          <w:sz w:val="16"/>
        </w:rPr>
        <w:t>for finance leases on the Consolidated Balance Sheets.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maturity analysis of lease liabilities as of June 30, 2026:</w:t>
      </w:r>
    </w:p>
    <w:tbl>
      <w:tblPr>
        <w:tblW w:w="6291" w:type="dxa"/>
        <w:jc w:val="left"/>
        <w:tblInd w:w="0" w:type="dxa"/>
        <w:tblLayout w:type="fixed"/>
        <w:tblCellMar>
          <w:top w:w="28" w:type="dxa"/>
          <w:left w:w="28" w:type="dxa"/>
          <w:bottom w:w="28" w:type="dxa"/>
          <w:right w:w="28" w:type="dxa"/>
        </w:tblCellMar>
      </w:tblPr>
      <w:tblGrid>
        <w:gridCol w:w="1047"/>
        <w:gridCol w:w="922"/>
        <w:gridCol w:w="925"/>
        <w:gridCol w:w="109"/>
        <w:gridCol w:w="109"/>
        <w:gridCol w:w="109"/>
        <w:gridCol w:w="296"/>
        <w:gridCol w:w="978"/>
        <w:gridCol w:w="165"/>
        <w:gridCol w:w="109"/>
        <w:gridCol w:w="109"/>
        <w:gridCol w:w="109"/>
        <w:gridCol w:w="282"/>
        <w:gridCol w:w="801"/>
        <w:gridCol w:w="221"/>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Six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80,455 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10.    Fair Value of Financial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 based on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 based on other significant observable inputs for the assets or liabilities through corroborations with market data at the measurement date;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 based on significant unobservable inputs that reflect management’s best estimate of what market participants would use to price the assets or liabilities at the measurement date.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Financial Instruments Measured at Carrying Value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Current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(Level 1) are measured at carrying value, which approximates fair value because of the short-term maturities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measured its material debt obligations and notes p</w:t>
      </w:r>
      <w:r>
        <w:rPr>
          <w:rFonts w:ascii="Times New Roman;serif" w:hAnsi="Times New Roman;serif"/>
          <w:b w:val="false"/>
          <w:color w:val="000000"/>
          <w:sz w:val="20"/>
        </w:rPr>
        <w:t xml:space="preserve">ayable using original carrying value.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fair value of the Revolving Credit Agreement approximated carrying value, as it is a variable rate loan.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Company measured its non-interest bearing </w:t>
      </w:r>
      <w:r>
        <w:rPr>
          <w:rFonts w:ascii="Times New Roman;serif" w:hAnsi="Times New Roman;serif"/>
          <w:b w:val="false"/>
          <w:color w:val="000000"/>
          <w:sz w:val="20"/>
          <w:shd w:fill="FFFFFF" w:val="clear"/>
        </w:rPr>
        <w:t>Note Payable</w:t>
      </w:r>
      <w:r>
        <w:rPr>
          <w:color w:val="000000"/>
        </w:rPr>
        <w:t xml:space="preserve"> </w:t>
      </w:r>
      <w:r>
        <w:rPr>
          <w:rFonts w:ascii="Times New Roman;serif" w:hAnsi="Times New Roman;serif"/>
          <w:b w:val="false"/>
          <w:color w:val="000000"/>
          <w:sz w:val="20"/>
        </w:rPr>
        <w:t xml:space="preserve">using a rate which the Company could obtain financing of similar nature from other sources at the date of the transaction. The unamortized discount is reported in the Consolidated Balance Sheets as a deduction from the face amount of the note payable.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Promissory Note was issued for the acquisition of MTL on January 9, 2026. The debt was established at market rate and the fair value approximates carrying value since the period of time between issuance and June 30, 2026 is not significant.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Master Loan Agreements and the SBA Loan were part of debt assumed in the acquisition of MTL. The assumed debt is predominantly related to equipment loans which were issued within the past year and are third party agreements. The debt was recently established at market rates and is unlikely to have moved off market in the short period between the issuance in 2025 and June 30, 2026. Based on these factors, the fair value approximates carrying value.</w:t>
      </w:r>
    </w:p>
    <w:p>
      <w:pPr>
        <w:pStyle w:val="TextBody"/>
        <w:bidi w:val="0"/>
        <w:spacing w:lineRule="auto" w:line="288" w:before="120" w:after="120"/>
        <w:jc w:val="both"/>
        <w:rPr/>
      </w:pPr>
      <w:r>
        <w:rPr>
          <w:rFonts w:ascii="Times New Roman;serif" w:hAnsi="Times New Roman;serif"/>
          <w:b w:val="false"/>
          <w:color w:val="000000"/>
          <w:sz w:val="20"/>
        </w:rPr>
        <w:t>The Company measured its material debt obligations and note payable using Level 2 inputs as follows</w:t>
      </w:r>
      <w:r>
        <w:rPr>
          <w:rFonts w:ascii="Times New Roman;serif" w:hAnsi="Times New Roman;serif"/>
          <w:b w:val="false"/>
          <w:color w:val="000000"/>
          <w:sz w:val="20"/>
          <w:shd w:fill="FFFFFF" w:val="clear"/>
        </w:rPr>
        <w:t>:</w:t>
      </w:r>
    </w:p>
    <w:tbl>
      <w:tblPr>
        <w:tblW w:w="7445"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2,446 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1,125 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First Master Loan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3,057 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Second Master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1,831 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Financial Assets and Liabilities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addition to the methods and assumptions used for the financial instruments discussed </w:t>
      </w:r>
      <w:r>
        <w:rPr>
          <w:rFonts w:ascii="Times New Roman;serif" w:hAnsi="Times New Roman;serif"/>
          <w:b w:val="false"/>
          <w:color w:val="000000"/>
          <w:sz w:val="20"/>
        </w:rPr>
        <w:t>above</w:t>
      </w:r>
      <w:r>
        <w:rPr>
          <w:rFonts w:ascii="Times New Roman;serif" w:hAnsi="Times New Roman;serif"/>
          <w:b w:val="false"/>
          <w:color w:val="000000"/>
          <w:sz w:val="20"/>
          <w:shd w:fill="FFFFFF" w:val="clear"/>
        </w:rPr>
        <w:t xml:space="preserve">, accounts receivable, net income tax receivable, accounts payable, and certain accrued expenses are measured at carrying value, which approximates fair value because of the short-term maturities of these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Commitments and Contingencies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Legal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what claims, if any, will survive dispositive motion practice;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extent of the claims, particularly when damages are not specified or are indeterminate;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how the discovery process will affect the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settlement posture of the other parties to the litigation;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other factors that may have a material effect on the litigation or investigation.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Mast Powertrain v. the Company</w:t>
      </w:r>
    </w:p>
    <w:p>
      <w:pPr>
        <w:pStyle w:val="TextBody"/>
        <w:bidi w:val="0"/>
        <w:spacing w:lineRule="auto" w:line="288" w:before="120" w:after="120"/>
        <w:jc w:val="both"/>
        <w:rPr/>
      </w:pPr>
      <w:r>
        <w:rPr>
          <w:rFonts w:ascii="Times New Roman;serif" w:hAnsi="Times New Roman;serif"/>
          <w:b w:val="false"/>
          <w:color w:val="000000"/>
          <w:sz w:val="20"/>
        </w:rPr>
        <w:t xml:space="preserve">In February 2020, the Company received a demand for arbitration from Mast Powertrain, LLC (“Mast”) pursuant to a development agreement entered into in November 2011 (the “Development Agreement”). Mast claimed that it was owed more than </w:t>
      </w:r>
      <w:r>
        <w:rPr>
          <w:rFonts w:ascii="Times New Roman;serif" w:hAnsi="Times New Roman;serif"/>
          <w:b w:val="false"/>
          <w:color w:val="000000"/>
          <w:sz w:val="20"/>
          <w:shd w:fill="FFFFFF" w:val="clear"/>
        </w:rPr>
        <w:t>$9.0 million</w:t>
      </w:r>
      <w:r>
        <w:rPr>
          <w:color w:val="000000"/>
        </w:rPr>
        <w:t xml:space="preserve"> </w:t>
      </w:r>
      <w:r>
        <w:rPr>
          <w:rFonts w:ascii="Times New Roman;serif" w:hAnsi="Times New Roman;serif"/>
          <w:b w:val="false"/>
          <w:color w:val="000000"/>
          <w:sz w:val="20"/>
        </w:rPr>
        <w:t xml:space="preserve">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w:t>
      </w:r>
      <w:r>
        <w:rPr>
          <w:rFonts w:ascii="Times New Roman;serif" w:hAnsi="Times New Roman;serif"/>
          <w:b w:val="false"/>
          <w:color w:val="000000"/>
          <w:sz w:val="20"/>
          <w:shd w:fill="FFFFFF" w:val="clear"/>
        </w:rPr>
        <w:t>$4.5 million</w:t>
      </w:r>
      <w:r>
        <w:rPr>
          <w:rFonts w:ascii="Times New Roman;serif" w:hAnsi="Times New Roman;serif"/>
          <w:b w:val="false"/>
          <w:color w:val="000000"/>
          <w:sz w:val="20"/>
        </w:rPr>
        <w:t xml:space="preserve">. In July 2021, the Company reached a settlement with Mast to resolve past claims for royalties </w:t>
      </w:r>
      <w:r>
        <w:rPr>
          <w:rFonts w:ascii="Times New Roman;serif" w:hAnsi="Times New Roman;serif"/>
          <w:b w:val="false"/>
          <w:color w:val="000000"/>
          <w:sz w:val="20"/>
          <w:shd w:fill="FFFFFF" w:val="clear"/>
        </w:rPr>
        <w:t xml:space="preserve">owed for $1.5 million which the Company had previously recorded within </w:t>
      </w:r>
      <w:r>
        <w:rPr>
          <w:rFonts w:ascii="Times New Roman;serif" w:hAnsi="Times New Roman;serif"/>
          <w:b w:val="false"/>
          <w:i/>
          <w:color w:val="000000"/>
          <w:sz w:val="20"/>
          <w:shd w:fill="FFFFFF" w:val="clear"/>
        </w:rPr>
        <w:t>Selling, general and administrative expenses</w:t>
      </w:r>
      <w:r>
        <w:rPr>
          <w:color w:val="000000"/>
          <w:shd w:fill="FFFFFF" w:val="clear"/>
        </w:rPr>
        <w:t xml:space="preserve"> </w:t>
      </w:r>
      <w:r>
        <w:rPr>
          <w:rFonts w:ascii="Times New Roman;serif" w:hAnsi="Times New Roman;serif"/>
          <w:b w:val="false"/>
          <w:color w:val="000000"/>
          <w:sz w:val="20"/>
          <w:shd w:fill="FFFFFF" w:val="clear"/>
        </w:rPr>
        <w:t>in the Consolidated Statement of Income for the year-ended December 31, 2020</w:t>
      </w:r>
      <w:r>
        <w:rPr>
          <w:rFonts w:ascii="Times New Roman;serif" w:hAnsi="Times New Roman;serif"/>
          <w:b w:val="false"/>
          <w:color w:val="000000"/>
          <w:sz w:val="20"/>
        </w:rPr>
        <w:t>. The Company fully paid the settlement and had no recognized liability as of</w:t>
      </w:r>
      <w:r>
        <w:rPr>
          <w:color w:val="000000"/>
          <w:shd w:fill="FFFFFF" w:val="clear"/>
        </w:rPr>
        <w:t xml:space="preserve">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In September 2023, Mast filed a lawsuit against the Company in the Eastern District of Texas Federal Court (“Court”), alleging, among other things, damages of approximately $6.0 million for fraudulent inducement leading to the 2021 arbitration settlement agreement and breach of said settlement agreement. Upon court order, the Company participated in separate mediations in May 2024 and December 2024, and no settlement was reached. The Company has filed a motion to stay the lawsuit and compel it to arbitration, and the Court granted that motion on January 31, 2025</w:t>
      </w:r>
      <w:r>
        <w:rPr>
          <w:rFonts w:ascii="Times New Roman;serif" w:hAnsi="Times New Roman;serif"/>
          <w:b w:val="false"/>
          <w:color w:val="000000"/>
          <w:sz w:val="20"/>
          <w:shd w:fill="FFFFFF" w:val="clear"/>
        </w:rPr>
        <w:t xml:space="preserve">. As of both June 30, 2026 and December 31, 2025, the Company had recorded an estimated liability of $0.9 million, recorded within </w:t>
      </w:r>
      <w:r>
        <w:rPr>
          <w:rFonts w:ascii="Times New Roman;serif" w:hAnsi="Times New Roman;serif"/>
          <w:b w:val="false"/>
          <w:i/>
          <w:color w:val="000000"/>
          <w:sz w:val="20"/>
          <w:shd w:fill="FFFFFF" w:val="clear"/>
        </w:rPr>
        <w:t>Other accrued liabilities</w:t>
      </w:r>
      <w:r>
        <w:rPr>
          <w:color w:val="000000"/>
          <w:shd w:fill="FFFFFF" w:val="clear"/>
        </w:rPr>
        <w:t xml:space="preserve"> </w:t>
      </w:r>
      <w:r>
        <w:rPr>
          <w:rFonts w:ascii="Times New Roman;serif" w:hAnsi="Times New Roman;serif"/>
          <w:b w:val="false"/>
          <w:color w:val="000000"/>
          <w:sz w:val="20"/>
          <w:shd w:fill="FFFFFF" w:val="clear"/>
        </w:rPr>
        <w:t xml:space="preserve">on the Consolidated Balance Sheets related to the potential settlement of this matter. </w:t>
      </w:r>
      <w:r>
        <w:rPr>
          <w:color w:val="000000"/>
          <w:shd w:fill="FFFFFF" w:val="clear"/>
        </w:rPr>
        <w: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Gary Winemaster Litigation v. The Company</w:t>
      </w:r>
    </w:p>
    <w:p>
      <w:pPr>
        <w:pStyle w:val="TextBody"/>
        <w:bidi w:val="0"/>
        <w:spacing w:lineRule="auto" w:line="288" w:before="120" w:after="120"/>
        <w:jc w:val="both"/>
        <w:rPr/>
      </w:pPr>
      <w:r>
        <w:rPr>
          <w:rFonts w:ascii="Times New Roman;serif" w:hAnsi="Times New Roman;serif"/>
          <w:b w:val="false"/>
          <w:color w:val="000000"/>
          <w:sz w:val="20"/>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$7.2 million of attorney’s fees plus interest incurred by Winemaster in his defense of the Department of Justice (“DOJ”) case, </w:t>
      </w:r>
      <w:r>
        <w:rPr>
          <w:rFonts w:ascii="Times New Roman;serif" w:hAnsi="Times New Roman;serif"/>
          <w:b w:val="false"/>
          <w:i/>
          <w:color w:val="000000"/>
          <w:sz w:val="20"/>
        </w:rPr>
        <w:t>U.S. v. Winemaster et al.</w:t>
      </w:r>
      <w:r>
        <w:rPr>
          <w:color w:val="000000"/>
        </w:rPr>
        <w:t xml:space="preserve"> </w:t>
      </w:r>
      <w:r>
        <w:rPr>
          <w:rFonts w:ascii="Times New Roman;serif" w:hAnsi="Times New Roman;serif"/>
          <w:b w:val="false"/>
          <w:color w:val="000000"/>
          <w:sz w:val="20"/>
        </w:rPr>
        <w:t xml:space="preserve">Since the filing of the complaint, the Company estimates that Travelers has paid approximately $8.8 million to Winemaster’s attorneys, Latham and Watkins, under the Company’s side A policy to settle existing outstanding attorney’s fees. Travelers is seeking reimbursement from the Company for those advances pursuant to the terms of the side A policy. In October 2021, the Company and Winemaster entered into a Stipulation and Advancement Order to handle all future attorney’s fees relating to his DOJ and SEC cases, to the extent not reimbursed by Travelers under the side A policy. In June 2024, the Company reached a settlement with Travelers for $4.5 million, resulting in a $4.3 million gain that was recorded within </w:t>
      </w: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 xml:space="preserve">expenses on the Consolidated Statements of Income. As of both June 30, 2026 and December 31, 2025, the Company recorded the aforementioned settlement liability within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 xml:space="preserve">with the current portion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 xml:space="preserve">on the Consolidated Balance Sheets. Refer to Note 8. </w:t>
      </w:r>
      <w:r>
        <w:rPr>
          <w:rFonts w:ascii="Times New Roman;serif" w:hAnsi="Times New Roman;serif"/>
          <w:b w:val="false"/>
          <w:i/>
          <w:color w:val="000000"/>
          <w:sz w:val="20"/>
        </w:rPr>
        <w:t xml:space="preserve">Other Non-Current Liabilities </w:t>
      </w:r>
      <w:r>
        <w:rPr>
          <w:rFonts w:ascii="Times New Roman;serif" w:hAnsi="Times New Roman;serif"/>
          <w:b w:val="false"/>
          <w:color w:val="000000"/>
          <w:sz w:val="20"/>
        </w:rPr>
        <w:t xml:space="preserve">for additional information related to this settlement.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Securities Class Action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20, 2026, a putative securities class action complaint captioned Dishion v. Power Solutions International, Inc., et al., Case No. 1:26-cv-03149, was filed in the United States District Court for the Northern District of Illinois against Power Solutions International, Inc. and certain of its executive officers. The complaint purports to assert claims on behalf of persons and entities that purchased or otherwise acquired the Company’s common stock between May 8, 2025 and March 2, 2026, inclusive, and alleges violations of Sections 10(b) and 20(a) of the Securities Exchange Act of 1934 and Rule 10b-5 promulgated thereunder based on alleged misstatements and omissions concerning the Company’s business, operations and prospects, including matters relating to demand, manufacturing capacity and operating inefficiencies for data center product lines. The complaint seeks damages and other relief. The Company believes the claims are without merit and intends to defend the action vigorously. The matter is at an early stage, and the Company cannot reasonably estimate a possible loss or range of loss at this time.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120" w:after="120"/>
        <w:jc w:val="both"/>
        <w:rPr/>
      </w:pPr>
      <w:r>
        <w:rPr>
          <w:rFonts w:ascii="Times New Roman;serif" w:hAnsi="Times New Roman;serif"/>
          <w:b w:val="false"/>
          <w:color w:val="000000"/>
          <w:sz w:val="20"/>
        </w:rPr>
        <w:t>The Company has entered into indemnification agreements with each of its directors and executive officers that, subject to the terms and conditions of such agreem</w:t>
      </w:r>
      <w:r>
        <w:rPr>
          <w:rFonts w:ascii="Times New Roman;serif" w:hAnsi="Times New Roman;serif"/>
          <w:b w:val="false"/>
          <w:color w:val="000000"/>
          <w:sz w:val="20"/>
          <w:shd w:fill="FFFFFF" w:val="clear"/>
        </w:rPr>
        <w:t xml:space="preserve">ents and applicable law, provide for indemnification and advancement of expenses to the fullest extent permitted by Delaware law. The Company holds a directors’ and officers’ liability insurance policy, which is renewed annually and currently expires in July 2027. The insurance policy includes standard exclusions including for any previously pending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Commitments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At June 30, 2026, the Company had four outstanding letters of credit totaling </w:t>
      </w:r>
      <w:r>
        <w:rPr>
          <w:rFonts w:ascii="Times New Roman;serif" w:hAnsi="Times New Roman;serif"/>
          <w:b w:val="false"/>
          <w:color w:val="000000"/>
          <w:sz w:val="20"/>
        </w:rPr>
        <w:t>$2.5 million</w:t>
      </w:r>
      <w:r>
        <w:rPr>
          <w:rFonts w:ascii="Times New Roman;serif" w:hAnsi="Times New Roman;serif"/>
          <w:b w:val="false"/>
          <w:color w:val="000000"/>
          <w:sz w:val="20"/>
          <w:shd w:fill="FFFFFF" w:val="clear"/>
        </w:rPr>
        <w:t xml:space="preserve">. The letters of credit primarily serve as collateral for the Company for certain facility leases and insurance policies. As discussed in Note 1. </w:t>
      </w:r>
      <w:r>
        <w:rPr>
          <w:rFonts w:ascii="Times New Roman;serif" w:hAnsi="Times New Roman;serif"/>
          <w:b w:val="false"/>
          <w:i/>
          <w:color w:val="000000"/>
          <w:sz w:val="20"/>
          <w:shd w:fill="FFFFFF" w:val="clear"/>
        </w:rPr>
        <w:t>Summary of Significant Accounting Policies and Other Information</w:t>
      </w:r>
      <w:r>
        <w:rPr>
          <w:rFonts w:ascii="Times New Roman;serif" w:hAnsi="Times New Roman;serif"/>
          <w:b w:val="false"/>
          <w:color w:val="000000"/>
          <w:sz w:val="20"/>
          <w:shd w:fill="FFFFFF" w:val="clear"/>
        </w:rPr>
        <w:t xml:space="preserve">, the Company had restricted cash of $4.5 million as of June 30, 2026, related to these letters of credit and cash held in escrow due to a customer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12.    Income Taxes </w:t>
      </w:r>
    </w:p>
    <w:p>
      <w:pPr>
        <w:pStyle w:val="TextBody"/>
        <w:bidi w:val="0"/>
        <w:spacing w:lineRule="auto" w:line="288" w:before="120" w:after="120"/>
        <w:jc w:val="both"/>
        <w:rPr/>
      </w:pPr>
      <w:r>
        <w:rPr>
          <w:rFonts w:ascii="Times New Roman;serif" w:hAnsi="Times New Roman;serif"/>
          <w:b w:val="false"/>
          <w:color w:val="000000"/>
          <w:sz w:val="20"/>
        </w:rPr>
        <w:t xml:space="preserve">The Company accounts for income taxes in accordance with ASC Topic 740,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Income tax expense for interim periods is computed using an estimated annual effective tax rate (“AETR”), applied to year to date ordinary income, adjusted for discrete items recognized in the period incurred. The Company’s operations are located in the United States, therefore, the tax footnote includes only federal and state domestic tax obligations.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recorded income tax expense of $5.6 million and $8.0 million,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Qualitative Explanation of Effective Tax Rate Drivers</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Company’s effective tax rate wa</w:t>
      </w:r>
      <w:r>
        <w:rPr>
          <w:rFonts w:ascii="Times New Roman;serif" w:hAnsi="Times New Roman;serif"/>
          <w:b w:val="false"/>
          <w:color w:val="000000"/>
          <w:sz w:val="20"/>
        </w:rPr>
        <w:t>s 25.0% for</w:t>
      </w:r>
      <w:r>
        <w:rPr>
          <w:color w:val="000000"/>
          <w:shd w:fill="FFFFFF" w:val="clear"/>
        </w:rPr>
        <w:t xml:space="preserve"> </w:t>
      </w:r>
      <w:r>
        <w:rPr>
          <w:rFonts w:ascii="Times New Roman;serif" w:hAnsi="Times New Roman;serif"/>
          <w:b w:val="false"/>
          <w:color w:val="000000"/>
          <w:sz w:val="20"/>
          <w:shd w:fill="FFFFFF" w:val="clear"/>
        </w:rPr>
        <w:t>both the three and six months ended June 30, 2026</w:t>
      </w:r>
      <w:r>
        <w:rPr>
          <w:rFonts w:ascii="Times New Roman;serif" w:hAnsi="Times New Roman;serif"/>
          <w:b w:val="false"/>
          <w:color w:val="000000"/>
          <w:sz w:val="20"/>
        </w:rPr>
        <w:t>, compared to an effective tax rate for the three and six months ended June 30, 2025 of (64.8)% and (30.3)%, respectively</w:t>
      </w:r>
      <w:r>
        <w:rPr>
          <w:rFonts w:ascii="Times New Roman;serif" w:hAnsi="Times New Roman;serif"/>
          <w:b w:val="false"/>
          <w:color w:val="000000"/>
          <w:sz w:val="20"/>
          <w:shd w:fill="FFFFFF" w:val="clear"/>
        </w:rPr>
        <w:t>. The change in the effective tax rate from the prior year second quarter was primarily attributable to t</w:t>
      </w:r>
      <w:r>
        <w:rPr>
          <w:rFonts w:ascii="Times New Roman;serif" w:hAnsi="Times New Roman;serif"/>
          <w:b w:val="false"/>
          <w:color w:val="000000"/>
          <w:sz w:val="20"/>
        </w:rPr>
        <w:t>he release of substantially all of the Company's valuation allowance during the second quarter of 2025, which reflected the Company's improved profitability.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Deferred Income Taxes</w:t>
      </w:r>
    </w:p>
    <w:p>
      <w:pPr>
        <w:pStyle w:val="TextBody"/>
        <w:bidi w:val="0"/>
        <w:spacing w:lineRule="auto" w:line="288" w:before="120" w:after="120"/>
        <w:jc w:val="both"/>
        <w:rPr/>
      </w:pPr>
      <w:r>
        <w:rPr>
          <w:rFonts w:ascii="Times New Roman;serif" w:hAnsi="Times New Roman;serif"/>
          <w:b w:val="false"/>
          <w:color w:val="000000"/>
          <w:sz w:val="20"/>
        </w:rPr>
        <w:t xml:space="preserve">There were no material changes in the Company’s deferred tax assets or liabilities during the three and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other than those resulting from normal interim period activity. Refer to the Company’s consolidated financial statements as of and for the year ended December 31, 2025 for additional information regarding the components of deferred tax assets and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Valuation Allowance</w:t>
      </w:r>
    </w:p>
    <w:p>
      <w:pPr>
        <w:pStyle w:val="TextBody"/>
        <w:bidi w:val="0"/>
        <w:spacing w:lineRule="auto" w:line="288" w:before="120" w:after="12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Company maintained a valuation allowance of approximately $0.2 million. The valuation allowance relates to a capital loss carryforward.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120" w:after="120"/>
        <w:jc w:val="both"/>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amount of unrecognized tax benefits, that if recognized, would affect the annual effective tax rate was approximately $0.6 million and $1.3 million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 xml:space="preserve">December 31, 2025, respectively. The Company recognizes interest and penalties related to unrecognized tax benefits in income tax expense. For the three and six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 interest and penalties were not material.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Taxes Paid</w:t>
      </w:r>
    </w:p>
    <w:p>
      <w:pPr>
        <w:pStyle w:val="TextBody"/>
        <w:bidi w:val="0"/>
        <w:spacing w:lineRule="auto" w:line="268" w:before="0" w:after="0"/>
        <w:jc w:val="both"/>
        <w:rPr/>
      </w:pPr>
      <w:r>
        <w:rPr>
          <w:rFonts w:ascii="Times New Roman;serif" w:hAnsi="Times New Roman;serif"/>
          <w:b w:val="false"/>
          <w:color w:val="000000"/>
          <w:sz w:val="20"/>
        </w:rPr>
        <w:t xml:space="preserve">Income taxes paid, net of refunds, during the three and six months ended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were $1.0 million and $0.7 million, respectively, consisting entirely of state income taxes</w:t>
      </w:r>
      <w:r>
        <w:rPr>
          <w:rFonts w:ascii="Times New Roman;serif" w:hAnsi="Times New Roman;serif"/>
          <w:b w:val="false"/>
          <w:color w:val="000000"/>
          <w:sz w:val="20"/>
          <w:shd w:fill="FFFFFF" w:val="clear"/>
        </w:rPr>
        <w:t xml:space="preserv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Open Tax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remains subject to examination by U.S. federal and state taxing authorities generally for tax years 2017 through 2026. Management does not believe the resolution of any open matters will have a material adverse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shd w:fill="FFFFFF" w:val="clear"/>
        </w:rPr>
        <w:t>Note 13.</w:t>
      </w:r>
      <w:r>
        <w:rPr>
          <w:color w:val="000000"/>
        </w:rPr>
        <w:t>    </w:t>
      </w:r>
      <w:r>
        <w:rPr>
          <w:rFonts w:ascii="Times New Roman;serif" w:hAnsi="Times New Roman;serif"/>
          <w:b/>
          <w:color w:val="000000"/>
          <w:sz w:val="20"/>
          <w:shd w:fill="FFFFFF" w:val="clear"/>
        </w:rPr>
        <w:t>Stockholders’ Equity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Common and Treasury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shares of Common and Treasury Stock are as follows:</w:t>
      </w:r>
    </w:p>
    <w:tbl>
      <w:tblPr>
        <w:tblW w:w="9874" w:type="dxa"/>
        <w:jc w:val="left"/>
        <w:tblInd w:w="0" w:type="dxa"/>
        <w:tblLayout w:type="fixed"/>
        <w:tblCellMar>
          <w:top w:w="28" w:type="dxa"/>
          <w:left w:w="28" w:type="dxa"/>
          <w:bottom w:w="28" w:type="dxa"/>
          <w:right w:w="28" w:type="dxa"/>
        </w:tblCellMar>
      </w:tblPr>
      <w:tblGrid>
        <w:gridCol w:w="949"/>
        <w:gridCol w:w="837"/>
        <w:gridCol w:w="839"/>
        <w:gridCol w:w="109"/>
        <w:gridCol w:w="109"/>
        <w:gridCol w:w="109"/>
        <w:gridCol w:w="649"/>
        <w:gridCol w:w="649"/>
        <w:gridCol w:w="651"/>
        <w:gridCol w:w="109"/>
        <w:gridCol w:w="109"/>
        <w:gridCol w:w="109"/>
        <w:gridCol w:w="619"/>
        <w:gridCol w:w="619"/>
        <w:gridCol w:w="621"/>
        <w:gridCol w:w="109"/>
        <w:gridCol w:w="109"/>
        <w:gridCol w:w="109"/>
        <w:gridCol w:w="719"/>
        <w:gridCol w:w="719"/>
        <w:gridCol w:w="1022"/>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Outstanding</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23,041 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shares issued for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23,050 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14.    Stock-Based Compensation</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On March 6, 2026, the Company’s Board of Directors (the “Board”) approved the Power Solutions International, Inc. 2026 Phantom Unit Plan (the “Plan”). The Plan is designed to incentivize eligible service providers of the Company by granting cash-settled awards (“Phantom Units”) tied to the fair market value of the Company’s common stock. The Plan is administered by the Board or a committee thereof, which has full discretionary authority to grant awards, determine vesting schedules, interpret the Plan, and make all related determinations. Awards are subject to the Company’s clawback and recoupment policies, including any policies adopted to comply with the Dodd-Frank Wall Street Reform and Consumer Protection 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Each Phantom Unit represents an unfunded and unsecured obligation of the Company to make a cash payment to the participant equal to the average fair market value per share of the Company’s common stock over the thirty (30) trading days immediately preceding the applicable vesting date. The Phantom Units do not represent actual equity interests in the Company, carry no voting rights, and do not entitle participants to dividends. The number of Phantom Units subject to each award is determined by dividing the dollar value of the award on the grant date by the average fair market value per share of the Company’s common stock over the thirty (30) trading days immediately preceding the grant date. Because settlement amounts are determined by reference to the average fair market value per share of the Company’s common stock over the thirty (30) trading days immediately preceding each applicable vesting date, the actual amounts payable under the Plan are not determinable at the time of grant.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Phantom Units vest in three equal annual installments, with the first installment vesting on the vesting commencement date and the remaining installments vesting on each of the first and second anniversaries of the vesting commencement date, subject to the participant’s continuous service with the Company or its affiliates. Accelerated vesting of all unvested Phantom Units occurs upon (i) termination of service due to death or disability, (ii) a change in control in which the acquirer does not assume or substitute the outstanding awards, or (iii) an involuntary termination or resignation for good reason within twenty-four (24) months following a change in control in which the awards were assumed or substituted. Settlement is made in a lump sum cash payment within sixty (60) days following the applicable vesting date. The Company granted 17,435 units, 136 units were forfeited, and the corresponding expense was insignificant for the period March 6, 2026 through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shd w:fill="FFFFFF" w:val="clear"/>
        </w:rPr>
        <w:t>Note 15.</w:t>
      </w:r>
      <w:r>
        <w:rPr>
          <w:color w:val="000000"/>
        </w:rPr>
        <w:t xml:space="preserve"> </w:t>
      </w:r>
      <w:r>
        <w:rPr>
          <w:rFonts w:ascii="Times New Roman;serif" w:hAnsi="Times New Roman;serif"/>
          <w:b/>
          <w:color w:val="000000"/>
          <w:sz w:val="20"/>
          <w:shd w:fill="FFFFFF" w:val="clear"/>
        </w:rPr>
        <w:t>Earnings Per Share</w:t>
      </w:r>
    </w:p>
    <w:p>
      <w:pPr>
        <w:pStyle w:val="TextBody"/>
        <w:bidi w:val="0"/>
        <w:spacing w:lineRule="auto" w:line="288" w:before="120" w:after="120"/>
        <w:jc w:val="both"/>
        <w:rPr/>
      </w:pPr>
      <w:r>
        <w:rPr>
          <w:rFonts w:ascii="Times New Roman;serif" w:hAnsi="Times New Roman;serif"/>
          <w:b w:val="false"/>
          <w:color w:val="000000"/>
          <w:sz w:val="20"/>
        </w:rPr>
        <w:t xml:space="preserve">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w:t>
      </w:r>
      <w:r>
        <w:rPr>
          <w:rFonts w:ascii="Times New Roman;serif" w:hAnsi="Times New Roman;serif"/>
          <w:b w:val="false"/>
          <w:color w:val="000000"/>
          <w:sz w:val="20"/>
          <w:shd w:fill="FFFFFF" w:val="clear"/>
        </w:rPr>
        <w:t>earnings</w:t>
      </w:r>
      <w:r>
        <w:rPr>
          <w:color w:val="000000"/>
        </w:rPr>
        <w:t xml:space="preserve"> </w:t>
      </w:r>
      <w:r>
        <w:rPr>
          <w:rFonts w:ascii="Times New Roman;serif" w:hAnsi="Times New Roman;serif"/>
          <w:b w:val="false"/>
          <w:color w:val="000000"/>
          <w:sz w:val="20"/>
        </w:rPr>
        <w:t xml:space="preserve">per share for the three and six months ended June 30, 2026 and 2025. </w:t>
      </w:r>
    </w:p>
    <w:p>
      <w:pPr>
        <w:pStyle w:val="TextBody"/>
        <w:bidi w:val="0"/>
        <w:spacing w:lineRule="auto" w:line="288" w:before="0" w:after="0"/>
        <w:jc w:val="both"/>
        <w:rPr/>
      </w:pPr>
      <w:r>
        <w:rPr>
          <w:rFonts w:ascii="Times New Roman;serif" w:hAnsi="Times New Roman;serif"/>
          <w:b w:val="false"/>
          <w:color w:val="000000"/>
          <w:sz w:val="20"/>
        </w:rPr>
        <w:t xml:space="preserve">The Company issued SARs and RSAs, all of which have been evaluated for their potentially dilutive effect under the treasury stock method. See Note 13.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in the Company’s 2025 Annual Report for additional information on the SARs and the RSAs.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computations of basic and diluted earnings per share are as follows:</w:t>
      </w:r>
    </w:p>
    <w:tbl>
      <w:tblPr>
        <w:tblW w:w="10205" w:type="dxa"/>
        <w:jc w:val="center"/>
        <w:tblInd w:w="0" w:type="dxa"/>
        <w:tblLayout w:type="fixed"/>
        <w:tblCellMar>
          <w:top w:w="28" w:type="dxa"/>
          <w:left w:w="28" w:type="dxa"/>
          <w:bottom w:w="28" w:type="dxa"/>
          <w:right w:w="28" w:type="dxa"/>
        </w:tblCellMar>
      </w:tblPr>
      <w:tblGrid>
        <w:gridCol w:w="1534"/>
        <w:gridCol w:w="1289"/>
        <w:gridCol w:w="1293"/>
        <w:gridCol w:w="259"/>
        <w:gridCol w:w="856"/>
        <w:gridCol w:w="143"/>
        <w:gridCol w:w="143"/>
        <w:gridCol w:w="143"/>
        <w:gridCol w:w="143"/>
        <w:gridCol w:w="259"/>
        <w:gridCol w:w="856"/>
        <w:gridCol w:w="143"/>
        <w:gridCol w:w="109"/>
        <w:gridCol w:w="109"/>
        <w:gridCol w:w="109"/>
        <w:gridCol w:w="242"/>
        <w:gridCol w:w="799"/>
        <w:gridCol w:w="134"/>
        <w:gridCol w:w="134"/>
        <w:gridCol w:w="134"/>
        <w:gridCol w:w="134"/>
        <w:gridCol w:w="242"/>
        <w:gridCol w:w="799"/>
        <w:gridCol w:w="199"/>
      </w:tblGrid>
      <w:tr>
        <w:trPr/>
        <w:tc>
          <w:tcPr>
            <w:tcW w:w="153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basis)</w:t>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Numerator:</w:t>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 basic and diluted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Shares used in computing net income per share:</w:t>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 – diluted</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23,072</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23,067</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23,067</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23,064</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of common stock – basic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of common stock – diluted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40" w:after="120"/>
        <w:jc w:val="both"/>
        <w:rPr/>
      </w:pPr>
      <w:r>
        <w:rPr>
          <w:rFonts w:ascii="Times New Roman;serif" w:hAnsi="Times New Roman;serif"/>
          <w:b w:val="false"/>
          <w:color w:val="000000"/>
          <w:sz w:val="20"/>
        </w:rPr>
        <w:t>The aggregate number of shares excluded from the diluted earnings per share calculations, because they would have been anti-diluti</w:t>
      </w:r>
      <w:r>
        <w:rPr>
          <w:rFonts w:ascii="Times New Roman;serif" w:hAnsi="Times New Roman;serif"/>
          <w:b w:val="false"/>
          <w:color w:val="000000"/>
          <w:sz w:val="20"/>
          <w:shd w:fill="FFFFFF" w:val="clear"/>
        </w:rPr>
        <w:t xml:space="preserve">ve, were none for both the three months ended </w:t>
      </w:r>
      <w:r>
        <w:rPr>
          <w:rFonts w:ascii="Times New Roman;serif" w:hAnsi="Times New Roman;serif"/>
          <w:b w:val="false"/>
          <w:color w:val="000000"/>
          <w:sz w:val="20"/>
        </w:rPr>
        <w:t>June 30, 2026 and 2025 and none</w:t>
      </w:r>
      <w:r>
        <w:rPr>
          <w:color w:val="000000"/>
          <w:shd w:fill="FFFFFF" w:val="clear"/>
        </w:rPr>
        <w:t xml:space="preserve"> </w:t>
      </w:r>
      <w:r>
        <w:rPr>
          <w:rFonts w:ascii="Times New Roman;serif" w:hAnsi="Times New Roman;serif"/>
          <w:b w:val="false"/>
          <w:color w:val="000000"/>
          <w:sz w:val="20"/>
          <w:shd w:fill="FFFFFF" w:val="clear"/>
        </w:rPr>
        <w:t xml:space="preserve">for both the </w:t>
      </w:r>
      <w:r>
        <w:rPr>
          <w:rFonts w:ascii="Times New Roman;serif" w:hAnsi="Times New Roman;serif"/>
          <w:b w:val="false"/>
          <w:color w:val="000000"/>
          <w:sz w:val="20"/>
        </w:rPr>
        <w:t>six months ended June 30, 2026 and 2025, respectively. For the three and six months ended June 30, 2026 and 2025, SARs and RSAs were not included in the diluted earnings per share calculations as they would have been anti-dilutive because the Company’s average stock price was less than or equal to the exercise price of the SARs or the grant price of the RSAs.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16.    Related Party Transactions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Weichai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4. </w:t>
      </w:r>
      <w:r>
        <w:rPr>
          <w:rFonts w:ascii="Times New Roman;serif" w:hAnsi="Times New Roman;serif"/>
          <w:b w:val="false"/>
          <w:i/>
          <w:color w:val="000000"/>
          <w:sz w:val="20"/>
        </w:rPr>
        <w:t>Weichai Transactions</w:t>
      </w:r>
      <w:r>
        <w:rPr>
          <w:color w:val="000000"/>
        </w:rPr>
        <w:t xml:space="preserve"> </w:t>
      </w:r>
      <w:r>
        <w:rPr>
          <w:rFonts w:ascii="Times New Roman;serif" w:hAnsi="Times New Roman;serif"/>
          <w:b w:val="false"/>
          <w:color w:val="000000"/>
          <w:sz w:val="20"/>
        </w:rPr>
        <w:t>for information regarding the Weichai Shareholder’s Loan Agreement and Collaboration Agreement</w:t>
      </w:r>
      <w:r>
        <w:rPr>
          <w:rFonts w:ascii="Times New Roman;serif" w:hAnsi="Times New Roman;serif"/>
          <w:b/>
          <w:color w:val="000000"/>
          <w:sz w:val="20"/>
        </w:rPr>
        <w:t>.</w:t>
      </w:r>
      <w:r>
        <w:rPr>
          <w:color w:val="000000"/>
        </w:rPr>
        <w:t xml:space="preserv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Related Party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information regarding the Company’s indemnification obligations related to a former director and officer of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entered into a five-year purchase agreement with SWIEC, for the exclusive purchase and distribution of certain engine and engine components for the fulfillment of a contract with a customer in North America. The supply agreement includes annual minimum requirements of products ordered during the initial term. If all minimum targets are met within the first three-year periods, the contract may be negotiated to extend beyond the five-year initial term. The annual minimum requirements are as follows: </w:t>
      </w:r>
    </w:p>
    <w:tbl>
      <w:tblPr>
        <w:tblW w:w="5351"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67"/>
        <w:gridCol w:w="1758"/>
        <w:gridCol w:w="370"/>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Annual minimum requirements</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290,108 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entered into a MOR agreement with Weichai. The MOR agreement requires the Company to pay Weichai a fee of 1.75% of gross revenues generated by the sale of certain engines manufactured by Weichai. Fees are due on a quarterly basis. The second quarter 2026 fee is $0.1 million. The MOR agreement expires in December 2029.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color w:val="000000"/>
          <w:sz w:val="20"/>
        </w:rPr>
        <w:t>Note 17.</w:t>
      </w:r>
      <w:r>
        <w:rPr>
          <w:color w:val="000000"/>
        </w:rPr>
        <w:t xml:space="preserve"> </w:t>
      </w:r>
      <w:r>
        <w:rPr>
          <w:rFonts w:ascii="Times New Roman;serif" w:hAnsi="Times New Roman;serif"/>
          <w:b/>
          <w:color w:val="000000"/>
          <w:sz w:val="20"/>
        </w:rPr>
        <w:t>Segment Reporting</w:t>
      </w:r>
    </w:p>
    <w:p>
      <w:pPr>
        <w:pStyle w:val="TextBody"/>
        <w:bidi w:val="0"/>
        <w:spacing w:lineRule="auto" w:line="288" w:before="120" w:after="120"/>
        <w:jc w:val="both"/>
        <w:rPr/>
      </w:pPr>
      <w:r>
        <w:rPr>
          <w:rFonts w:ascii="Times New Roman;serif" w:hAnsi="Times New Roman;serif"/>
          <w:b w:val="false"/>
          <w:color w:val="000000"/>
          <w:sz w:val="20"/>
        </w:rPr>
        <w:t xml:space="preserve">Operating segments are defined as components of a business that can earn revenues and incur expenses for which discrete financial information is available that is reviewed on a regular basis by the chief operating decision maker (“CODM”). The Company operates </w:t>
      </w:r>
      <w:r>
        <w:rPr>
          <w:rFonts w:ascii="Times New Roman;serif" w:hAnsi="Times New Roman;serif"/>
          <w:b w:val="false"/>
          <w:color w:val="000000"/>
          <w:sz w:val="20"/>
          <w:shd w:fill="FFFFFF" w:val="clear"/>
        </w:rPr>
        <w:t xml:space="preserve">as one business and geographic operating and reportable segment. </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Chief Operating Decision Maker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its Chief Executive Officer (“CEO”). The CEO oversees the strategic planning and direction of the Company, and the CEO has final approval in assessing the Company’s performance and allocating its resources.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Identification of Reportable Segment</w:t>
      </w:r>
    </w:p>
    <w:p>
      <w:pPr>
        <w:pStyle w:val="TextBody"/>
        <w:bidi w:val="0"/>
        <w:spacing w:lineRule="auto" w:line="288" w:before="120" w:after="120"/>
        <w:jc w:val="both"/>
        <w:rPr/>
      </w:pPr>
      <w:r>
        <w:rPr>
          <w:rFonts w:ascii="Times New Roman;serif" w:hAnsi="Times New Roman;serif"/>
          <w:b w:val="false"/>
          <w:color w:val="000000"/>
          <w:sz w:val="20"/>
        </w:rPr>
        <w:t xml:space="preserve">The Company’s single reportable segment derives revenues primarily in North America from customers by designing, engineering, manufacturing, marketing and selling a broad range of advanced, emission-certified engines and power systems that are powered by a wide variety of clean, alternative fuels, including natural gas, propane, and biofuels, as well as gasoline and diesel options, within the power systems, industrial and transportation end markets. Revenue is attributed to geographic areas based on the country of sale. The sources of external revenue by end market and geographic area are previously disclosed in Note 3. </w:t>
      </w:r>
      <w:r>
        <w:rPr>
          <w:rFonts w:ascii="Times New Roman;serif" w:hAnsi="Times New Roman;serif"/>
          <w:b w:val="false"/>
          <w:i/>
          <w:color w:val="000000"/>
          <w:sz w:val="20"/>
        </w:rPr>
        <w:t>Revenue</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evaluated the basis for the CODM's decisions about the allocation of Company resources as well as the basis for the CODM's assessments of the evaluation of the Company's (segment) performance. Specifically, the Company evaluated the financial information that is generally provided and / or is available to the CODM. The Company’s CODM reviews consolidated statements of income to make decisions, allocate resources and assess performance.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Measurement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and decides how to allocate resources primarily using consolidated revenue by end market and consolidated net income (loss). The CODM uses consolidated net income (loss) to monitor budget and forecast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 actual results. The CODM reviews cash, accounts receivable, inventory, accounts payable, and total debt; however other long-lived asset information is not reviewed by the CODM. </w:t>
      </w:r>
    </w:p>
    <w:p>
      <w:pPr>
        <w:pStyle w:val="TextBody"/>
        <w:bidi w:val="0"/>
        <w:spacing w:lineRule="auto" w:line="288" w:before="120" w:after="120"/>
        <w:jc w:val="both"/>
        <w:rPr/>
      </w:pPr>
      <w:r>
        <w:rPr>
          <w:rFonts w:ascii="Times New Roman;serif" w:hAnsi="Times New Roman;serif"/>
          <w:b w:val="false"/>
          <w:color w:val="000000"/>
          <w:sz w:val="20"/>
        </w:rPr>
        <w:t xml:space="preserve">The accounting policies of the Company’s single reportable segment are the same as those described in the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The measure of segment assets is consolidated total assets presented in the Company’s Consolidated Balance Sheets. Note 1 </w:t>
      </w:r>
      <w:r>
        <w:rPr>
          <w:rFonts w:ascii="Times New Roman;serif" w:hAnsi="Times New Roman;serif"/>
          <w:b w:val="false"/>
          <w:i/>
          <w:color w:val="000000"/>
          <w:sz w:val="20"/>
        </w:rPr>
        <w:t>Concentrations</w:t>
      </w:r>
      <w:r>
        <w:rPr>
          <w:color w:val="000000"/>
        </w:rPr>
        <w:t xml:space="preserve"> </w:t>
      </w:r>
      <w:r>
        <w:rPr>
          <w:rFonts w:ascii="Times New Roman;serif" w:hAnsi="Times New Roman;serif"/>
          <w:b w:val="false"/>
          <w:color w:val="000000"/>
          <w:sz w:val="20"/>
        </w:rPr>
        <w:t xml:space="preserve">discloses customers individually accounting for more than 10% of the Company’s consolidated net sales.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Significant Expenses</w:t>
      </w:r>
    </w:p>
    <w:p>
      <w:pPr>
        <w:pStyle w:val="TextBody"/>
        <w:bidi w:val="0"/>
        <w:spacing w:lineRule="auto" w:line="268" w:before="0" w:after="0"/>
        <w:jc w:val="left"/>
        <w:rPr/>
      </w:pPr>
      <w:r>
        <w:rPr>
          <w:rFonts w:ascii="Times New Roman;serif" w:hAnsi="Times New Roman;serif"/>
          <w:b w:val="false"/>
          <w:color w:val="000000"/>
          <w:sz w:val="20"/>
        </w:rPr>
        <w:t xml:space="preserve">Significant segment expenses are presented in the </w:t>
      </w:r>
      <w:r>
        <w:rPr>
          <w:rFonts w:ascii="Times New Roman;serif" w:hAnsi="Times New Roman;serif"/>
          <w:b w:val="false"/>
          <w:i/>
          <w:color w:val="000000"/>
          <w:sz w:val="20"/>
        </w:rPr>
        <w:t>Consolidated Statements of Income</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includes forward-looking statements about the Company’s business and consolidated results of operations for the three and six months ended June 30, 2026 and 2025, including discussions about management’s expectations for the Company’s business. These statements represent projections, beliefs and expectations based on current circumstances and conditions and are made in light of recent events and trends.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See “Forward-Looking Statements” in this Quarterly Report. The following discussion should also be read in conjunction with the Company’s unaudited consolidated financial statements and the related Notes included in this Quarterly Report.</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Executive Overview</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12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by geographic area and by end market for the three and six months ended June 30, 2026 and 2025 are presented below:</w:t>
      </w:r>
    </w:p>
    <w:tbl>
      <w:tblPr>
        <w:tblW w:w="10205" w:type="dxa"/>
        <w:jc w:val="center"/>
        <w:tblInd w:w="0" w:type="dxa"/>
        <w:tblLayout w:type="fixed"/>
        <w:tblCellMar>
          <w:top w:w="28" w:type="dxa"/>
          <w:left w:w="28" w:type="dxa"/>
          <w:bottom w:w="28" w:type="dxa"/>
          <w:right w:w="28" w:type="dxa"/>
        </w:tblCellMar>
      </w:tblPr>
      <w:tblGrid>
        <w:gridCol w:w="589"/>
        <w:gridCol w:w="491"/>
        <w:gridCol w:w="450"/>
        <w:gridCol w:w="109"/>
        <w:gridCol w:w="109"/>
        <w:gridCol w:w="109"/>
        <w:gridCol w:w="196"/>
        <w:gridCol w:w="751"/>
        <w:gridCol w:w="109"/>
        <w:gridCol w:w="242"/>
        <w:gridCol w:w="194"/>
        <w:gridCol w:w="337"/>
        <w:gridCol w:w="109"/>
        <w:gridCol w:w="109"/>
        <w:gridCol w:w="109"/>
        <w:gridCol w:w="196"/>
        <w:gridCol w:w="751"/>
        <w:gridCol w:w="109"/>
        <w:gridCol w:w="242"/>
        <w:gridCol w:w="194"/>
        <w:gridCol w:w="337"/>
        <w:gridCol w:w="109"/>
        <w:gridCol w:w="109"/>
        <w:gridCol w:w="109"/>
        <w:gridCol w:w="196"/>
        <w:gridCol w:w="751"/>
        <w:gridCol w:w="109"/>
        <w:gridCol w:w="242"/>
        <w:gridCol w:w="194"/>
        <w:gridCol w:w="337"/>
        <w:gridCol w:w="109"/>
        <w:gridCol w:w="109"/>
        <w:gridCol w:w="109"/>
        <w:gridCol w:w="196"/>
        <w:gridCol w:w="751"/>
        <w:gridCol w:w="109"/>
        <w:gridCol w:w="234"/>
        <w:gridCol w:w="202"/>
        <w:gridCol w:w="388"/>
      </w:tblGrid>
      <w:tr>
        <w:trPr/>
        <w:tc>
          <w:tcPr>
            <w:tcW w:w="5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152,544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191,907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281,136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327,353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445"/>
        <w:gridCol w:w="392"/>
        <w:gridCol w:w="367"/>
        <w:gridCol w:w="109"/>
        <w:gridCol w:w="109"/>
        <w:gridCol w:w="109"/>
        <w:gridCol w:w="196"/>
        <w:gridCol w:w="751"/>
        <w:gridCol w:w="109"/>
        <w:gridCol w:w="243"/>
        <w:gridCol w:w="193"/>
        <w:gridCol w:w="417"/>
        <w:gridCol w:w="109"/>
        <w:gridCol w:w="109"/>
        <w:gridCol w:w="109"/>
        <w:gridCol w:w="196"/>
        <w:gridCol w:w="751"/>
        <w:gridCol w:w="109"/>
        <w:gridCol w:w="243"/>
        <w:gridCol w:w="193"/>
        <w:gridCol w:w="417"/>
        <w:gridCol w:w="109"/>
        <w:gridCol w:w="109"/>
        <w:gridCol w:w="109"/>
        <w:gridCol w:w="196"/>
        <w:gridCol w:w="751"/>
        <w:gridCol w:w="109"/>
        <w:gridCol w:w="243"/>
        <w:gridCol w:w="193"/>
        <w:gridCol w:w="417"/>
        <w:gridCol w:w="109"/>
        <w:gridCol w:w="109"/>
        <w:gridCol w:w="109"/>
        <w:gridCol w:w="196"/>
        <w:gridCol w:w="751"/>
        <w:gridCol w:w="109"/>
        <w:gridCol w:w="234"/>
        <w:gridCol w:w="202"/>
        <w:gridCol w:w="47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152,544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191,907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281,136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327,353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0"/>
        <w:jc w:val="center"/>
        <w:rPr/>
      </w:pPr>
      <w:r>
        <w:rPr/>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Recent Trends and Business Outlook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Sales declined in the second quarter of 2026, primarily within the power systems end market, reflecting uneven customer ordering patterns and some softness in the oil and gas market. Looking ahead, we expect sales to improve in the second half of the year, driven by demand in data center-related markets, partially offset by ongoing softness in the oil and gas market.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focused on leading the business through a growth phase with a stronger balance sheet while strategically prioritizing products that demonstrate strong demand and higher gross margins. Consistent with those goals, the Company is actively pursuing several initiatives to enhance and expand manufacturing capacity to meet the increasing demand from data center markets. The Company expects that pivoting the focus to these markets will drive net sales growth and profitability. Through expanded capacity and strategic partnerships, management expects this positive trend to continue.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PSI’s operating results are influenced by macroeconomic and geopolitical conditions, including recent softening in the oil and gas sector. In response, the Company is actively managing capital allocation and operating expenses while adjusting commercial strategies.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prioritizing gross profit, the Company is committed to efficiently managing expenses, including streamlining operating expenses and prioritizing certain R&amp;D investments in support of long-term growth objectives. The Company is committed to focusing on growth opportunities and investment while also optimizing its cost structure to enhance growth and profitability, ultimately delivering sustained value to our shareholders.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experienced tariff costs associated with products in its supply chain. The Supreme Court's decision to strike down certain tariffs and the administration's response have created significant uncertainty regarding the scope, rate, duration, and legal authority for future tariffs, as well as the timing, process, and likelihood of recovering tariffs previously paid. We are actively assessing the evolving tariff environment and are committed to proactively mitigating any associated risks through strategic sourcing, pricing actions, and supply chain agility.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potential for continued economic uncertainty and unfavorable oil and gas market dynamics may have a material adverse impact on the levels of future customer orders and the Company’s future business operations, financial condition and liquidity. </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is party to several legal contingencies. Se</w:t>
      </w:r>
      <w:r>
        <w:rPr>
          <w:rFonts w:ascii="Times New Roman;serif" w:hAnsi="Times New Roman;serif"/>
          <w:b w:val="false"/>
          <w:color w:val="000000"/>
          <w:sz w:val="20"/>
        </w:rPr>
        <w:t xml:space="preserve">e </w:t>
      </w:r>
      <w:r>
        <w:rPr>
          <w:rFonts w:ascii="Times New Roman;serif" w:hAnsi="Times New Roman;serif"/>
          <w:b w:val="false"/>
          <w:color w:val="000000"/>
          <w:sz w:val="20"/>
          <w:shd w:fill="FFFFFF" w:val="clear"/>
        </w:rPr>
        <w:t>Note 11.</w:t>
      </w:r>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for further discussion of the Company’s indemnification obligations.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Given ongoing variability in order timing and market conditions, the Company is not providing formal full-year guidance at this time. Based on the current production schedule and information available as of the date of this release, the Company expects second-half 2026 sales to exceed first-half 2026 sales and to be approximately in line with sales in the second half of 2025, as larger Power Systems orders move into production and are recognized as revenue. However, the timing and ultimate volume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those shipments remain subject to customer scheduling, manufacturing throughput, supply chain factors and other variables. There can be no assurance that those orders will translate to a uniformly stronger second half. Continued softness in the oil and gas end market is expected to weigh on quarterly revenue trends, and capacity ramp-up activities at the Company’s Wisconsin operations and their related cost effects on gross margin are expected to continue.</w:t>
      </w:r>
    </w:p>
    <w:p>
      <w:pPr>
        <w:pStyle w:val="TextBody"/>
        <w:bidi w:val="0"/>
        <w:spacing w:lineRule="auto" w:line="288" w:before="120" w:after="120"/>
        <w:jc w:val="both"/>
        <w:rPr/>
      </w:pPr>
      <w:r>
        <w:rPr>
          <w:rFonts w:ascii="Times New Roman;serif" w:hAnsi="Times New Roman;serif"/>
          <w:b/>
          <w:i/>
          <w:color w:val="000000"/>
          <w:sz w:val="20"/>
        </w:rPr>
        <w:t>Strategic Initiatives/Growth Strategies</w:t>
      </w:r>
      <w:r>
        <w:rPr>
          <w:rFonts w:ascii="Times New Roman;serif" w:hAnsi="Times New Roman;serif"/>
          <w:b w:val="false"/>
          <w:color w:val="000000"/>
          <w:sz w:val="20"/>
        </w:rPr>
        <w:t xml:space="preserve">: The Company has initiated various business objectives aimed at improving profitability, streamlining processes, strengthening the business and focusing on achieving growth in higher-return product lines. Central to this plan is the Company’s increased emphasis on power systems product offerings through new product development and investments, in addition to leveraging the Company’s relationship with Weichai. With the recent introduction of numerous natural gas and diesel engines, coupled with its existing strong product lineup, the Company believes that it has a solid foundation to achieve long-term growth, particularly within the power systems market.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pPr>
      <w:r>
        <w:rPr>
          <w:rFonts w:ascii="Times New Roman;serif" w:hAnsi="Times New Roman;serif"/>
          <w:b/>
          <w:i/>
          <w:color w:val="000000"/>
          <w:sz w:val="20"/>
        </w:rPr>
        <w:t xml:space="preserve">Condensed consolidated results of operations for the three and six months ended June 30, 2026, compared with the three and six months ended June 30, 2025 </w:t>
      </w:r>
      <w:r>
        <w:rPr>
          <w:rFonts w:ascii="Times New Roman;serif" w:hAnsi="Times New Roman;serif"/>
          <w:b/>
          <w:color w:val="000000"/>
          <w:sz w:val="20"/>
        </w:rPr>
        <w:t>(UNAUDITED)</w:t>
      </w:r>
      <w:r>
        <w:rPr>
          <w:rFonts w:ascii="Times New Roman;serif" w:hAnsi="Times New Roman;serif"/>
          <w:b w:val="false"/>
          <w:color w:val="000000"/>
          <w:sz w:val="20"/>
        </w:rPr>
        <w:t>:</w:t>
      </w:r>
    </w:p>
    <w:tbl>
      <w:tblPr>
        <w:tblW w:w="12462" w:type="dxa"/>
        <w:jc w:val="left"/>
        <w:tblInd w:w="0" w:type="dxa"/>
        <w:tblLayout w:type="fixed"/>
        <w:tblCellMar>
          <w:top w:w="28" w:type="dxa"/>
          <w:left w:w="28" w:type="dxa"/>
          <w:bottom w:w="28" w:type="dxa"/>
          <w:right w:w="28" w:type="dxa"/>
        </w:tblCellMar>
      </w:tblPr>
      <w:tblGrid>
        <w:gridCol w:w="576"/>
        <w:gridCol w:w="282"/>
        <w:gridCol w:w="283"/>
        <w:gridCol w:w="109"/>
        <w:gridCol w:w="109"/>
        <w:gridCol w:w="109"/>
        <w:gridCol w:w="196"/>
        <w:gridCol w:w="736"/>
        <w:gridCol w:w="256"/>
        <w:gridCol w:w="109"/>
        <w:gridCol w:w="109"/>
        <w:gridCol w:w="109"/>
        <w:gridCol w:w="196"/>
        <w:gridCol w:w="736"/>
        <w:gridCol w:w="256"/>
        <w:gridCol w:w="109"/>
        <w:gridCol w:w="109"/>
        <w:gridCol w:w="109"/>
        <w:gridCol w:w="196"/>
        <w:gridCol w:w="661"/>
        <w:gridCol w:w="256"/>
        <w:gridCol w:w="109"/>
        <w:gridCol w:w="109"/>
        <w:gridCol w:w="109"/>
        <w:gridCol w:w="193"/>
        <w:gridCol w:w="193"/>
        <w:gridCol w:w="455"/>
        <w:gridCol w:w="109"/>
        <w:gridCol w:w="109"/>
        <w:gridCol w:w="109"/>
        <w:gridCol w:w="196"/>
        <w:gridCol w:w="736"/>
        <w:gridCol w:w="256"/>
        <w:gridCol w:w="109"/>
        <w:gridCol w:w="109"/>
        <w:gridCol w:w="109"/>
        <w:gridCol w:w="196"/>
        <w:gridCol w:w="736"/>
        <w:gridCol w:w="256"/>
        <w:gridCol w:w="109"/>
        <w:gridCol w:w="109"/>
        <w:gridCol w:w="109"/>
        <w:gridCol w:w="196"/>
        <w:gridCol w:w="661"/>
        <w:gridCol w:w="256"/>
        <w:gridCol w:w="109"/>
        <w:gridCol w:w="109"/>
        <w:gridCol w:w="109"/>
        <w:gridCol w:w="186"/>
        <w:gridCol w:w="186"/>
        <w:gridCol w:w="51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related parties $10 and $402 for the three months ended June 30, 2026 and 2025, respectively, $19 and $865 for the six months ended June 30,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sales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(derived from related party net sales $3 and $271 for the three months ended June 30, 2026 and 2025, respectively, and $8 and $587 for the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Research and development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Selling, general and administrative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(from related parties of $0 and $219 for the three months ended June 30, 2026 and 2025, respectively, and $0 and $634 for the six months ended June 30,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(16,349)</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(46,133)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NM    Not meaningful</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*Non-GAAP measurement, see reconciliation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Net sales decreased $39.4 million, or 21%, during the three months ended June 30, 2026, compared to the three months ended June 30, 2025, as a result of lower sales of $34.6 million, $3.0 million and $1.7 million in the power systems, industrial and transportation end markets, respectively. Net sales decreased $46.2 million, or 14%, during the six months ended June 30, 2026, compared to the six months ended June 30, 2025, as a result of </w:t>
      </w:r>
      <w:r>
        <w:rPr>
          <w:rFonts w:ascii="Times New Roman;serif" w:hAnsi="Times New Roman;serif"/>
          <w:b w:val="false"/>
          <w:color w:val="000000"/>
          <w:sz w:val="20"/>
        </w:rPr>
        <w:t>lower</w:t>
      </w:r>
      <w:r>
        <w:rPr>
          <w:color w:val="000000"/>
          <w:shd w:fill="FFFFFF" w:val="clear"/>
        </w:rPr>
        <w:t xml:space="preserve"> </w:t>
      </w:r>
      <w:r>
        <w:rPr>
          <w:rFonts w:ascii="Times New Roman;serif" w:hAnsi="Times New Roman;serif"/>
          <w:b w:val="false"/>
          <w:color w:val="000000"/>
          <w:sz w:val="20"/>
          <w:shd w:fill="FFFFFF" w:val="clear"/>
        </w:rPr>
        <w:t>sales of $44.8 million and $1.5 million in the power systems end</w:t>
      </w:r>
      <w:r>
        <w:rPr>
          <w:color w:val="000000"/>
        </w:rPr>
        <w:t xml:space="preserve"> </w:t>
      </w:r>
      <w:r>
        <w:rPr>
          <w:rFonts w:ascii="Times New Roman;serif" w:hAnsi="Times New Roman;serif"/>
          <w:b w:val="false"/>
          <w:color w:val="000000"/>
          <w:sz w:val="20"/>
        </w:rPr>
        <w:t>market</w:t>
      </w:r>
      <w:r>
        <w:rPr>
          <w:color w:val="000000"/>
          <w:shd w:fill="FFFFFF" w:val="clear"/>
        </w:rPr>
        <w:t xml:space="preserve"> </w:t>
      </w:r>
      <w:r>
        <w:rPr>
          <w:rFonts w:ascii="Times New Roman;serif" w:hAnsi="Times New Roman;serif"/>
          <w:b w:val="false"/>
          <w:color w:val="000000"/>
          <w:sz w:val="20"/>
          <w:shd w:fill="FFFFFF" w:val="clear"/>
        </w:rPr>
        <w:t>and transportation end markets, respectively. During both three and six months ended June 30, 2026, sales in the power systems end market declined primarily due to uneven order patterns and shipment timing for data center-related products, together with softness in oil and gas markets. The Company continues to see strong demand for data center power solutions. However, the timing and ultimate volume of revenue recognized from that demand remain subject to customer scheduling, manufacturing throughput, supply chain factors and other variables, and the Company is not predicting any specific level of data center revenue in any future period. Based on the current production schedule, the Company expects second-half 2026 sales to exceed first-half 2026 sales as larger Power Systems orders move into production, although shipment timing and quarterly results may continue to vary.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Gross Profit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profit decreased during the three months ended June 30, 2026 by $12.7 million, or 24%, compared to the three months ended June 30, 2025. Gross margin was 27.1% and 28.2% during the three months ended June 30, 2026 and 2025, respectively. Gross profit decreased during the six months ended June 30, 2026 by $23.6 million, or 25%, compared to the six months ended June 30, 2025. Gross margin was 25.2% and 28.8% during the six months ended June 30, 2026 and 2025. During both the three and six months ended June 30, 2026, gross margin reflected a lower mix of oil and gas products, together with elevated production costs associated with capacity ramp-up activities supporting data center-related applications at the Company’s Wisconsin operations. On a sequential basis, gross margin improved by approximately 420 basis points compared with the first quarter of 2026. The improvement reflected in part the early benefits of the Company’s ongoing operational improvement efforts in Wisconsin and was partially offset by unfavorable product mix in the second quarter. The Company’s capacity ramp-up activities at its Wisconsin operations are continuing, and the Company expects related production costs to persist; the trajectory of any further sequential improvement remains subject to product mix, throughput and other operational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Research and Development Expenses </w:t>
      </w:r>
    </w:p>
    <w:p>
      <w:pPr>
        <w:pStyle w:val="TextBody"/>
        <w:bidi w:val="0"/>
        <w:spacing w:lineRule="auto" w:line="288" w:before="120" w:after="120"/>
        <w:jc w:val="both"/>
        <w:rPr/>
      </w:pPr>
      <w:r>
        <w:rPr>
          <w:rFonts w:ascii="Times New Roman;serif" w:hAnsi="Times New Roman;serif"/>
          <w:b w:val="false"/>
          <w:color w:val="000000"/>
          <w:sz w:val="20"/>
        </w:rPr>
        <w:t>Research and develo</w:t>
      </w:r>
      <w:r>
        <w:rPr>
          <w:rFonts w:ascii="Times New Roman;serif" w:hAnsi="Times New Roman;serif"/>
          <w:b w:val="false"/>
          <w:color w:val="000000"/>
          <w:sz w:val="20"/>
          <w:shd w:fill="FFFFFF" w:val="clear"/>
        </w:rPr>
        <w:t>pment expenses during the three months ended June 30, 2026 and 2025 were $5.1 million and $4.6 million, respectively. Research and development expenses during the six months ended June 30, 2026 and 2025 were $9.9 million and $8.9 million, respectively. During the three and six months ended June 30, 2026, the increase of $0.4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$1.0 million, respectively, was primarily driven by higher R&amp;D program expenditures to support new programs in 2026 and the recovery of R&amp;D costs from certain customers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i/>
          <w:color w:val="000000"/>
          <w:sz w:val="20"/>
          <w:shd w:fill="FFFFFF" w:val="clear"/>
        </w:rPr>
        <w:t>Selling, General and Ad</w:t>
      </w:r>
      <w:r>
        <w:rPr>
          <w:rFonts w:ascii="Times New Roman;serif" w:hAnsi="Times New Roman;serif"/>
          <w:b/>
          <w:i/>
          <w:color w:val="000000"/>
          <w:sz w:val="20"/>
        </w:rPr>
        <w:t>ministrative Expenses</w:t>
      </w:r>
    </w:p>
    <w:p>
      <w:pPr>
        <w:pStyle w:val="TextBody"/>
        <w:bidi w:val="0"/>
        <w:spacing w:lineRule="auto" w:line="288" w:before="120" w:after="120"/>
        <w:jc w:val="both"/>
        <w:rPr/>
      </w:pPr>
      <w:r>
        <w:rPr>
          <w:rFonts w:ascii="Times New Roman;serif" w:hAnsi="Times New Roman;serif"/>
          <w:b w:val="false"/>
          <w:color w:val="000000"/>
          <w:sz w:val="20"/>
        </w:rPr>
        <w:t xml:space="preserve">Selling, general and administrative </w:t>
      </w:r>
      <w:r>
        <w:rPr>
          <w:rFonts w:ascii="Times New Roman;serif" w:hAnsi="Times New Roman;serif"/>
          <w:b w:val="false"/>
          <w:color w:val="000000"/>
          <w:sz w:val="20"/>
          <w:shd w:fill="FFFFFF" w:val="clear"/>
        </w:rPr>
        <w:t xml:space="preserve">(“SG&amp;A”) </w:t>
      </w:r>
      <w:r>
        <w:rPr>
          <w:rFonts w:ascii="Times New Roman;serif" w:hAnsi="Times New Roman;serif"/>
          <w:b w:val="false"/>
          <w:color w:val="000000"/>
          <w:sz w:val="20"/>
        </w:rPr>
        <w:t xml:space="preserve">expenses were </w:t>
      </w:r>
      <w:r>
        <w:rPr>
          <w:rFonts w:ascii="Times New Roman;serif" w:hAnsi="Times New Roman;serif"/>
          <w:b w:val="false"/>
          <w:color w:val="000000"/>
          <w:sz w:val="20"/>
          <w:shd w:fill="FFFFFF" w:val="clear"/>
        </w:rPr>
        <w:t>$12.1 million</w:t>
      </w:r>
      <w:r>
        <w:rPr>
          <w:color w:val="000000"/>
        </w:rPr>
        <w:t xml:space="preserve"> </w:t>
      </w:r>
      <w:r>
        <w:rPr>
          <w:rFonts w:ascii="Times New Roman;serif" w:hAnsi="Times New Roman;serif"/>
          <w:b w:val="false"/>
          <w:color w:val="000000"/>
          <w:sz w:val="20"/>
        </w:rPr>
        <w:t>during the three</w:t>
      </w:r>
      <w:r>
        <w:rPr>
          <w:color w:val="000000"/>
          <w:shd w:fill="FFFFFF" w:val="clear"/>
        </w:rPr>
        <w:t xml:space="preserve"> </w:t>
      </w:r>
      <w:r>
        <w:rPr>
          <w:rFonts w:ascii="Times New Roman;serif" w:hAnsi="Times New Roman;serif"/>
          <w:b w:val="false"/>
          <w:color w:val="000000"/>
          <w:sz w:val="20"/>
          <w:shd w:fill="FFFFFF" w:val="clear"/>
        </w:rPr>
        <w:t xml:space="preserve">months ended June 30, 2026, a </w:t>
      </w:r>
      <w:r>
        <w:rPr>
          <w:rFonts w:ascii="Times New Roman;serif" w:hAnsi="Times New Roman;serif"/>
          <w:b w:val="false"/>
          <w:color w:val="000000"/>
          <w:sz w:val="20"/>
        </w:rPr>
        <w:t>decrease of</w:t>
      </w:r>
      <w:r>
        <w:rPr>
          <w:color w:val="000000"/>
          <w:shd w:fill="FFFFFF" w:val="clear"/>
        </w:rPr>
        <w:t xml:space="preserve"> </w:t>
      </w:r>
      <w:r>
        <w:rPr>
          <w:rFonts w:ascii="Times New Roman;serif" w:hAnsi="Times New Roman;serif"/>
          <w:b w:val="false"/>
          <w:color w:val="000000"/>
          <w:sz w:val="20"/>
          <w:shd w:fill="FFFFFF" w:val="clear"/>
        </w:rPr>
        <w:t xml:space="preserve">$4.6 million, or 27%, compared to the three months ended June 30, 2025. SG&amp;A expenses were $25.1 million during the six months ended June 30, 2026, an </w:t>
      </w:r>
      <w:r>
        <w:rPr>
          <w:rFonts w:ascii="Times New Roman;serif" w:hAnsi="Times New Roman;serif"/>
          <w:b w:val="false"/>
          <w:color w:val="000000"/>
          <w:sz w:val="20"/>
        </w:rPr>
        <w:t xml:space="preserve">decrease of </w:t>
      </w:r>
      <w:r>
        <w:rPr>
          <w:rFonts w:ascii="Times New Roman;serif" w:hAnsi="Times New Roman;serif"/>
          <w:b w:val="false"/>
          <w:color w:val="000000"/>
          <w:sz w:val="20"/>
          <w:shd w:fill="FFFFFF" w:val="clear"/>
        </w:rPr>
        <w:t>$2.7 million, or 10%, compared to the six months ended June 30, 2025. During both three and six months ended June 30, 2026, t</w:t>
      </w:r>
      <w:r>
        <w:rPr>
          <w:rFonts w:ascii="Times New Roman;serif" w:hAnsi="Times New Roman;serif"/>
          <w:b w:val="false"/>
          <w:color w:val="000000"/>
          <w:sz w:val="20"/>
        </w:rPr>
        <w:t>he decrease was primarily attributable to lower compensation expense related to the revaluation of previously awarded SARs, lower costs ass</w:t>
      </w:r>
      <w:r>
        <w:rPr>
          <w:rFonts w:ascii="Times New Roman;serif" w:hAnsi="Times New Roman;serif"/>
          <w:b w:val="false"/>
          <w:color w:val="000000"/>
          <w:sz w:val="20"/>
          <w:shd w:fill="FFFFFF" w:val="clear"/>
        </w:rPr>
        <w:t>ociated with employee incentive programs, partially offset by incremental selling and administrative expenses associated with MTL Manufacturing and Equipment in the first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w:t>
      </w:r>
    </w:p>
    <w:p>
      <w:pPr>
        <w:pStyle w:val="TextBody"/>
        <w:bidi w:val="0"/>
        <w:spacing w:lineRule="auto" w:line="268" w:before="0" w:after="0"/>
        <w:jc w:val="both"/>
        <w:rPr/>
      </w:pPr>
      <w:r>
        <w:rPr>
          <w:rFonts w:ascii="Times New Roman;serif" w:hAnsi="Times New Roman;serif"/>
          <w:b w:val="false"/>
          <w:color w:val="000000"/>
          <w:sz w:val="20"/>
        </w:rPr>
        <w:t>Inter</w:t>
      </w:r>
      <w:r>
        <w:rPr>
          <w:rFonts w:ascii="Times New Roman;serif" w:hAnsi="Times New Roman;serif"/>
          <w:b w:val="false"/>
          <w:color w:val="000000"/>
          <w:sz w:val="20"/>
          <w:shd w:fill="FFFFFF" w:val="clear"/>
        </w:rPr>
        <w:t xml:space="preserve">est expense was $1.6 million for the three months ended June 30, 2026, as compared to $1.7 million for the three months ended June 30, 2025. Interest expense was $3.3 million for the six months ended June 30, 2026, as compared to $3.5 million for the six months ended June 30, 2025. During both three and six months ended June 30, 2026, interest expense decreased largely due to overall lower effective interest rates. See Note 7.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1,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(Benefit) Expense</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recorded income tax expense of $5.6 million for the three months ended June 30, 2026, as compared to income tax </w:t>
      </w:r>
      <w:r>
        <w:rPr>
          <w:rFonts w:ascii="Times New Roman;serif" w:hAnsi="Times New Roman;serif"/>
          <w:b w:val="false"/>
          <w:color w:val="000000"/>
          <w:sz w:val="20"/>
        </w:rPr>
        <w:t>benefit</w:t>
      </w:r>
      <w:r>
        <w:rPr>
          <w:color w:val="000000"/>
          <w:shd w:fill="FFFFFF" w:val="clear"/>
        </w:rPr>
        <w:t xml:space="preserve"> </w:t>
      </w:r>
      <w:r>
        <w:rPr>
          <w:rFonts w:ascii="Times New Roman;serif" w:hAnsi="Times New Roman;serif"/>
          <w:b w:val="false"/>
          <w:color w:val="000000"/>
          <w:sz w:val="20"/>
          <w:shd w:fill="FFFFFF" w:val="clear"/>
        </w:rPr>
        <w:t xml:space="preserve">of $20.1 million for the same 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Pretax income was $22.5 million for the three months ended June 30, 2026, compared to $31.1 million for the same period in </w:t>
      </w:r>
      <w:r>
        <w:rPr>
          <w:rFonts w:ascii="Times New Roman;serif" w:hAnsi="Times New Roman;serif"/>
          <w:b w:val="false"/>
          <w:color w:val="000000"/>
          <w:sz w:val="20"/>
        </w:rPr>
        <w:t xml:space="preserve">2025. </w:t>
      </w:r>
      <w:r>
        <w:rPr>
          <w:rFonts w:ascii="Times New Roman;serif" w:hAnsi="Times New Roman;serif"/>
          <w:b w:val="false"/>
          <w:color w:val="000000"/>
          <w:sz w:val="20"/>
          <w:shd w:fill="FFFFFF" w:val="clear"/>
        </w:rPr>
        <w:t xml:space="preserve">The Company recorded income tax expense of $8.0 million for the six months ended June 30, 2026, as compared to income tax </w:t>
      </w:r>
      <w:r>
        <w:rPr>
          <w:rFonts w:ascii="Times New Roman;serif" w:hAnsi="Times New Roman;serif"/>
          <w:b w:val="false"/>
          <w:color w:val="000000"/>
          <w:sz w:val="20"/>
        </w:rPr>
        <w:t>benefit</w:t>
      </w:r>
      <w:r>
        <w:rPr>
          <w:color w:val="000000"/>
          <w:shd w:fill="FFFFFF" w:val="clear"/>
        </w:rPr>
        <w:t xml:space="preserve"> </w:t>
      </w:r>
      <w:r>
        <w:rPr>
          <w:rFonts w:ascii="Times New Roman;serif" w:hAnsi="Times New Roman;serif"/>
          <w:b w:val="false"/>
          <w:color w:val="000000"/>
          <w:sz w:val="20"/>
          <w:shd w:fill="FFFFFF" w:val="clear"/>
        </w:rPr>
        <w:t xml:space="preserve">of $16.3 million for the same 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Pretax income was $32.2 million for the six months ended June 30, 2026, compared to $53.9 million for the same 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During both the three and six months ended June 30, 2026, the change from an income tax benefit in 2025 to an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expense in 2026 was primarily attributable to the release of the majority of the Company's valuation allowance during the second quarter of 2025, which did not recur in 2026.</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See Note 12. </w:t>
      </w:r>
      <w:r>
        <w:rPr>
          <w:rFonts w:ascii="Times New Roman;serif" w:hAnsi="Times New Roman;serif"/>
          <w:b w:val="false"/>
          <w:i/>
          <w:color w:val="000000"/>
          <w:sz w:val="20"/>
          <w:shd w:fill="FFFFFF" w:val="clear"/>
        </w:rPr>
        <w:t>Income Taxes</w:t>
      </w:r>
      <w:r>
        <w:rPr>
          <w:rFonts w:ascii="Times New Roman;serif" w:hAnsi="Times New Roman;serif"/>
          <w:b w:val="false"/>
          <w:color w:val="000000"/>
          <w:sz w:val="20"/>
          <w:shd w:fill="FFFFFF" w:val="clear"/>
        </w:rPr>
        <w:t xml:space="preserve">, included in Part I,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for additional information related to the Company’s income tax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jc w:val="both"/>
        <w:rPr/>
      </w:pPr>
      <w:r>
        <w:rPr>
          <w:rFonts w:ascii="Times New Roman;serif" w:hAnsi="Times New Roman;serif"/>
          <w:b w:val="false"/>
          <w:color w:val="000000"/>
          <w:sz w:val="20"/>
        </w:rPr>
        <w:t xml:space="preserve">In addition to the results provided in accordance with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this report. Management does not use these non-GAAP financial measures for any purpose other than the reasons stated below.</w:t>
      </w:r>
    </w:p>
    <w:tbl>
      <w:tblPr>
        <w:tblW w:w="6043" w:type="dxa"/>
        <w:jc w:val="left"/>
        <w:tblInd w:w="0" w:type="dxa"/>
        <w:tblLayout w:type="fixed"/>
        <w:tblCellMar>
          <w:top w:w="28" w:type="dxa"/>
          <w:left w:w="28" w:type="dxa"/>
          <w:bottom w:w="28" w:type="dxa"/>
          <w:right w:w="28" w:type="dxa"/>
        </w:tblCellMar>
      </w:tblPr>
      <w:tblGrid>
        <w:gridCol w:w="1060"/>
        <w:gridCol w:w="931"/>
        <w:gridCol w:w="933"/>
        <w:gridCol w:w="912"/>
        <w:gridCol w:w="912"/>
        <w:gridCol w:w="1295"/>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w:t>
            </w:r>
          </w:p>
        </w:tc>
        <w:tc>
          <w:tcPr>
            <w:tcW w:w="3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Comparable GAAP Financial Measure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 diluted</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 </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to Adjusted net income for the three and six months ended June 30, 2026 and 2025:</w:t>
      </w:r>
    </w:p>
    <w:tbl>
      <w:tblPr>
        <w:tblW w:w="9241" w:type="dxa"/>
        <w:jc w:val="left"/>
        <w:tblInd w:w="0" w:type="dxa"/>
        <w:tblLayout w:type="fixed"/>
        <w:tblCellMar>
          <w:top w:w="28" w:type="dxa"/>
          <w:left w:w="28" w:type="dxa"/>
          <w:bottom w:w="28" w:type="dxa"/>
          <w:right w:w="28" w:type="dxa"/>
        </w:tblCellMar>
      </w:tblPr>
      <w:tblGrid>
        <w:gridCol w:w="966"/>
        <w:gridCol w:w="851"/>
        <w:gridCol w:w="853"/>
        <w:gridCol w:w="109"/>
        <w:gridCol w:w="109"/>
        <w:gridCol w:w="109"/>
        <w:gridCol w:w="267"/>
        <w:gridCol w:w="882"/>
        <w:gridCol w:w="148"/>
        <w:gridCol w:w="148"/>
        <w:gridCol w:w="148"/>
        <w:gridCol w:w="148"/>
        <w:gridCol w:w="267"/>
        <w:gridCol w:w="882"/>
        <w:gridCol w:w="148"/>
        <w:gridCol w:w="109"/>
        <w:gridCol w:w="109"/>
        <w:gridCol w:w="109"/>
        <w:gridCol w:w="248"/>
        <w:gridCol w:w="818"/>
        <w:gridCol w:w="138"/>
        <w:gridCol w:w="138"/>
        <w:gridCol w:w="138"/>
        <w:gridCol w:w="138"/>
        <w:gridCol w:w="248"/>
        <w:gridCol w:w="818"/>
        <w:gridCol w:w="195"/>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and executive recruiting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legal matters</w:t>
            </w:r>
            <w:r>
              <w:rPr>
                <w:color w:val="000000"/>
              </w:rPr>
              <w:t xml:space="preserve">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per share – diluted to Adjusted net income per share – diluted for the three and six months ended June 30, 2026 and 2025:</w:t>
      </w:r>
    </w:p>
    <w:tbl>
      <w:tblPr>
        <w:tblW w:w="9769" w:type="dxa"/>
        <w:jc w:val="left"/>
        <w:tblInd w:w="0" w:type="dxa"/>
        <w:tblLayout w:type="fixed"/>
        <w:tblCellMar>
          <w:top w:w="28" w:type="dxa"/>
          <w:left w:w="28" w:type="dxa"/>
          <w:bottom w:w="28" w:type="dxa"/>
          <w:right w:w="28" w:type="dxa"/>
        </w:tblCellMar>
      </w:tblPr>
      <w:tblGrid>
        <w:gridCol w:w="1155"/>
        <w:gridCol w:w="1016"/>
        <w:gridCol w:w="1024"/>
        <w:gridCol w:w="109"/>
        <w:gridCol w:w="109"/>
        <w:gridCol w:w="109"/>
        <w:gridCol w:w="319"/>
        <w:gridCol w:w="759"/>
        <w:gridCol w:w="177"/>
        <w:gridCol w:w="177"/>
        <w:gridCol w:w="177"/>
        <w:gridCol w:w="177"/>
        <w:gridCol w:w="319"/>
        <w:gridCol w:w="759"/>
        <w:gridCol w:w="177"/>
        <w:gridCol w:w="109"/>
        <w:gridCol w:w="109"/>
        <w:gridCol w:w="109"/>
        <w:gridCol w:w="295"/>
        <w:gridCol w:w="701"/>
        <w:gridCol w:w="164"/>
        <w:gridCol w:w="164"/>
        <w:gridCol w:w="164"/>
        <w:gridCol w:w="164"/>
        <w:gridCol w:w="295"/>
        <w:gridCol w:w="701"/>
        <w:gridCol w:w="231"/>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and executive recruiting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legal matters</w:t>
            </w:r>
            <w:r>
              <w:rPr>
                <w:color w:val="000000"/>
              </w:rPr>
              <w:t xml:space="preserve">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23,072</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w:t>
            </w:r>
          </w:p>
        </w:tc>
      </w:tr>
    </w:tbl>
    <w:p>
      <w:pPr>
        <w:pStyle w:val="TextBody"/>
        <w:bidi w:val="0"/>
        <w:spacing w:lineRule="auto" w:line="288" w:before="120" w:after="120"/>
        <w:jc w:val="both"/>
        <w:rPr/>
      </w:pPr>
      <w:r>
        <w:rPr>
          <w:rFonts w:ascii="Times New Roman;serif" w:hAnsi="Times New Roman;serif"/>
          <w:b w:val="false"/>
          <w:color w:val="000000"/>
          <w:sz w:val="20"/>
        </w:rPr>
        <w:t xml:space="preserve">The following table presents a reconciliation from </w:t>
      </w:r>
      <w:r>
        <w:rPr>
          <w:rFonts w:ascii="Times New Roman;serif" w:hAnsi="Times New Roman;serif"/>
          <w:b w:val="false"/>
          <w:color w:val="000000"/>
          <w:sz w:val="20"/>
          <w:shd w:fill="FFFFFF" w:val="clear"/>
        </w:rPr>
        <w:t>Net income</w:t>
      </w:r>
      <w:r>
        <w:rPr>
          <w:color w:val="000000"/>
        </w:rPr>
        <w:t xml:space="preserve"> </w:t>
      </w:r>
      <w:r>
        <w:rPr>
          <w:rFonts w:ascii="Times New Roman;serif" w:hAnsi="Times New Roman;serif"/>
          <w:b w:val="false"/>
          <w:color w:val="000000"/>
          <w:sz w:val="20"/>
        </w:rPr>
        <w:t>to EBITDA and Adjusted EBITDA for the three and six months ended June 30, 2026 and 2025:</w:t>
      </w:r>
    </w:p>
    <w:tbl>
      <w:tblPr>
        <w:tblW w:w="9241" w:type="dxa"/>
        <w:jc w:val="left"/>
        <w:tblInd w:w="0" w:type="dxa"/>
        <w:tblLayout w:type="fixed"/>
        <w:tblCellMar>
          <w:top w:w="28" w:type="dxa"/>
          <w:left w:w="28" w:type="dxa"/>
          <w:bottom w:w="28" w:type="dxa"/>
          <w:right w:w="28" w:type="dxa"/>
        </w:tblCellMar>
      </w:tblPr>
      <w:tblGrid>
        <w:gridCol w:w="966"/>
        <w:gridCol w:w="851"/>
        <w:gridCol w:w="853"/>
        <w:gridCol w:w="109"/>
        <w:gridCol w:w="109"/>
        <w:gridCol w:w="109"/>
        <w:gridCol w:w="267"/>
        <w:gridCol w:w="882"/>
        <w:gridCol w:w="148"/>
        <w:gridCol w:w="148"/>
        <w:gridCol w:w="148"/>
        <w:gridCol w:w="148"/>
        <w:gridCol w:w="267"/>
        <w:gridCol w:w="882"/>
        <w:gridCol w:w="148"/>
        <w:gridCol w:w="109"/>
        <w:gridCol w:w="109"/>
        <w:gridCol w:w="109"/>
        <w:gridCol w:w="248"/>
        <w:gridCol w:w="818"/>
        <w:gridCol w:w="138"/>
        <w:gridCol w:w="138"/>
        <w:gridCol w:w="138"/>
        <w:gridCol w:w="138"/>
        <w:gridCol w:w="248"/>
        <w:gridCol w:w="818"/>
        <w:gridCol w:w="195"/>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and executive recruiting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legal matters</w:t>
            </w:r>
            <w:r>
              <w:rPr>
                <w:color w:val="000000"/>
              </w:rPr>
              <w:t xml:space="preserve">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60,734 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6"/>
        </w:rPr>
        <w:t>1.Amounts reflect non-cash</w:t>
      </w:r>
      <w:r>
        <w:rPr>
          <w:color w:val="000000"/>
        </w:rPr>
        <w:t xml:space="preserve"> </w:t>
      </w:r>
      <w:r>
        <w:rPr>
          <w:rFonts w:ascii="Times New Roman;serif" w:hAnsi="Times New Roman;serif"/>
          <w:b w:val="false"/>
          <w:color w:val="000000"/>
          <w:sz w:val="16"/>
        </w:rPr>
        <w:t>stock-based compensation expense</w:t>
      </w:r>
      <w:r>
        <w:rPr>
          <w:color w:val="000000"/>
        </w:rPr>
        <w:t xml:space="preserve"> </w:t>
      </w:r>
      <w:r>
        <w:rPr>
          <w:rFonts w:ascii="Times New Roman;serif" w:hAnsi="Times New Roman;serif"/>
          <w:b w:val="false"/>
          <w:color w:val="000000"/>
          <w:sz w:val="16"/>
        </w:rPr>
        <w:t>for the three and six months ended June 30, 2026 and 2025.</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 xml:space="preserve">2.Amounts include severance expense of less than $0.1 million and $0.1 million </w:t>
      </w:r>
      <w:r>
        <w:rPr>
          <w:rFonts w:ascii="Times New Roman;serif" w:hAnsi="Times New Roman;serif"/>
          <w:b w:val="false"/>
          <w:color w:val="000000"/>
          <w:sz w:val="16"/>
        </w:rPr>
        <w:t xml:space="preserve">for the three and six months ended June 30, 2026 and 2025, respectively, as well as executive recruiting expense of </w:t>
      </w:r>
      <w:r>
        <w:rPr>
          <w:rFonts w:ascii="Times New Roman;serif" w:hAnsi="Times New Roman;serif"/>
          <w:b w:val="false"/>
          <w:color w:val="000000"/>
          <w:sz w:val="16"/>
          <w:shd w:fill="FFFFFF" w:val="clear"/>
        </w:rPr>
        <w:t>$0.4 million for each period presented.</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3.Amounts include legal settlements</w:t>
      </w:r>
      <w:r>
        <w:rPr>
          <w:color w:val="000000"/>
        </w:rPr>
        <w:t xml:space="preserve"> </w:t>
      </w:r>
      <w:r>
        <w:rPr>
          <w:rFonts w:ascii="Times New Roman;serif" w:hAnsi="Times New Roman;serif"/>
          <w:b w:val="false"/>
          <w:color w:val="000000"/>
          <w:sz w:val="16"/>
        </w:rPr>
        <w:t>for the three and six months ended June 30, 2026.</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was impacted as follows:</w:t>
      </w:r>
    </w:p>
    <w:tbl>
      <w:tblPr>
        <w:tblW w:w="10205" w:type="dxa"/>
        <w:jc w:val="left"/>
        <w:tblInd w:w="0" w:type="dxa"/>
        <w:tblLayout w:type="fixed"/>
        <w:tblCellMar>
          <w:top w:w="28" w:type="dxa"/>
          <w:left w:w="28" w:type="dxa"/>
          <w:bottom w:w="28" w:type="dxa"/>
          <w:right w:w="28" w:type="dxa"/>
        </w:tblCellMar>
      </w:tblPr>
      <w:tblGrid>
        <w:gridCol w:w="1664"/>
        <w:gridCol w:w="1419"/>
        <w:gridCol w:w="1424"/>
        <w:gridCol w:w="109"/>
        <w:gridCol w:w="109"/>
        <w:gridCol w:w="109"/>
        <w:gridCol w:w="238"/>
        <w:gridCol w:w="786"/>
        <w:gridCol w:w="132"/>
        <w:gridCol w:w="132"/>
        <w:gridCol w:w="132"/>
        <w:gridCol w:w="132"/>
        <w:gridCol w:w="238"/>
        <w:gridCol w:w="786"/>
        <w:gridCol w:w="132"/>
        <w:gridCol w:w="109"/>
        <w:gridCol w:w="109"/>
        <w:gridCol w:w="109"/>
        <w:gridCol w:w="196"/>
        <w:gridCol w:w="646"/>
        <w:gridCol w:w="109"/>
        <w:gridCol w:w="109"/>
        <w:gridCol w:w="109"/>
        <w:gridCol w:w="109"/>
        <w:gridCol w:w="240"/>
        <w:gridCol w:w="243"/>
        <w:gridCol w:w="575"/>
      </w:tblGrid>
      <w:tr>
        <w:trPr/>
        <w:tc>
          <w:tcPr>
            <w:tcW w:w="166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75,724 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29,575 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(5,439)</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for the Six Months Ended June 30, 2026</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Operating Activities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operating activities was $75.7 million for the six months ended June 30, 2026, compared to $25.5 million for the six months ended June 30, 2025, representing an increase of $50.3 million in cash provided by operating activities year-over-year. The increase occurred despite a decrease in net income of $46.1 million, driven primarily by favorable changes in working capital. These changes included a significant source of cash from accounts receivable, reflecting improved collections in the current period, as well as a lower use of cash for inventory purchases compared to the prior</w:t>
        <w:noBreakHyphen/>
        <w:t xml:space="preserve">year period. These favorable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impacts were partially offset by increased uses of cash related to accrued expenses and accounts payable during the six months ended June 30, 2026 compared to June 30, 2025.</w:t>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Investing Activities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was $14.6 million for the six months ended June 30, 2026, compared to cash used in investing activities of $5.4 million for the six months ended June 30, 2025. For the six months ended June 30, 2026 and 2025, cash used in investing activities related to capital expenditures and the acquisition of MTL.</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Financing Activities</w:t>
      </w:r>
    </w:p>
    <w:p>
      <w:pPr>
        <w:pStyle w:val="TextBody"/>
        <w:bidi w:val="0"/>
        <w:spacing w:lineRule="auto" w:line="288" w:before="120" w:after="120"/>
        <w:jc w:val="both"/>
        <w:rPr/>
      </w:pPr>
      <w:r>
        <w:rPr>
          <w:rFonts w:ascii="Times New Roman;serif" w:hAnsi="Times New Roman;serif"/>
          <w:b w:val="false"/>
          <w:color w:val="000000"/>
          <w:sz w:val="20"/>
        </w:rPr>
        <w:t xml:space="preserve">The Company used $31.5 million in cash from financing activities for </w:t>
      </w:r>
      <w:r>
        <w:rPr>
          <w:rFonts w:ascii="Times New Roman;serif" w:hAnsi="Times New Roman;serif"/>
          <w:b w:val="false"/>
          <w:color w:val="000000"/>
          <w:sz w:val="20"/>
          <w:shd w:fill="FFFFFF" w:val="clear"/>
        </w:rPr>
        <w:t>the six months ended June 30, 2026, compared to $25.4 million cash used by financing activities for the six months ended June 30, 2025. The cash used by financing activities for the six months ended June 30, 2026 was primarily due to paydown of $30.0 million on the Revolving Credit Agreement, payoff of the SBA loan, and repayments of lease liabilities and share</w:t>
      </w:r>
      <w:r>
        <w:rPr>
          <w:color w:val="000000"/>
        </w:rPr>
        <w:t xml:space="preserve"> </w:t>
      </w:r>
      <w:r>
        <w:rPr>
          <w:rFonts w:ascii="Times New Roman;serif" w:hAnsi="Times New Roman;serif"/>
          <w:b w:val="false"/>
          <w:color w:val="000000"/>
          <w:sz w:val="20"/>
        </w:rPr>
        <w:t>repurchases to settle tax withholding obligations for stock-based compensation awards. Se</w:t>
      </w:r>
      <w:r>
        <w:rPr>
          <w:rFonts w:ascii="Times New Roman;serif" w:hAnsi="Times New Roman;serif"/>
          <w:b w:val="false"/>
          <w:color w:val="000000"/>
          <w:sz w:val="20"/>
          <w:shd w:fill="FFFFFF" w:val="clear"/>
        </w:rPr>
        <w:t xml:space="preserve">e additional discussion in Note 7.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I, Item 1. Financial Statements, which further describe the Company’s debt arrangements.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sources of funds are cash flows from operations, borrowings made pursuant to its credit facilities and cash and cash equivalents on hand. Uses of funds include payments of principal on our debt facilities, capital expenditures, and working capital needs. We currently anticipate that cash flows from operations, available funds and access to financing sources, including under our Revolving Credit Agreement, will continue to be sufficient to meet our cash needs for the next twelve months and beyond.</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Our material cash requirements from known contractual and other obligations primarily relate to our debt and lease obligations. The Company has achieved profitability and generated positive cash flows from operating activities in 2026. As of June 30, 2026, the Company’s total outstanding debt obligations under the Revolving Credit Agreement, finance leases and other debt, were $72.6 million in the aggregate, and its cash and cash equivalents were $70.1 million. See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Note 7.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for additional information. On </w:t>
      </w:r>
      <w:r>
        <w:rPr>
          <w:rFonts w:ascii="Times New Roman;serif" w:hAnsi="Times New Roman;serif"/>
          <w:b w:val="false"/>
          <w:color w:val="000000"/>
          <w:sz w:val="20"/>
        </w:rPr>
        <w:t>July 30, 2025</w:t>
      </w:r>
      <w:r>
        <w:rPr>
          <w:rFonts w:ascii="Times New Roman;serif" w:hAnsi="Times New Roman;serif"/>
          <w:b w:val="false"/>
          <w:color w:val="000000"/>
          <w:sz w:val="20"/>
          <w:shd w:fill="FFFFFF" w:val="clear"/>
        </w:rPr>
        <w:t>, the Company amended its Revolving Credit Agreement with Standard Chartered Bank and three other lenders. The second amended Revolving Credit Agreement allows the Company to borrow up to $135.0 million and extends the maturity date to July 30, 2027.</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PSI’s business is subject to broader macroeconomic and geopolitical conditions. The oil and gas market, one of the Company’s end markets, has recently softened. The Company is responding by managing investments and expenses and making adjustments to its commercial strategies across its end markets. The Company experiences tariff costs associated with products in its supply chain. We are actively assessing the evolving tariff environment and are committed to proactively mitigating any associated risks through strategic sourcing, pricing actions, and supply chain agility. The potential for continued economic uncertainty and unfavorable oil and gas market dynamics may have a material adverse impact on the levels of future customer orders and the Company’s future business operations, financial condition and liquidity.</w:t>
      </w:r>
    </w:p>
    <w:p>
      <w:pPr>
        <w:pStyle w:val="TextBody"/>
        <w:bidi w:val="0"/>
        <w:spacing w:lineRule="auto" w:line="288" w:before="120" w:after="120"/>
        <w:jc w:val="both"/>
        <w:rPr/>
      </w:pPr>
      <w:r>
        <w:rPr>
          <w:rFonts w:ascii="Times New Roman;serif" w:hAnsi="Times New Roman;serif"/>
          <w:b w:val="false"/>
          <w:color w:val="000000"/>
          <w:sz w:val="20"/>
        </w:rPr>
        <w:t>At June 30, 2026, the Company ha</w:t>
      </w:r>
      <w:r>
        <w:rPr>
          <w:rFonts w:ascii="Times New Roman;serif" w:hAnsi="Times New Roman;serif"/>
          <w:b w:val="false"/>
          <w:color w:val="000000"/>
          <w:sz w:val="20"/>
          <w:shd w:fill="FFFFFF" w:val="clear"/>
        </w:rPr>
        <w:t>d four outstanding letters of credit totaling $2.5 million</w:t>
      </w:r>
      <w:r>
        <w:rPr>
          <w:rFonts w:ascii="Times New Roman;serif" w:hAnsi="Times New Roman;serif"/>
          <w:b w:val="false"/>
          <w:color w:val="000000"/>
          <w:sz w:val="20"/>
        </w:rPr>
        <w:t xml:space="preserve">. See Item 1. </w:t>
      </w:r>
      <w:r>
        <w:rPr>
          <w:rFonts w:ascii="Times New Roman;serif" w:hAnsi="Times New Roman;serif"/>
          <w:b w:val="false"/>
          <w:i/>
          <w:color w:val="000000"/>
          <w:sz w:val="20"/>
        </w:rPr>
        <w:t>Financial Statements</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rPr>
        <w:t xml:space="preserve">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additional information related to the Company’s off-balance sheet arrangements and the outstanding letters of credit.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jc w:val="both"/>
        <w:rPr/>
      </w:pPr>
      <w:r>
        <w:rPr>
          <w:rFonts w:ascii="Times New Roman;serif" w:hAnsi="Times New Roman;serif"/>
          <w:b w:val="false"/>
          <w:color w:val="000000"/>
          <w:sz w:val="20"/>
        </w:rPr>
        <w:t xml:space="preserve">The Company’s consolidated financial statements are prepared in accordance with U.S. GAAP. </w:t>
      </w:r>
      <w:r>
        <w:rPr>
          <w:rFonts w:ascii="Times New Roman;serif" w:hAnsi="Times New Roman;serif"/>
          <w:b w:val="false"/>
          <w:color w:val="000000"/>
          <w:sz w:val="20"/>
          <w:shd w:fill="FFFFFF" w:val="clear"/>
        </w:rPr>
        <w:t>Preparation of these financial statements requires the Company to make estimates, assumptions and judgments that affect the reported amounts of assets, liabilities, revenues and expenses, and related disclosure of contingent assets and liabilities. The Company’s most critical accounting policies and estimates are those most important to the portrayal of its financial condition and results of operations which require the Company to make its most difficult and subjective judgments, often as a result of the need to make estimates regarding matters that are inherently uncertain. The Company has identified the items listed below as its most critical accounting policies and judgments. Although management believes that its estimates and assumptions are reasonable, they are based on information available when they are made and, therefore, may differ from estimates made under different assumptions or conditions.</w:t>
      </w:r>
    </w:p>
    <w:p>
      <w:pPr>
        <w:pStyle w:val="TextBody"/>
        <w:bidi w:val="0"/>
        <w:spacing w:lineRule="auto" w:line="288" w:before="120" w:after="120"/>
        <w:jc w:val="both"/>
        <w:rPr/>
      </w:pPr>
      <w:r>
        <w:rPr>
          <w:rFonts w:ascii="Times New Roman;serif" w:hAnsi="Times New Roman;serif"/>
          <w:b w:val="false"/>
          <w:color w:val="000000"/>
          <w:sz w:val="20"/>
        </w:rPr>
        <w:t xml:space="preserve">The Company’s significant accounting policies are consistent with those discussed in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to the consolidated financial statements and the MD&amp;A section of the Company’s 2025 Annual Report. During the six months ended June 30, 2026, there were no significant changes in the application of critical accounting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the following accounting policies as its most critical because they require the Company to make difficult, subjective, and complex judgments and estimates: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Recognition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Goodwill Impairment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Warranties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Impact of New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For information about recently issued accounting pronouncements, see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included in Part 1,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market risk includes changes in interest rates on its variable</w:t>
        <w:noBreakHyphen/>
        <w:t>rate debt obligations. As of June 30, 2026, the Company’s outstanding borrowings bear interest at variable rates indexed to the SOFR. Increases in SOFR would result in higher interest expense and could adversely affect the Company’s results of operations and cash flows. The Company does not currently use derivative instruments to hedge its exposure to variable interest rates.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material exposure to foreign currency exchange rate risk, as substantially all of its transactions are denominated in U.S. dollars. In addition, the Company is not materially exposed to commodity price risk or equity price risk, as it does not engage in activities that are directly affected by fluctuations in commodity prices or publicly traded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 “disclosure controls and procedures” is defined in Rule 13a-15(e) of the Exchange Act as “controls and other procedures of an issuer that are designed to ensure that information required to be disclosed by the issuer in the reports that it files or submits under the Exchange Act are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its Chief Executive Officer and Chief Financial Officer, conducted an evaluation of the effectiveness of its disclosure controls and procedures as of June 30, 2026. Based upon that evaluation, the Company’s Chief Executive Officer and Chief Financial Officer have concluded that the Company’s disclosure controls and procedures were effective as of June 30, 2026, to provide reasonable assurance that information required to be disclosed in the reports that it files or submits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second quarter of 2026 that has materially affected, or is reasonably likely to materially affect, the Company’s internal control over financial reporting.</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120"/>
        <w:jc w:val="both"/>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included in Part I, Item 1.</w:t>
      </w:r>
      <w:r>
        <w:rPr>
          <w:color w:val="000000"/>
        </w:rPr>
        <w:t xml:space="preserve"> </w:t>
      </w:r>
      <w:r>
        <w:rPr>
          <w:rFonts w:ascii="Times New Roman;serif" w:hAnsi="Times New Roman;serif"/>
          <w:b w:val="false"/>
          <w:i/>
          <w:color w:val="000000"/>
          <w:sz w:val="20"/>
        </w:rPr>
        <w:t>Financial Statements</w:t>
      </w:r>
      <w:r>
        <w:rPr>
          <w:rFonts w:ascii="Times New Roman;serif" w:hAnsi="Times New Roman;serif"/>
          <w:b w:val="false"/>
          <w:color w:val="000000"/>
          <w:sz w:val="20"/>
        </w:rPr>
        <w:t>, for a discussion of legal proceedings,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pPr>
      <w:r>
        <w:rPr>
          <w:rFonts w:ascii="Times New Roman;serif" w:hAnsi="Times New Roman;serif"/>
          <w:b w:val="false"/>
          <w:color w:val="000000"/>
          <w:sz w:val="20"/>
        </w:rPr>
        <w:t xml:space="preserve">In addition to the other information set forth in this report, you should carefully consider the risk factors described in Item 1A. </w:t>
      </w:r>
      <w:r>
        <w:rPr>
          <w:rFonts w:ascii="Times New Roman;serif" w:hAnsi="Times New Roman;serif"/>
          <w:b w:val="false"/>
          <w:i/>
          <w:color w:val="000000"/>
          <w:sz w:val="20"/>
        </w:rPr>
        <w:t>Risk Factors</w:t>
      </w:r>
      <w:r>
        <w:rPr>
          <w:rFonts w:ascii="Times New Roman;serif" w:hAnsi="Times New Roman;serif"/>
          <w:b w:val="false"/>
          <w:color w:val="000000"/>
          <w:sz w:val="20"/>
        </w:rPr>
        <w:t>, in Part II of the Company’s Quarterly Report on Form 10</w:t>
        <w:noBreakHyphen/>
        <w:t xml:space="preserve">Q for the period ended June 30, 2025, as well as those described in Item 1A. </w:t>
      </w:r>
      <w:r>
        <w:rPr>
          <w:rFonts w:ascii="Times New Roman;serif" w:hAnsi="Times New Roman;serif"/>
          <w:b w:val="false"/>
          <w:i/>
          <w:color w:val="000000"/>
          <w:sz w:val="20"/>
        </w:rPr>
        <w:t>Risk Factors</w:t>
      </w:r>
      <w:r>
        <w:rPr>
          <w:rFonts w:ascii="Times New Roman;serif" w:hAnsi="Times New Roman;serif"/>
          <w:b w:val="false"/>
          <w:color w:val="000000"/>
          <w:sz w:val="20"/>
        </w:rPr>
        <w:t>, in Part I of the Company’s 2025 Annual Report on Form 10-K, filed with the SEC on March 2, 2026. These risk factors could materially affect the Company’s business, financial condition, results of operations, liquidity, or future results. The risks described in these filings are not the only risks the Company faces. Additional risks and uncertainties not currently known to the Company or that the Company currently deems immaterial may also materially adversely affect its business, financial condition, results of operations, or liquidity. There have been no material changes to the risk factors previously disclosed in the filings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Section 16 officer of the Company adopted or terminated a “Rule 10b5-1 trading arrangement” or “non-Rule 10b5-1 trading arrangement,” as each term is defined in item 408(a) of Regulation 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reported on the Company’s Current Report on Form 8-K filed May 12, 2026, effective May 12, 2026, Constantine ("Dino") Xykis resigned as Chief Executive Officer, and Xun Li, the Company's Chief Financial Officer, was appointed Interim Chief Executive Officer. On July 23, 2026, the Board of Directors appointed Nan Hu as Chief Executive Officer, effective August 17, 2026. Mr. Li will continue to serve as Interim Chief Executive Officer until August 17, 2026, at which time he will cease serving as Interim Chief Executive Officer and continue as the Company's Chief Financial Officer. The appointment of Mr. Hu is described in the Company's Current Report on Form 8-K filed July 27,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documents listed below that have been previously filed with the SEC (1934 Act File No. 001-35944) are incorporated herein by reference:</w:t>
      </w:r>
    </w:p>
    <w:tbl>
      <w:tblPr>
        <w:tblW w:w="10205" w:type="dxa"/>
        <w:jc w:val="center"/>
        <w:tblInd w:w="0" w:type="dxa"/>
        <w:tblLayout w:type="fixed"/>
        <w:tblCellMar>
          <w:top w:w="28" w:type="dxa"/>
          <w:left w:w="28" w:type="dxa"/>
          <w:bottom w:w="28" w:type="dxa"/>
          <w:right w:w="28" w:type="dxa"/>
        </w:tblCellMar>
      </w:tblPr>
      <w:tblGrid>
        <w:gridCol w:w="309"/>
        <w:gridCol w:w="272"/>
        <w:gridCol w:w="273"/>
        <w:gridCol w:w="109"/>
        <w:gridCol w:w="109"/>
        <w:gridCol w:w="109"/>
        <w:gridCol w:w="2150"/>
        <w:gridCol w:w="2029"/>
        <w:gridCol w:w="2036"/>
        <w:gridCol w:w="222"/>
        <w:gridCol w:w="209"/>
        <w:gridCol w:w="168"/>
        <w:gridCol w:w="225"/>
        <w:gridCol w:w="225"/>
        <w:gridCol w:w="226"/>
        <w:gridCol w:w="271"/>
        <w:gridCol w:w="265"/>
        <w:gridCol w:w="217"/>
        <w:gridCol w:w="248"/>
        <w:gridCol w:w="248"/>
        <w:gridCol w:w="285"/>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Herein</w:t>
            </w:r>
          </w:p>
        </w:tc>
      </w:tr>
      <w:tr>
        <w:trPr/>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Exhibit Description</w:t>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r>
      <w:tr>
        <w:trPr/>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Resignation Agreement and General Release, dated May 12, 2026, by and between Power Solutions International, Inc. and Constantine Xykis.</w:t>
              </w:r>
            </w:hyperlink>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05/13/2026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Employment Agreement between Power Solutions International, Inc. and Nan (Richard) Hu.</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07/27/2026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5"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certificatio.htm">
              <w:r>
                <w:rPr>
                  <w:rStyle w:val="InternetLink"/>
                  <w:rFonts w:ascii="Times New Roman;serif" w:hAnsi="Times New Roman;serif"/>
                  <w:b w:val="false"/>
                  <w:color w:val="0000FF"/>
                  <w:sz w:val="18"/>
                  <w:u w:val="single"/>
                </w:rPr>
                <w:t xml:space="preserve">Certification of Chief Executive Officer, as adopted pursuant to Section 302 of the Sarbanes-Oxley Act of 2002. </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certificatio.htm">
              <w:r>
                <w:rPr>
                  <w:rStyle w:val="InternetLink"/>
                  <w:rFonts w:ascii="Times New Roman;serif" w:hAnsi="Times New Roman;serif"/>
                  <w:b w:val="false"/>
                  <w:color w:val="0000FF"/>
                  <w:sz w:val="18"/>
                  <w:u w:val="single"/>
                </w:rPr>
                <w:t>Certification of Chief Financial Officer, as adopted pursuant to Section 302 of the Sarbanes-Oxley Act of 2002.</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ocertificatio.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 Oxley Act of 2002.</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focertificatio.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 Oxley Act of 2002.</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Labels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Definition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*Filed with this Report.</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8"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40"/>
        <w:jc w:val="both"/>
        <w:rPr/>
      </w:pPr>
      <w:r>
        <w:rPr>
          <w:rFonts w:ascii="Times New Roman;serif" w:hAnsi="Times New Roman;serif"/>
          <w:b w:val="false"/>
          <w:color w:val="000000"/>
          <w:sz w:val="20"/>
        </w:rPr>
        <w:t>Pursuant to the requirements of the Exchange Act, the registrant has duly caused this Report to be signed on its behalf by the undersigned, thereunto duly authorized, o</w:t>
      </w:r>
      <w:r>
        <w:rPr>
          <w:rFonts w:ascii="Times New Roman;serif" w:hAnsi="Times New Roman;serif"/>
          <w:b w:val="false"/>
          <w:color w:val="000000"/>
          <w:sz w:val="20"/>
          <w:shd w:fill="FFFFFF" w:val="clear"/>
        </w:rPr>
        <w:t>n the 6th day of August 2026.</w:t>
      </w:r>
    </w:p>
    <w:tbl>
      <w:tblPr>
        <w:tblW w:w="992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41"/>
        <w:gridCol w:w="441"/>
        <w:gridCol w:w="441"/>
        <w:gridCol w:w="441"/>
        <w:gridCol w:w="441"/>
        <w:gridCol w:w="441"/>
        <w:gridCol w:w="2055"/>
        <w:gridCol w:w="2055"/>
        <w:gridCol w:w="213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POWER SOLUTIONS INTERNATIONAL,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 Xun 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&amp; Interim Chief Executive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Xun Li, certify that: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7116"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89"/>
        <w:gridCol w:w="189"/>
        <w:gridCol w:w="191"/>
        <w:gridCol w:w="109"/>
        <w:gridCol w:w="109"/>
        <w:gridCol w:w="109"/>
        <w:gridCol w:w="1244"/>
        <w:gridCol w:w="1244"/>
        <w:gridCol w:w="1756"/>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&amp; Interim Chief Executive Officer</w:t>
            </w:r>
          </w:p>
        </w:tc>
      </w:tr>
    </w:tbl>
    <w:p>
      <w:pPr>
        <w:pStyle w:val="TextBody"/>
        <w:bidi w:val="0"/>
        <w:spacing w:before="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Xun Li,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731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89"/>
        <w:gridCol w:w="189"/>
        <w:gridCol w:w="191"/>
        <w:gridCol w:w="109"/>
        <w:gridCol w:w="109"/>
        <w:gridCol w:w="109"/>
        <w:gridCol w:w="1244"/>
        <w:gridCol w:w="1244"/>
        <w:gridCol w:w="175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&amp; Interim Chief Executive Officer</w:t>
            </w:r>
          </w:p>
        </w:tc>
      </w:tr>
    </w:tbl>
    <w:p>
      <w:pPr>
        <w:pStyle w:val="TextBody"/>
        <w:bidi w:val="0"/>
        <w:spacing w:before="20" w:after="1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Power Solutions International, Inc. (the “Company”) on Form 10-Q for the three months ended June 30, 2026, as filed with the Securities and Exchange Commission on the date hereof (the “Report”), I, Xun Li, Interim Chief Executive Officer of the Company, certify, pursuant to 18 U.S.C. 1350, as adopted pursuant to 906 of the Sarbanes-Oxley Act of 2002, that:</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p>
    <w:tbl>
      <w:tblPr>
        <w:tblW w:w="7116"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89"/>
        <w:gridCol w:w="189"/>
        <w:gridCol w:w="191"/>
        <w:gridCol w:w="109"/>
        <w:gridCol w:w="109"/>
        <w:gridCol w:w="109"/>
        <w:gridCol w:w="1244"/>
        <w:gridCol w:w="1244"/>
        <w:gridCol w:w="1756"/>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&amp; Interim Chief Executive Officer</w:t>
            </w:r>
          </w:p>
        </w:tc>
      </w:tr>
    </w:tbl>
    <w:p>
      <w:pPr>
        <w:pStyle w:val="TextBody"/>
        <w:bidi w:val="0"/>
        <w:spacing w:lineRule="auto" w:line="288" w:before="2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Power Solutions International, Inc. (the “Company”) on Form 10-Q for the three months ended June 30, 2026, as filed with the Securities and Exchange Commission on the date hereof (the “Report”), I, Xun Li, Chief Financial Officer of the Company, certify, pursuant to 18 U.S.C. 1350, as adopted pursuant to 906 of the Sarbanes-Oxley Act of 2002, that:</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7116"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89"/>
        <w:gridCol w:w="189"/>
        <w:gridCol w:w="191"/>
        <w:gridCol w:w="109"/>
        <w:gridCol w:w="109"/>
        <w:gridCol w:w="109"/>
        <w:gridCol w:w="1244"/>
        <w:gridCol w:w="1244"/>
        <w:gridCol w:w="1756"/>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&amp; Interim Chief Executive Officer</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120" w:after="120"/>
        <w:jc w:val="both"/>
        <w:rPr/>
      </w:pPr>
      <w:r>
        <w:rPr/>
      </w:r>
    </w:p>
    <w:p>
      <w:pPr>
        <w:pStyle w:val="TextBody"/>
        <w:bidi w:val="0"/>
        <w:spacing w:before="16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37091/000119312526221562/d113596dex101.htm" TargetMode="External"/><Relationship Id="rId4" Type="http://schemas.openxmlformats.org/officeDocument/2006/relationships/hyperlink" Target="https://www.sec.gov/Archives/edgar/data/1137091/000119312526318071/d138423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20253</Words>
  <Characters>112034</Characters>
  <CharactersWithSpaces>130887</CharactersWithSpaces>
  <Paragraphs>2690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